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适用版本：5.70.16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逻辑分层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Schema，但当前仍复用 MySQL 账号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>，属于后续账号隔离治理项。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历史上还承载 Ticketing 表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当前部署基线是仓库根目录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>。它不是补充脚本，而是本地、测试和中小规模交付环境的主运行拓扑。</w:t>
      </w:r>
    </w:p>
    <w:p>
      <w:r>
        <w:rPr>
          <w:rFonts w:ascii="STHeiti" w:hAnsi="STHeiti" w:eastAsia="STHeiti"/>
          <w:color w:val="263646"/>
          <w:sz w:val="21"/>
        </w:rPr>
        <w:t>根 Compose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Docker Compose 分层</w:t>
      </w:r>
    </w:p>
    <w:p>
      <w:r>
        <w:rPr>
          <w:rFonts w:ascii="STHeiti" w:hAnsi="STHeiti" w:eastAsia="STHeiti"/>
          <w:color w:val="263646"/>
          <w:sz w:val="21"/>
        </w:rPr>
        <w:t>当前 Compose 可按五层理解：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Compose 服务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接入层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、各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web-*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web-cmdb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提供统一门户、专用中心和各系统前端静态站点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 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delivery-api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device-flow-api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faq-api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tender-api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prompt-center-api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big-screen-api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承载业务接口、鉴权、审计和领域逻辑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sca-scanner-worker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sca-beat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执行 SCA 长耗时扫描、持续风险监测和定时任务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shipping-gateway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dependency-track-apiserver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dependency-track-frontend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提供物流、在线文档编辑和 SBOM/漏洞辅助分析能力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数据与初始化层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sca-postgres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sca-redis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cmdb-mysql-init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提供关系型数据库、缓存/队列和一次性数据库初始化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从高层设计角度看，Compose 同时承担三件事：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运行编排</w:t>
      </w:r>
      <w:r>
        <w:rPr>
          <w:rFonts w:ascii="STHeiti" w:hAnsi="STHeiti" w:eastAsia="STHeiti"/>
          <w:color w:val="263646"/>
          <w:sz w:val="21"/>
        </w:rPr>
        <w:t>：定义服务、镜像、构建上下文、端口和依赖关系。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环境注入</w:t>
      </w:r>
      <w:r>
        <w:rPr>
          <w:rFonts w:ascii="STHeiti" w:hAnsi="STHeiti" w:eastAsia="STHeiti"/>
          <w:color w:val="263646"/>
          <w:sz w:val="21"/>
        </w:rPr>
        <w:t xml:space="preserve">：通过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>、环境变量和构建参数注入数据库、密钥、CORS、外部服务地址。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数据挂载</w:t>
      </w:r>
      <w:r>
        <w:rPr>
          <w:rFonts w:ascii="STHeiti" w:hAnsi="STHeiti" w:eastAsia="STHeiti"/>
          <w:color w:val="263646"/>
          <w:sz w:val="21"/>
        </w:rPr>
        <w:t>：通过命名卷保存数据库、文档、上传文件、报告、SBOM、扫描结果和缓存。</w:t>
      </w:r>
    </w:p>
    <w:p>
      <w:pPr>
        <w:pStyle w:val="Heading3"/>
      </w:pPr>
      <w:r>
        <w:t>9.3 镜像与构建策略</w:t>
      </w:r>
    </w:p>
    <w:p>
      <w:r>
        <w:rPr>
          <w:rFonts w:ascii="STHeiti" w:hAnsi="STHeiti" w:eastAsia="STHeiti"/>
          <w:color w:val="263646"/>
          <w:sz w:val="21"/>
        </w:rPr>
        <w:t>Compose 中存在两类镜像来源：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本地构建镜像</w:t>
      </w:r>
      <w:r>
        <w:rPr>
          <w:rFonts w:ascii="STHeiti" w:hAnsi="STHeiti" w:eastAsia="STHeiti"/>
          <w:color w:val="263646"/>
          <w:sz w:val="21"/>
        </w:rPr>
        <w:t>：业务 API、业务前端、Auth、CMDB、SCA API/Worker、OnlyOffice 字体镜像等由仓库目录构建。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第三方基础镜像</w:t>
      </w:r>
      <w:r>
        <w:rPr>
          <w:rFonts w:ascii="STHeiti" w:hAnsi="STHeiti" w:eastAsia="STHeiti"/>
          <w:color w:val="263646"/>
          <w:sz w:val="21"/>
        </w:rPr>
        <w:t>：MySQL、PostgreSQL、Redis、Dependency-Track、Node、Nginx、Go、Alpine 等通过环境变量指定或使用默认镜像。</w:t>
      </w:r>
    </w:p>
    <w:p>
      <w:r>
        <w:rPr>
          <w:rFonts w:ascii="STHeiti" w:hAnsi="STHeiti" w:eastAsia="STHeiti"/>
          <w:color w:val="263646"/>
          <w:sz w:val="21"/>
        </w:rPr>
        <w:t>高层构建策略为：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Node 系服务以 Node 20 为主，前端构建后由 Nginx 承载静态资源。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CMDB 使用 Go 1.22 构建。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后端使用 Python/FastAPI，并拆分普通运行镜像和扫描 Worker 镜像。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镜像源通过 </w:t>
      </w:r>
      <w:r>
        <w:rPr>
          <w:rFonts w:ascii="Courier New" w:hAnsi="Courier New" w:eastAsia="Courier New"/>
          <w:color w:val="12365A"/>
          <w:sz w:val="20"/>
        </w:rPr>
        <w:t>NODE_20_*_IMAGE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NGINX_ALPINE_IMAGE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MYSQL_IMAGE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ONLYOFFICE_DOCUMENTSERVER_IMAGE</w:t>
      </w:r>
      <w:r>
        <w:rPr>
          <w:rFonts w:ascii="STHeiti" w:hAnsi="STHeiti" w:eastAsia="STHeiti"/>
          <w:color w:val="263646"/>
          <w:sz w:val="21"/>
        </w:rPr>
        <w:t xml:space="preserve"> 等变量覆盖，便于在国内镜像源或企业私有仓库中部署。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日常启动优先复用已有镜像；代码变更、首次部署或基础镜像变化时再执行重建。</w:t>
      </w:r>
    </w:p>
    <w:p>
      <w:pPr>
        <w:pStyle w:val="Heading3"/>
      </w:pPr>
      <w:r>
        <w:t>9.4 端口暴露策略</w:t>
      </w:r>
    </w:p>
    <w:p>
      <w:r>
        <w:rPr>
          <w:rFonts w:ascii="STHeiti" w:hAnsi="STHeiti" w:eastAsia="STHeiti"/>
          <w:color w:val="263646"/>
          <w:sz w:val="21"/>
        </w:rPr>
        <w:t>当前端口映射按“门户、业务前端、业务 API、数据服务、辅助服务”分组：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当前端口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Auth、门户、管理中心、审计中心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业务前端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18082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18092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8090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Reminder、Inventory、Device Flow、Delivery、FAQ、Tender、Train Exam、Prompt Center、SCA、Big Screen、CMDB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5179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5183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各业务后端 API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18091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物流网关、Dependency-Track API 和前端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数据服务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53308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55433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56380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MySQL、SCA PostgreSQL、SCA Redis 的宿主机映射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历史兼容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5182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Ticketing 前后端仍存在于 Compose，但不作为现役门户入口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生产环境建议：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只通过统一 HTTPS 入口暴露门户和业务前端。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数据库、Redis、Dependency-Track 管理入口不直接暴露公网。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 API 优先由反向代理或内网访问控制承载。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端口映射应形成环境清单，避免测试环境和生产环境混用。</w:t>
      </w:r>
    </w:p>
    <w:p>
      <w:pPr>
        <w:pStyle w:val="Heading3"/>
      </w:pPr>
      <w:r>
        <w:t>9.5 数据卷与持久化策略</w:t>
      </w:r>
    </w:p>
    <w:p>
      <w:r>
        <w:rPr>
          <w:rFonts w:ascii="STHeiti" w:hAnsi="STHeiti" w:eastAsia="STHeiti"/>
          <w:color w:val="263646"/>
          <w:sz w:val="21"/>
        </w:rPr>
        <w:t>当前 Compose 定义的持久化卷包括：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数据卷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Auth、Reminder、Delivery、CMDB、Inventory、Device、FAQ、Tender、Train、Prompt、Big Screen 等 MySQL 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上传文件、预览、草稿和可编辑文档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标书上传、版本、草稿、素材、水印、预览和编辑文件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课程资源、导入文件和证书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sca-postgres-data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PostgreSQL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与 Dependency-Track 关系型数据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sca-redis-data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Redis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AOF、缓存、任务状态相关数据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sca-upload-data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源码上传文件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sca-report-data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报告文件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sca-sbom-data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和镜像分析文件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sca-backup-data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备份文件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sca-scanner-results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多引擎扫描原始结果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sca-trivy-cache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Trivy 缓存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dependency-track-data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应用数据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备份设计必须覆盖数据库和文件卷两类对象。只备份 MySQL 会导致 FAQ、Tender、Train Exam、SCA 的文件型数据无法完整恢复。</w:t>
      </w:r>
    </w:p>
    <w:p>
      <w:pPr>
        <w:pStyle w:val="Heading3"/>
      </w:pPr>
      <w:r>
        <w:t>9.6 启动依赖与健康检查</w:t>
      </w:r>
    </w:p>
    <w:p>
      <w:r>
        <w:rPr>
          <w:rFonts w:ascii="STHeiti" w:hAnsi="STHeiti" w:eastAsia="STHeiti"/>
          <w:color w:val="263646"/>
          <w:sz w:val="21"/>
        </w:rPr>
        <w:t xml:space="preserve">Compose 当前通过 </w:t>
      </w: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描述主要启动依赖：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大多数业务 API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FAQ/Tender 依赖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依赖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SCA API/Worker/Beat 依赖 </w:t>
      </w:r>
      <w:r>
        <w:rPr>
          <w:rFonts w:ascii="Courier New" w:hAnsi="Courier New" w:eastAsia="Courier New"/>
          <w:color w:val="12365A"/>
          <w:sz w:val="20"/>
        </w:rPr>
        <w:t>sca-postgres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sca-redis</w:t>
      </w:r>
      <w:r>
        <w:rPr>
          <w:rFonts w:ascii="STHeiti" w:hAnsi="STHeiti" w:eastAsia="STHeiti"/>
          <w:color w:val="263646"/>
          <w:sz w:val="21"/>
        </w:rPr>
        <w:t xml:space="preserve"> 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Big Screen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api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train-exam-api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sca-api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CMDB 依赖一次性任务 </w:t>
      </w:r>
      <w:r>
        <w:rPr>
          <w:rFonts w:ascii="Courier New" w:hAnsi="Courier New" w:eastAsia="Courier New"/>
          <w:color w:val="12365A"/>
          <w:sz w:val="20"/>
        </w:rPr>
        <w:t>cmdb-mysql-init</w:t>
      </w:r>
      <w:r>
        <w:rPr>
          <w:rFonts w:ascii="STHeiti" w:hAnsi="STHeiti" w:eastAsia="STHeiti"/>
          <w:color w:val="263646"/>
          <w:sz w:val="21"/>
        </w:rPr>
        <w:t xml:space="preserve"> 完成数据库初始化。</w:t>
      </w:r>
    </w:p>
    <w:p>
      <w:r>
        <w:rPr>
          <w:rFonts w:ascii="STHeiti" w:hAnsi="STHeiti" w:eastAsia="STHeiti"/>
          <w:color w:val="263646"/>
          <w:sz w:val="21"/>
        </w:rPr>
        <w:t>需要注意：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只能保证容器启动顺序，不能替代业务就绪检查。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的 PostgreSQL 和 Redis 已配置容器级健康检查，是当前较完整的就绪依赖样板。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其他系统仍需要补充应用级 </w:t>
      </w:r>
      <w:r>
        <w:rPr>
          <w:rFonts w:ascii="Courier New" w:hAnsi="Courier New" w:eastAsia="Courier New"/>
          <w:color w:val="12365A"/>
          <w:sz w:val="20"/>
        </w:rPr>
        <w:t>/health</w:t>
      </w:r>
      <w:r>
        <w:rPr>
          <w:rFonts w:ascii="STHeiti" w:hAnsi="STHeiti" w:eastAsia="STHeiti"/>
          <w:color w:val="263646"/>
          <w:sz w:val="21"/>
        </w:rPr>
        <w:t xml:space="preserve"> 或 </w:t>
      </w:r>
      <w:r>
        <w:rPr>
          <w:rFonts w:ascii="Courier New" w:hAnsi="Courier New" w:eastAsia="Courier New"/>
          <w:color w:val="12365A"/>
          <w:sz w:val="20"/>
        </w:rPr>
        <w:t>/ready</w:t>
      </w:r>
      <w:r>
        <w:rPr>
          <w:rFonts w:ascii="STHeiti" w:hAnsi="STHeiti" w:eastAsia="STHeiti"/>
          <w:color w:val="263646"/>
          <w:sz w:val="21"/>
        </w:rPr>
        <w:t xml:space="preserve"> 检查，并纳入发布验证脚本。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初始化任务和业务迁移应保持幂等，避免容器重启后重复写入脏数据。</w:t>
      </w:r>
    </w:p>
    <w:p>
      <w:pPr>
        <w:pStyle w:val="Heading3"/>
      </w:pPr>
      <w:r>
        <w:t>9.7 Docker 运维命令基线</w:t>
      </w:r>
    </w:p>
    <w:p>
      <w:r>
        <w:rPr>
          <w:rFonts w:ascii="STHeiti" w:hAnsi="STHeiti" w:eastAsia="STHeiti"/>
          <w:color w:val="263646"/>
          <w:sz w:val="21"/>
        </w:rPr>
        <w:t>日常运维建议统一使用仓库脚本，而不是手写长命令：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63646"/>
          <w:sz w:val="17"/>
        </w:rPr>
        <w:t># 启动已有镜像，适合日常验证</w:t>
        <w:br/>
        <w:t>./scripts/deploy/docker-compose-aliyun.sh start</w:t>
        <w:br/>
        <w:br/>
        <w:t># 代码、Dockerfile 或依赖变更后重建</w:t>
        <w:br/>
        <w:t>./scripts/deploy/docker-compose-aliyun.sh rebuild</w:t>
        <w:br/>
        <w:br/>
        <w:t># 只验证某个系统，可追加服务名</w:t>
        <w:br/>
        <w:t>./scripts/deploy/docker-compose-aliyun.sh start mysql auth sca-postgres sca-redis sca-api web-sca</w:t>
        <w:br/>
        <w:br/>
        <w:t># 查看容器状态和日志</w:t>
        <w:br/>
        <w:t>docker compose ps</w:t>
        <w:br/>
        <w:t>docker compose logs -f auth sca-api web-sca</w:t>
      </w:r>
    </w:p>
    <w:p>
      <w:r>
        <w:rPr>
          <w:rFonts w:ascii="STHeiti" w:hAnsi="STHeiti" w:eastAsia="STHeiti"/>
          <w:color w:val="263646"/>
          <w:sz w:val="21"/>
        </w:rPr>
        <w:t>建议形成标准发布步骤：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校验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拉取代码和目标分支。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执行最快相关测试。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重建受影响服务。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启动服务并检查健康接口。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验证门户、系统切换、退出登录和目标业务主流程。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记录版本号、镜像标签、提交号和回退点。</w:t>
      </w:r>
    </w:p>
    <w:p>
      <w:pPr>
        <w:pStyle w:val="Heading3"/>
      </w:pPr>
      <w:r>
        <w:t>9.8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仍存在开发默认值和固定示例密钥。它们可以支持本地启动，但必须列为生产部署前置检查项。</w:t>
      </w:r>
    </w:p>
    <w:p>
      <w:pPr>
        <w:pStyle w:val="Heading3"/>
      </w:pPr>
      <w:r>
        <w:t>9.9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健康检查；其他业务的依赖启动条件并不完全等价于业务就绪，运维脚本仍需执行应用级健康验证。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部分 Compose 配置仍有开发默认密码或固定示例密钥。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实例扩大了数据库故障和误授权影响面。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部分业务仍复用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 xml:space="preserve"> 数据库账号。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依赖安装基线当前报告 12 个已知漏洞，需要独立排期评估和修复。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各业务健康接口。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建议统一指标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HTTP 请求量、错误率和延迟。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登录成功率、失败原因、会话数和鉴权延迟。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数据库连接池、慢查询、容量和备份状态。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Worker 队列长度、任务耗时、失败率和重试次数。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文件卷容量、增长率和孤儿文件数量。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外部依赖成功率、超时率和熔断状态。</w:t>
      </w:r>
    </w:p>
    <w:p>
      <w:r>
        <w:rPr>
          <w:rFonts w:ascii="STHeiti" w:hAnsi="STHeiti" w:eastAsia="STHeiti"/>
          <w:color w:val="263646"/>
          <w:sz w:val="21"/>
        </w:rPr>
        <w:t xml:space="preserve">建议后续引入统一结构化日志、指标采集和分布式追踪，并为每个请求贯穿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统一健康、就绪、版本和构建信息接口。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v5.70.16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