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8DA" w:rsidRPr="002D68DA" w:rsidRDefault="002D68DA" w:rsidP="002D68DA">
      <w:pPr>
        <w:spacing w:line="320" w:lineRule="atLeast"/>
        <w:ind w:left="720"/>
        <w:jc w:val="center"/>
        <w:rPr>
          <w:rFonts w:ascii="Arial" w:hAnsi="Arial" w:cs="Arial"/>
          <w:b/>
          <w:sz w:val="24"/>
          <w:szCs w:val="24"/>
        </w:rPr>
      </w:pPr>
      <w:r w:rsidRPr="002D68DA">
        <w:rPr>
          <w:rFonts w:ascii="Arial" w:hAnsi="Arial" w:cs="Arial"/>
          <w:b/>
          <w:sz w:val="24"/>
          <w:szCs w:val="24"/>
        </w:rPr>
        <w:t>Bekanntmachung gemäß § 5 Abs. 2 Satz 1 des Gesetzes über die Umweltverträglichkeitsprüfung (UVPG) über die Feststellung des Nichtbestehens der UVP-Pflicht f</w:t>
      </w:r>
      <w:r>
        <w:rPr>
          <w:rFonts w:ascii="Arial" w:hAnsi="Arial" w:cs="Arial"/>
          <w:b/>
          <w:sz w:val="24"/>
          <w:szCs w:val="24"/>
        </w:rPr>
        <w:t>ür die 1. Änderung des Planfest</w:t>
      </w:r>
      <w:r w:rsidRPr="002D68DA">
        <w:rPr>
          <w:rFonts w:ascii="Arial" w:hAnsi="Arial" w:cs="Arial"/>
          <w:b/>
          <w:sz w:val="24"/>
          <w:szCs w:val="24"/>
        </w:rPr>
        <w:t>stellungsbeschlusses zur Renaturierung der Niers im Bereich Geldern-Pont vom 27.04.2022</w:t>
      </w:r>
    </w:p>
    <w:p w:rsidR="002D68DA" w:rsidRPr="002D68DA" w:rsidRDefault="002D68DA" w:rsidP="002D68DA">
      <w:pPr>
        <w:spacing w:line="320" w:lineRule="atLeast"/>
        <w:ind w:left="720"/>
        <w:jc w:val="both"/>
        <w:rPr>
          <w:rFonts w:ascii="Arial" w:hAnsi="Arial" w:cs="Arial"/>
          <w:sz w:val="24"/>
          <w:szCs w:val="24"/>
        </w:rPr>
      </w:pPr>
    </w:p>
    <w:p w:rsidR="002D68DA" w:rsidRDefault="002D68DA" w:rsidP="002D68DA">
      <w:pPr>
        <w:spacing w:line="320" w:lineRule="atLeast"/>
        <w:ind w:left="720"/>
        <w:rPr>
          <w:rFonts w:ascii="Arial" w:hAnsi="Arial" w:cs="Arial"/>
          <w:sz w:val="24"/>
          <w:szCs w:val="24"/>
        </w:rPr>
      </w:pPr>
      <w:r w:rsidRPr="002D68DA">
        <w:rPr>
          <w:rFonts w:ascii="Arial" w:hAnsi="Arial" w:cs="Arial"/>
          <w:sz w:val="24"/>
          <w:szCs w:val="24"/>
        </w:rPr>
        <w:t xml:space="preserve">Bezirksregierung Düsseldorf </w:t>
      </w:r>
      <w:r w:rsidRPr="002D68DA">
        <w:rPr>
          <w:rFonts w:ascii="Arial" w:hAnsi="Arial" w:cs="Arial"/>
          <w:sz w:val="24"/>
          <w:szCs w:val="24"/>
        </w:rPr>
        <w:tab/>
      </w:r>
      <w:r w:rsidRPr="002D68DA">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2D68DA">
        <w:rPr>
          <w:rFonts w:ascii="Arial" w:hAnsi="Arial" w:cs="Arial"/>
          <w:sz w:val="24"/>
          <w:szCs w:val="24"/>
        </w:rPr>
        <w:t xml:space="preserve">       Düsseldorf, den 01.02.2024</w:t>
      </w:r>
    </w:p>
    <w:p w:rsidR="002D68DA" w:rsidRPr="002D68DA" w:rsidRDefault="002D68DA" w:rsidP="002D68DA">
      <w:pPr>
        <w:spacing w:line="320" w:lineRule="atLeast"/>
        <w:rPr>
          <w:rFonts w:ascii="Arial" w:hAnsi="Arial" w:cs="Arial"/>
          <w:sz w:val="24"/>
          <w:szCs w:val="24"/>
        </w:rPr>
      </w:pPr>
    </w:p>
    <w:p w:rsidR="002D68DA" w:rsidRPr="002D68DA" w:rsidRDefault="002D68DA" w:rsidP="002D68DA">
      <w:pPr>
        <w:spacing w:line="320" w:lineRule="atLeast"/>
        <w:ind w:left="720"/>
        <w:jc w:val="both"/>
        <w:rPr>
          <w:rFonts w:ascii="Arial" w:hAnsi="Arial" w:cs="Arial"/>
          <w:sz w:val="24"/>
          <w:szCs w:val="24"/>
        </w:rPr>
      </w:pPr>
      <w:r>
        <w:rPr>
          <w:rFonts w:ascii="Arial" w:hAnsi="Arial" w:cs="Arial"/>
          <w:sz w:val="24"/>
          <w:szCs w:val="24"/>
        </w:rPr>
        <w:t xml:space="preserve">Az.: </w:t>
      </w:r>
      <w:r w:rsidRPr="002D68DA">
        <w:rPr>
          <w:rFonts w:ascii="Arial" w:hAnsi="Arial" w:cs="Arial"/>
          <w:sz w:val="24"/>
          <w:szCs w:val="24"/>
        </w:rPr>
        <w:t>54.04.03.06-Meykesbos-15</w:t>
      </w:r>
    </w:p>
    <w:p w:rsidR="002D68DA" w:rsidRPr="002D68DA" w:rsidRDefault="002D68DA" w:rsidP="002D68DA">
      <w:pPr>
        <w:spacing w:line="320" w:lineRule="atLeast"/>
        <w:ind w:left="720"/>
        <w:jc w:val="both"/>
        <w:rPr>
          <w:rFonts w:ascii="Arial" w:hAnsi="Arial" w:cs="Arial"/>
          <w:sz w:val="24"/>
          <w:szCs w:val="24"/>
        </w:rPr>
      </w:pP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Der Niersverband hat mit Schreib</w:t>
      </w:r>
      <w:r>
        <w:rPr>
          <w:rFonts w:ascii="Arial" w:hAnsi="Arial" w:cs="Arial"/>
          <w:sz w:val="24"/>
          <w:szCs w:val="24"/>
        </w:rPr>
        <w:t>en vom 15.11.2023 zwei Grundwas</w:t>
      </w:r>
      <w:r w:rsidRPr="002D68DA">
        <w:rPr>
          <w:rFonts w:ascii="Arial" w:hAnsi="Arial" w:cs="Arial"/>
          <w:sz w:val="24"/>
          <w:szCs w:val="24"/>
        </w:rPr>
        <w:t>serhaltungen beantragt, die bislang im Planfeststellungsbeschluss zur Renaturierung der Niers im Bereich Geldern-Pont vom 27.4.2022 nicht enthalten waren.</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 xml:space="preserve">Für die Planänderung des Vorhabens ist gemäß § 9 Abs. 1 Nr. 2 in Verbindung mit § 9 Abs. 4 und § 7 </w:t>
      </w:r>
      <w:r>
        <w:rPr>
          <w:rFonts w:ascii="Arial" w:hAnsi="Arial" w:cs="Arial"/>
          <w:sz w:val="24"/>
          <w:szCs w:val="24"/>
        </w:rPr>
        <w:t>UVPG eine Vorprüfung des Einzel</w:t>
      </w:r>
      <w:r w:rsidRPr="002D68DA">
        <w:rPr>
          <w:rFonts w:ascii="Arial" w:hAnsi="Arial" w:cs="Arial"/>
          <w:sz w:val="24"/>
          <w:szCs w:val="24"/>
        </w:rPr>
        <w:t>falls durchzuführen. Darüber hi</w:t>
      </w:r>
      <w:r>
        <w:rPr>
          <w:rFonts w:ascii="Arial" w:hAnsi="Arial" w:cs="Arial"/>
          <w:sz w:val="24"/>
          <w:szCs w:val="24"/>
        </w:rPr>
        <w:t>naus bedürfen die Grundwasserab</w:t>
      </w:r>
      <w:r w:rsidRPr="002D68DA">
        <w:rPr>
          <w:rFonts w:ascii="Arial" w:hAnsi="Arial" w:cs="Arial"/>
          <w:sz w:val="24"/>
          <w:szCs w:val="24"/>
        </w:rPr>
        <w:t>senkungen nach Nr. 13.3.2 der Anl</w:t>
      </w:r>
      <w:r>
        <w:rPr>
          <w:rFonts w:ascii="Arial" w:hAnsi="Arial" w:cs="Arial"/>
          <w:sz w:val="24"/>
          <w:szCs w:val="24"/>
        </w:rPr>
        <w:t>age 1 vom UVPG auch einer allge</w:t>
      </w:r>
      <w:r w:rsidRPr="002D68DA">
        <w:rPr>
          <w:rFonts w:ascii="Arial" w:hAnsi="Arial" w:cs="Arial"/>
          <w:sz w:val="24"/>
          <w:szCs w:val="24"/>
        </w:rPr>
        <w:t xml:space="preserve">meinen Vorprüfung. Eine Umweltverträglichkeitsprüfung (UVP) ist nur erforderlich, soweit die allgemeine Vorprüfung der Änderungen ergibt, dass keine zusätzlichen erheblich nachteiligen oder andere erheblich nachteiligen Umweltauswirkungen </w:t>
      </w:r>
      <w:r>
        <w:rPr>
          <w:rFonts w:ascii="Arial" w:hAnsi="Arial" w:cs="Arial"/>
          <w:sz w:val="24"/>
          <w:szCs w:val="24"/>
        </w:rPr>
        <w:t>hervorgerufen werden. Die allge</w:t>
      </w:r>
      <w:r w:rsidRPr="002D68DA">
        <w:rPr>
          <w:rFonts w:ascii="Arial" w:hAnsi="Arial" w:cs="Arial"/>
          <w:sz w:val="24"/>
          <w:szCs w:val="24"/>
        </w:rPr>
        <w:t xml:space="preserve">meine Vorprüfung richtet sich gemäß § 7 Abs. 1 Satz 2 nach Anlage 3 zum UVPG. </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Die Bewertung im Rahmen einer überschlägigen Prüfung anhand der vorgelegten Antragsunterlagen, eigener Ermittlungen und der für die Entscheidung maßgeblichen Rechts- und Verwaltungsvorschriften ergab, dass durch die beantragte Planänderung keine zusätzlichen erheblich nachteiligen oder andere erheblich nachteiligen Umwelt-auswirkungen zu erwarten sind.</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Die Bewertung stützt sich ins</w:t>
      </w:r>
      <w:r>
        <w:rPr>
          <w:rFonts w:ascii="Arial" w:hAnsi="Arial" w:cs="Arial"/>
          <w:sz w:val="24"/>
          <w:szCs w:val="24"/>
        </w:rPr>
        <w:t>besondere auf folgende Aspekte:</w:t>
      </w:r>
    </w:p>
    <w:p w:rsidR="002D68DA" w:rsidRPr="002D68DA" w:rsidRDefault="002D68DA" w:rsidP="002D68DA">
      <w:pPr>
        <w:spacing w:before="240" w:line="320" w:lineRule="atLeast"/>
        <w:ind w:left="720"/>
        <w:jc w:val="both"/>
        <w:rPr>
          <w:rFonts w:ascii="Arial" w:hAnsi="Arial" w:cs="Arial"/>
          <w:b/>
          <w:sz w:val="24"/>
          <w:szCs w:val="24"/>
        </w:rPr>
      </w:pPr>
      <w:r w:rsidRPr="002D68DA">
        <w:rPr>
          <w:rFonts w:ascii="Arial" w:hAnsi="Arial" w:cs="Arial"/>
          <w:b/>
          <w:sz w:val="24"/>
          <w:szCs w:val="24"/>
        </w:rPr>
        <w:t>Merkmale des Vorhabens</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Die Grundwasserabsenkungen di</w:t>
      </w:r>
      <w:r>
        <w:rPr>
          <w:rFonts w:ascii="Arial" w:hAnsi="Arial" w:cs="Arial"/>
          <w:sz w:val="24"/>
          <w:szCs w:val="24"/>
        </w:rPr>
        <w:t>enen der Trockenhaltung der Bau</w:t>
      </w:r>
      <w:r w:rsidRPr="002D68DA">
        <w:rPr>
          <w:rFonts w:ascii="Arial" w:hAnsi="Arial" w:cs="Arial"/>
          <w:sz w:val="24"/>
          <w:szCs w:val="24"/>
        </w:rPr>
        <w:t xml:space="preserve">gruben zur Aushebung des neuen Gewässerverlaufs. </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Insgesamt erfolgt die Renaturierung auf einer Fläche von ca. 17,5 ha mit einem Bodenaushub von ca. 150.000 m³.</w:t>
      </w:r>
    </w:p>
    <w:p w:rsidR="002D68DA" w:rsidRPr="002D68DA" w:rsidRDefault="002D68DA" w:rsidP="002D68DA">
      <w:pPr>
        <w:spacing w:line="320" w:lineRule="atLeast"/>
        <w:ind w:left="720"/>
        <w:jc w:val="both"/>
        <w:rPr>
          <w:rFonts w:ascii="Arial" w:hAnsi="Arial" w:cs="Arial"/>
          <w:sz w:val="24"/>
          <w:szCs w:val="24"/>
        </w:rPr>
      </w:pP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Die Fördermenge für die Anlage vo</w:t>
      </w:r>
      <w:r>
        <w:rPr>
          <w:rFonts w:ascii="Arial" w:hAnsi="Arial" w:cs="Arial"/>
          <w:sz w:val="24"/>
          <w:szCs w:val="24"/>
        </w:rPr>
        <w:t>n archäologischen Sondageschnit</w:t>
      </w:r>
      <w:r w:rsidRPr="002D68DA">
        <w:rPr>
          <w:rFonts w:ascii="Arial" w:hAnsi="Arial" w:cs="Arial"/>
          <w:sz w:val="24"/>
          <w:szCs w:val="24"/>
        </w:rPr>
        <w:t>ten vor dem Erdbau beträgt max. 50 m³ / Stunde, max. 650 m³ / Tag und max. 20.000 m³ insgesamt. Die Wasserhaltung findet im Zeitraum von Anfang Januar bis Ende Mai 2024 s</w:t>
      </w:r>
      <w:r>
        <w:rPr>
          <w:rFonts w:ascii="Arial" w:hAnsi="Arial" w:cs="Arial"/>
          <w:sz w:val="24"/>
          <w:szCs w:val="24"/>
        </w:rPr>
        <w:t>tatt. Die Absenktiefe des Grund</w:t>
      </w:r>
      <w:r w:rsidRPr="002D68DA">
        <w:rPr>
          <w:rFonts w:ascii="Arial" w:hAnsi="Arial" w:cs="Arial"/>
          <w:sz w:val="24"/>
          <w:szCs w:val="24"/>
        </w:rPr>
        <w:t>wassers bei in dem geplanten Bau</w:t>
      </w:r>
      <w:r>
        <w:rPr>
          <w:rFonts w:ascii="Arial" w:hAnsi="Arial" w:cs="Arial"/>
          <w:sz w:val="24"/>
          <w:szCs w:val="24"/>
        </w:rPr>
        <w:t>zeitraum erwarteten hohen Grund</w:t>
      </w:r>
      <w:r w:rsidRPr="002D68DA">
        <w:rPr>
          <w:rFonts w:ascii="Arial" w:hAnsi="Arial" w:cs="Arial"/>
          <w:sz w:val="24"/>
          <w:szCs w:val="24"/>
        </w:rPr>
        <w:t>wasserständen beträgt maximal 3,00 m.</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Die Fördermenge für die Herstellung des neuen Gewässerverlaufes mit großen Erdbewegungen beträgt max. 700 m³ / Stunde, max. 4.100 m³ / Tag und max. 870.000 m³ insgesamt. Für den Bauabschnitt Nord soll die Wasserhaltung von Februar</w:t>
      </w:r>
      <w:r>
        <w:rPr>
          <w:rFonts w:ascii="Arial" w:hAnsi="Arial" w:cs="Arial"/>
          <w:sz w:val="24"/>
          <w:szCs w:val="24"/>
        </w:rPr>
        <w:t xml:space="preserve"> 2024 bis Ende Dezember 2024 be</w:t>
      </w:r>
      <w:r w:rsidRPr="002D68DA">
        <w:rPr>
          <w:rFonts w:ascii="Arial" w:hAnsi="Arial" w:cs="Arial"/>
          <w:sz w:val="24"/>
          <w:szCs w:val="24"/>
        </w:rPr>
        <w:t>grenzt sein. Für den Bauabschnitt Sü</w:t>
      </w:r>
      <w:r>
        <w:rPr>
          <w:rFonts w:ascii="Arial" w:hAnsi="Arial" w:cs="Arial"/>
          <w:sz w:val="24"/>
          <w:szCs w:val="24"/>
        </w:rPr>
        <w:t>d soll die Wasserhaltung von Ja</w:t>
      </w:r>
      <w:r w:rsidRPr="002D68DA">
        <w:rPr>
          <w:rFonts w:ascii="Arial" w:hAnsi="Arial" w:cs="Arial"/>
          <w:sz w:val="24"/>
          <w:szCs w:val="24"/>
        </w:rPr>
        <w:t>nuar 2025 bis Ende Mai 2026 begrenzt sein. Die Absenktiefe des Grundwassers bei mittleren Grundwasserständen, über den gesamten Bauzeitraum betrachtet, beträgt maximal 1,85 m.</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Die Anlage von archäologischen Sondageschnitten erfolgt mit sechs Aushebungen von Sondagegräben</w:t>
      </w:r>
      <w:r>
        <w:rPr>
          <w:rFonts w:ascii="Arial" w:hAnsi="Arial" w:cs="Arial"/>
          <w:sz w:val="24"/>
          <w:szCs w:val="24"/>
        </w:rPr>
        <w:t xml:space="preserve"> durch einen Bagger. Das Tagwas</w:t>
      </w:r>
      <w:r w:rsidRPr="002D68DA">
        <w:rPr>
          <w:rFonts w:ascii="Arial" w:hAnsi="Arial" w:cs="Arial"/>
          <w:sz w:val="24"/>
          <w:szCs w:val="24"/>
        </w:rPr>
        <w:t>ser, welches in die entstehenden Baugruben einläuft, wird mittels Pumpen gefördert und anschließend mit Rohrleitungen über einen Absetzcontainer in die Niers geleitet.</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Außerdem entstehen insgesamt vier</w:t>
      </w:r>
      <w:r>
        <w:rPr>
          <w:rFonts w:ascii="Arial" w:hAnsi="Arial" w:cs="Arial"/>
          <w:sz w:val="24"/>
          <w:szCs w:val="24"/>
        </w:rPr>
        <w:t xml:space="preserve"> Baugruben, aus denen das geför</w:t>
      </w:r>
      <w:r w:rsidRPr="002D68DA">
        <w:rPr>
          <w:rFonts w:ascii="Arial" w:hAnsi="Arial" w:cs="Arial"/>
          <w:sz w:val="24"/>
          <w:szCs w:val="24"/>
        </w:rPr>
        <w:t xml:space="preserve">derte Wasser in einem Absatzbecken </w:t>
      </w:r>
      <w:r>
        <w:rPr>
          <w:rFonts w:ascii="Arial" w:hAnsi="Arial" w:cs="Arial"/>
          <w:sz w:val="24"/>
          <w:szCs w:val="24"/>
        </w:rPr>
        <w:t>mit Überlaufkante zur Niers zwi</w:t>
      </w:r>
      <w:r w:rsidRPr="002D68DA">
        <w:rPr>
          <w:rFonts w:ascii="Arial" w:hAnsi="Arial" w:cs="Arial"/>
          <w:sz w:val="24"/>
          <w:szCs w:val="24"/>
        </w:rPr>
        <w:t xml:space="preserve">schengespeichert werden soll. </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Die Fläche, auf der eingegriffen wird, wird im Moment als Mähweiden genutzt. Das Wasser aus den Grundwasserhaltungen wird in bereits fertiggestellten neuen Niersabschnitten versickert, das überschüssige Wasser wird in die Niers eingeleitet.</w:t>
      </w:r>
    </w:p>
    <w:p w:rsidR="002D68DA" w:rsidRPr="002D68DA" w:rsidRDefault="002D68DA" w:rsidP="002D68DA">
      <w:pPr>
        <w:spacing w:before="240" w:line="320" w:lineRule="atLeast"/>
        <w:ind w:firstLine="708"/>
        <w:jc w:val="both"/>
        <w:rPr>
          <w:rFonts w:ascii="Arial" w:hAnsi="Arial" w:cs="Arial"/>
          <w:b/>
          <w:sz w:val="24"/>
          <w:szCs w:val="24"/>
        </w:rPr>
      </w:pPr>
      <w:r w:rsidRPr="002D68DA">
        <w:rPr>
          <w:rFonts w:ascii="Arial" w:hAnsi="Arial" w:cs="Arial"/>
          <w:b/>
          <w:sz w:val="24"/>
          <w:szCs w:val="24"/>
        </w:rPr>
        <w:t>Standort des Vorhabens</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 xml:space="preserve">Die offenen Wasserhaltungen werden auf den Flurstücken 33, 81, 60, 242, 252, 254 und 255, Flur 3 der </w:t>
      </w:r>
      <w:r>
        <w:rPr>
          <w:rFonts w:ascii="Arial" w:hAnsi="Arial" w:cs="Arial"/>
          <w:sz w:val="24"/>
          <w:szCs w:val="24"/>
        </w:rPr>
        <w:t>Gemarkung Pont und auf dem Flur</w:t>
      </w:r>
      <w:r w:rsidRPr="002D68DA">
        <w:rPr>
          <w:rFonts w:ascii="Arial" w:hAnsi="Arial" w:cs="Arial"/>
          <w:sz w:val="24"/>
          <w:szCs w:val="24"/>
        </w:rPr>
        <w:t>stück 89, Flur 2 der Gemarkung Straelen durchgeführt. Alle Flächen sind im Eigentum des Niersverbandes. Der gesamte Bereich befindet sich im Landschaftsschutzgebiet Nr. 3.3.3 „Niersniederung / Nieukerker Bruch“ (Landschaftsplan Kreis Kleve Nr. 12 „Geldern / Walbeck“).</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Im Einflussbereich liegen landwirtschaftliche Flächen, welche meist als Mähweiden und zum Teil als Ack</w:t>
      </w:r>
      <w:r>
        <w:rPr>
          <w:rFonts w:ascii="Arial" w:hAnsi="Arial" w:cs="Arial"/>
          <w:sz w:val="24"/>
          <w:szCs w:val="24"/>
        </w:rPr>
        <w:t>er genutzt werden, Teile der Be</w:t>
      </w:r>
      <w:r w:rsidRPr="002D68DA">
        <w:rPr>
          <w:rFonts w:ascii="Arial" w:hAnsi="Arial" w:cs="Arial"/>
          <w:sz w:val="24"/>
          <w:szCs w:val="24"/>
        </w:rPr>
        <w:t>triebsstelle der Deponie Pont, der Niersbroecker Weg und die Nie</w:t>
      </w:r>
      <w:r>
        <w:rPr>
          <w:rFonts w:ascii="Arial" w:hAnsi="Arial" w:cs="Arial"/>
          <w:sz w:val="24"/>
          <w:szCs w:val="24"/>
        </w:rPr>
        <w:t>rsbrücke, zwei Altarme als gesc</w:t>
      </w:r>
      <w:r w:rsidRPr="002D68DA">
        <w:rPr>
          <w:rFonts w:ascii="Arial" w:hAnsi="Arial" w:cs="Arial"/>
          <w:sz w:val="24"/>
          <w:szCs w:val="24"/>
        </w:rPr>
        <w:t>hützte Landschaftsbestandteile und die Niers und Nebengewässer.</w:t>
      </w:r>
    </w:p>
    <w:p w:rsidR="002D68DA" w:rsidRPr="002D68DA" w:rsidRDefault="002D68DA" w:rsidP="002D68DA">
      <w:pPr>
        <w:spacing w:line="320" w:lineRule="atLeast"/>
        <w:ind w:left="720"/>
        <w:jc w:val="both"/>
        <w:rPr>
          <w:rFonts w:ascii="Arial" w:hAnsi="Arial" w:cs="Arial"/>
          <w:sz w:val="24"/>
          <w:szCs w:val="24"/>
        </w:rPr>
      </w:pPr>
    </w:p>
    <w:p w:rsidR="002D68DA" w:rsidRPr="002D68DA" w:rsidRDefault="002D68DA" w:rsidP="002D68DA">
      <w:pPr>
        <w:spacing w:line="320" w:lineRule="atLeast"/>
        <w:ind w:left="720"/>
        <w:jc w:val="both"/>
        <w:rPr>
          <w:rFonts w:ascii="Arial" w:hAnsi="Arial" w:cs="Arial"/>
          <w:b/>
          <w:sz w:val="24"/>
          <w:szCs w:val="24"/>
        </w:rPr>
      </w:pPr>
      <w:r w:rsidRPr="002D68DA">
        <w:rPr>
          <w:rFonts w:ascii="Arial" w:hAnsi="Arial" w:cs="Arial"/>
          <w:b/>
          <w:sz w:val="24"/>
          <w:szCs w:val="24"/>
        </w:rPr>
        <w:lastRenderedPageBreak/>
        <w:t>Art und Merkmale der möglichen Auswirkungen</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 xml:space="preserve">Die Pumpen der Wasserhaltungsmaßnahmen verursachen Lärm. Es sind allerdings keine direkten </w:t>
      </w:r>
      <w:r>
        <w:rPr>
          <w:rFonts w:ascii="Arial" w:hAnsi="Arial" w:cs="Arial"/>
          <w:sz w:val="24"/>
          <w:szCs w:val="24"/>
        </w:rPr>
        <w:t>Anwohnerinnen oder Anwohner vor</w:t>
      </w:r>
      <w:r w:rsidRPr="002D68DA">
        <w:rPr>
          <w:rFonts w:ascii="Arial" w:hAnsi="Arial" w:cs="Arial"/>
          <w:sz w:val="24"/>
          <w:szCs w:val="24"/>
        </w:rPr>
        <w:t>handen. Die TA Lärm wird beacht</w:t>
      </w:r>
      <w:r>
        <w:rPr>
          <w:rFonts w:ascii="Arial" w:hAnsi="Arial" w:cs="Arial"/>
          <w:sz w:val="24"/>
          <w:szCs w:val="24"/>
        </w:rPr>
        <w:t>et und die Pumpenzeiten sind be</w:t>
      </w:r>
      <w:r w:rsidRPr="002D68DA">
        <w:rPr>
          <w:rFonts w:ascii="Arial" w:hAnsi="Arial" w:cs="Arial"/>
          <w:sz w:val="24"/>
          <w:szCs w:val="24"/>
        </w:rPr>
        <w:t>schränkt, weshalb der Mensch als Schutzgut in von den beantragten Grundwasserhaltungen nicht betroffen ist bzw. beeinträchtigt wird.</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Durch die Oberflächenversickerung in be</w:t>
      </w:r>
      <w:r>
        <w:rPr>
          <w:rFonts w:ascii="Arial" w:hAnsi="Arial" w:cs="Arial"/>
          <w:sz w:val="24"/>
          <w:szCs w:val="24"/>
        </w:rPr>
        <w:t>reits fertig gestellten Niersab</w:t>
      </w:r>
      <w:r w:rsidRPr="002D68DA">
        <w:rPr>
          <w:rFonts w:ascii="Arial" w:hAnsi="Arial" w:cs="Arial"/>
          <w:sz w:val="24"/>
          <w:szCs w:val="24"/>
        </w:rPr>
        <w:t xml:space="preserve">schnitten erfolgen ebenfalls keine erheblichen Auswirkungen auf das Schutzgut Boden, da der Bau abschnittsweise erfolgt, d.h., dass nicht </w:t>
      </w:r>
      <w:r w:rsidR="009F7A81">
        <w:rPr>
          <w:rFonts w:ascii="Arial" w:hAnsi="Arial" w:cs="Arial"/>
          <w:sz w:val="24"/>
          <w:szCs w:val="24"/>
        </w:rPr>
        <w:t xml:space="preserve">die gesamten 150.000 m³ </w:t>
      </w:r>
      <w:r w:rsidRPr="002D68DA">
        <w:rPr>
          <w:rFonts w:ascii="Arial" w:hAnsi="Arial" w:cs="Arial"/>
          <w:sz w:val="24"/>
          <w:szCs w:val="24"/>
        </w:rPr>
        <w:t>Boden glei</w:t>
      </w:r>
      <w:r w:rsidR="00F6416F">
        <w:rPr>
          <w:rFonts w:ascii="Arial" w:hAnsi="Arial" w:cs="Arial"/>
          <w:sz w:val="24"/>
          <w:szCs w:val="24"/>
        </w:rPr>
        <w:t>chzeitig in Anspruch genommen we</w:t>
      </w:r>
      <w:r w:rsidRPr="002D68DA">
        <w:rPr>
          <w:rFonts w:ascii="Arial" w:hAnsi="Arial" w:cs="Arial"/>
          <w:sz w:val="24"/>
          <w:szCs w:val="24"/>
        </w:rPr>
        <w:t>rd</w:t>
      </w:r>
      <w:r w:rsidR="00F6416F">
        <w:rPr>
          <w:rFonts w:ascii="Arial" w:hAnsi="Arial" w:cs="Arial"/>
          <w:sz w:val="24"/>
          <w:szCs w:val="24"/>
        </w:rPr>
        <w:t>en</w:t>
      </w:r>
      <w:bookmarkStart w:id="0" w:name="_GoBack"/>
      <w:bookmarkEnd w:id="0"/>
      <w:r w:rsidRPr="002D68DA">
        <w:rPr>
          <w:rFonts w:ascii="Arial" w:hAnsi="Arial" w:cs="Arial"/>
          <w:sz w:val="24"/>
          <w:szCs w:val="24"/>
        </w:rPr>
        <w:t xml:space="preserve"> und sich der Boden dadurch besser regenerieren kann.</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Auf das Schutzgut Wasser entste</w:t>
      </w:r>
      <w:r>
        <w:rPr>
          <w:rFonts w:ascii="Arial" w:hAnsi="Arial" w:cs="Arial"/>
          <w:sz w:val="24"/>
          <w:szCs w:val="24"/>
        </w:rPr>
        <w:t>hen keine erheblichen Auswirkun</w:t>
      </w:r>
      <w:r w:rsidRPr="002D68DA">
        <w:rPr>
          <w:rFonts w:ascii="Arial" w:hAnsi="Arial" w:cs="Arial"/>
          <w:sz w:val="24"/>
          <w:szCs w:val="24"/>
        </w:rPr>
        <w:t>gen, da der Bau abschnittsweise erfolgt und das Wasser größtenteils durch Oberflächenversickerung versickert. Für das überschüssige Wasser, welches in die Niers überführt wird, werden Absetzbecken/-container vorgeschaltet. Des Weiteren</w:t>
      </w:r>
      <w:r>
        <w:rPr>
          <w:rFonts w:ascii="Arial" w:hAnsi="Arial" w:cs="Arial"/>
          <w:sz w:val="24"/>
          <w:szCs w:val="24"/>
        </w:rPr>
        <w:t xml:space="preserve"> wird eine Analyse des geförder</w:t>
      </w:r>
      <w:r w:rsidRPr="002D68DA">
        <w:rPr>
          <w:rFonts w:ascii="Arial" w:hAnsi="Arial" w:cs="Arial"/>
          <w:sz w:val="24"/>
          <w:szCs w:val="24"/>
        </w:rPr>
        <w:t>ten Grundwassers stattfinden, damit</w:t>
      </w:r>
      <w:r>
        <w:rPr>
          <w:rFonts w:ascii="Arial" w:hAnsi="Arial" w:cs="Arial"/>
          <w:sz w:val="24"/>
          <w:szCs w:val="24"/>
        </w:rPr>
        <w:t xml:space="preserve"> Verunreinigungen frühzeitig er</w:t>
      </w:r>
      <w:r w:rsidRPr="002D68DA">
        <w:rPr>
          <w:rFonts w:ascii="Arial" w:hAnsi="Arial" w:cs="Arial"/>
          <w:sz w:val="24"/>
          <w:szCs w:val="24"/>
        </w:rPr>
        <w:t>kannt und verhindert werden. Die Wasserstände an den Altarmen w</w:t>
      </w:r>
      <w:r>
        <w:rPr>
          <w:rFonts w:ascii="Arial" w:hAnsi="Arial" w:cs="Arial"/>
          <w:sz w:val="24"/>
          <w:szCs w:val="24"/>
        </w:rPr>
        <w:t>er</w:t>
      </w:r>
      <w:r w:rsidRPr="002D68DA">
        <w:rPr>
          <w:rFonts w:ascii="Arial" w:hAnsi="Arial" w:cs="Arial"/>
          <w:sz w:val="24"/>
          <w:szCs w:val="24"/>
        </w:rPr>
        <w:t>den regelmäßig kontrolliert und ggf. mit Wasser aufgefüllt.</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Die Schutzgüter Luft/Klima und Kultur- und Sachgüter werden durch das Vorhaben nicht berührt.</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 xml:space="preserve">Die Gehölzbestände innerhalb der </w:t>
      </w:r>
      <w:r>
        <w:rPr>
          <w:rFonts w:ascii="Arial" w:hAnsi="Arial" w:cs="Arial"/>
          <w:sz w:val="24"/>
          <w:szCs w:val="24"/>
        </w:rPr>
        <w:t>Absenktrichter sowie die Wasser</w:t>
      </w:r>
      <w:r w:rsidRPr="002D68DA">
        <w:rPr>
          <w:rFonts w:ascii="Arial" w:hAnsi="Arial" w:cs="Arial"/>
          <w:sz w:val="24"/>
          <w:szCs w:val="24"/>
        </w:rPr>
        <w:t>stände der Altarme werden durch ök</w:t>
      </w:r>
      <w:r>
        <w:rPr>
          <w:rFonts w:ascii="Arial" w:hAnsi="Arial" w:cs="Arial"/>
          <w:sz w:val="24"/>
          <w:szCs w:val="24"/>
        </w:rPr>
        <w:t>ologische Baubegleitung über</w:t>
      </w:r>
      <w:r w:rsidRPr="002D68DA">
        <w:rPr>
          <w:rFonts w:ascii="Arial" w:hAnsi="Arial" w:cs="Arial"/>
          <w:sz w:val="24"/>
          <w:szCs w:val="24"/>
        </w:rPr>
        <w:t>wacht. Dementsprechend wirkt sich das Vorhaben nicht erheblich auf die Biotopbestände des Schutzgebiets aus.</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In Bezug auf das Schutzgut Landschaft entstehen keine erheblichen Auswirkungen, da das Landschaftsbild durch das Vorha</w:t>
      </w:r>
      <w:r>
        <w:rPr>
          <w:rFonts w:ascii="Arial" w:hAnsi="Arial" w:cs="Arial"/>
          <w:sz w:val="24"/>
          <w:szCs w:val="24"/>
        </w:rPr>
        <w:t>ben baube</w:t>
      </w:r>
      <w:r w:rsidRPr="002D68DA">
        <w:rPr>
          <w:rFonts w:ascii="Arial" w:hAnsi="Arial" w:cs="Arial"/>
          <w:sz w:val="24"/>
          <w:szCs w:val="24"/>
        </w:rPr>
        <w:t xml:space="preserve">dingt nur temporär beeinträchtigt wird. </w:t>
      </w:r>
    </w:p>
    <w:p w:rsidR="002D68DA" w:rsidRPr="002D68DA" w:rsidRDefault="002D68DA" w:rsidP="002D68DA">
      <w:pPr>
        <w:spacing w:line="320" w:lineRule="atLeast"/>
        <w:ind w:left="720"/>
        <w:jc w:val="both"/>
        <w:rPr>
          <w:rFonts w:ascii="Arial" w:hAnsi="Arial" w:cs="Arial"/>
          <w:b/>
          <w:sz w:val="24"/>
          <w:szCs w:val="24"/>
        </w:rPr>
      </w:pPr>
      <w:r w:rsidRPr="002D68DA">
        <w:rPr>
          <w:rFonts w:ascii="Arial" w:hAnsi="Arial" w:cs="Arial"/>
          <w:b/>
          <w:sz w:val="24"/>
          <w:szCs w:val="24"/>
        </w:rPr>
        <w:t xml:space="preserve">Ergebnis: </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Gemäß § 5 Absatz 1 Satz 1 stelle ich fe</w:t>
      </w:r>
      <w:r>
        <w:rPr>
          <w:rFonts w:ascii="Arial" w:hAnsi="Arial" w:cs="Arial"/>
          <w:sz w:val="24"/>
          <w:szCs w:val="24"/>
        </w:rPr>
        <w:t>st, dass für das beantragte Vor</w:t>
      </w:r>
      <w:r w:rsidRPr="002D68DA">
        <w:rPr>
          <w:rFonts w:ascii="Arial" w:hAnsi="Arial" w:cs="Arial"/>
          <w:sz w:val="24"/>
          <w:szCs w:val="24"/>
        </w:rPr>
        <w:t>haben eine Verpflichtung zur Durch</w:t>
      </w:r>
      <w:r>
        <w:rPr>
          <w:rFonts w:ascii="Arial" w:hAnsi="Arial" w:cs="Arial"/>
          <w:sz w:val="24"/>
          <w:szCs w:val="24"/>
        </w:rPr>
        <w:t>führung einer Umweltverträglich</w:t>
      </w:r>
      <w:r w:rsidRPr="002D68DA">
        <w:rPr>
          <w:rFonts w:ascii="Arial" w:hAnsi="Arial" w:cs="Arial"/>
          <w:sz w:val="24"/>
          <w:szCs w:val="24"/>
        </w:rPr>
        <w:t xml:space="preserve">keitsprüfung nicht besteht. </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Diese Feststellung wird hiermit ge</w:t>
      </w:r>
      <w:r>
        <w:rPr>
          <w:rFonts w:ascii="Arial" w:hAnsi="Arial" w:cs="Arial"/>
          <w:sz w:val="24"/>
          <w:szCs w:val="24"/>
        </w:rPr>
        <w:t>mäß § 5 Absatz 2 Satz 1 UVPG be</w:t>
      </w:r>
      <w:r w:rsidRPr="002D68DA">
        <w:rPr>
          <w:rFonts w:ascii="Arial" w:hAnsi="Arial" w:cs="Arial"/>
          <w:sz w:val="24"/>
          <w:szCs w:val="24"/>
        </w:rPr>
        <w:t xml:space="preserve">kanntgegeben. Sie ist nach </w:t>
      </w:r>
      <w:r w:rsidR="009F7A81">
        <w:rPr>
          <w:rFonts w:ascii="Arial" w:hAnsi="Arial" w:cs="Arial"/>
          <w:sz w:val="24"/>
          <w:szCs w:val="24"/>
        </w:rPr>
        <w:br/>
      </w:r>
      <w:r w:rsidRPr="002D68DA">
        <w:rPr>
          <w:rFonts w:ascii="Arial" w:hAnsi="Arial" w:cs="Arial"/>
          <w:sz w:val="24"/>
          <w:szCs w:val="24"/>
        </w:rPr>
        <w:t>§ 5 Absa</w:t>
      </w:r>
      <w:r>
        <w:rPr>
          <w:rFonts w:ascii="Arial" w:hAnsi="Arial" w:cs="Arial"/>
          <w:sz w:val="24"/>
          <w:szCs w:val="24"/>
        </w:rPr>
        <w:t>tz 3 Satz 1 UVPG nicht selbständig anfechtbar.</w:t>
      </w:r>
    </w:p>
    <w:p w:rsidR="002D68DA"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Im Auftrag</w:t>
      </w:r>
    </w:p>
    <w:p w:rsidR="002D68DA" w:rsidRPr="002D68DA" w:rsidRDefault="002D68DA" w:rsidP="002D68DA">
      <w:pPr>
        <w:spacing w:line="320" w:lineRule="atLeast"/>
        <w:ind w:left="720"/>
        <w:jc w:val="both"/>
        <w:rPr>
          <w:rFonts w:ascii="Arial" w:hAnsi="Arial" w:cs="Arial"/>
          <w:sz w:val="24"/>
          <w:szCs w:val="24"/>
        </w:rPr>
      </w:pPr>
      <w:r>
        <w:rPr>
          <w:rFonts w:ascii="Arial" w:hAnsi="Arial" w:cs="Arial"/>
          <w:sz w:val="24"/>
          <w:szCs w:val="24"/>
        </w:rPr>
        <w:t>gezeichnet</w:t>
      </w:r>
    </w:p>
    <w:p w:rsidR="00870C51" w:rsidRPr="002D68DA" w:rsidRDefault="002D68DA" w:rsidP="002D68DA">
      <w:pPr>
        <w:spacing w:line="320" w:lineRule="atLeast"/>
        <w:ind w:left="720"/>
        <w:jc w:val="both"/>
        <w:rPr>
          <w:rFonts w:ascii="Arial" w:hAnsi="Arial" w:cs="Arial"/>
          <w:sz w:val="24"/>
          <w:szCs w:val="24"/>
        </w:rPr>
      </w:pPr>
      <w:r w:rsidRPr="002D68DA">
        <w:rPr>
          <w:rFonts w:ascii="Arial" w:hAnsi="Arial" w:cs="Arial"/>
          <w:sz w:val="24"/>
          <w:szCs w:val="24"/>
        </w:rPr>
        <w:t>Carolin Stute</w:t>
      </w:r>
    </w:p>
    <w:sectPr w:rsidR="00870C51" w:rsidRPr="002D68DA" w:rsidSect="002D68DA">
      <w:headerReference w:type="default" r:id="rId7"/>
      <w:footerReference w:type="default" r:id="rId8"/>
      <w:pgSz w:w="11906" w:h="16838"/>
      <w:pgMar w:top="720" w:right="720" w:bottom="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8DA" w:rsidRDefault="002D68DA" w:rsidP="002D68DA">
      <w:pPr>
        <w:spacing w:after="0" w:line="240" w:lineRule="auto"/>
      </w:pPr>
      <w:r>
        <w:separator/>
      </w:r>
    </w:p>
  </w:endnote>
  <w:endnote w:type="continuationSeparator" w:id="0">
    <w:p w:rsidR="002D68DA" w:rsidRDefault="002D68DA" w:rsidP="002D6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8DA" w:rsidRDefault="002D68DA" w:rsidP="002D68DA">
    <w:pPr>
      <w:pStyle w:val="Fuzeile"/>
    </w:pPr>
    <w:r>
      <w:rPr>
        <w:noProof/>
        <w:lang w:eastAsia="de-DE"/>
      </w:rPr>
      <w:drawing>
        <wp:inline distT="0" distB="0" distL="0" distR="0" wp14:anchorId="3DA92254">
          <wp:extent cx="7572375" cy="17811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2375" cy="178117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8DA" w:rsidRDefault="002D68DA" w:rsidP="002D68DA">
      <w:pPr>
        <w:spacing w:after="0" w:line="240" w:lineRule="auto"/>
      </w:pPr>
      <w:r>
        <w:separator/>
      </w:r>
    </w:p>
  </w:footnote>
  <w:footnote w:type="continuationSeparator" w:id="0">
    <w:p w:rsidR="002D68DA" w:rsidRDefault="002D68DA" w:rsidP="002D6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8DA" w:rsidRDefault="002D68DA" w:rsidP="002D68DA">
    <w:pPr>
      <w:pStyle w:val="Kopfzeile"/>
      <w:jc w:val="right"/>
    </w:pPr>
    <w:r>
      <w:rPr>
        <w:noProof/>
        <w:lang w:eastAsia="de-DE"/>
      </w:rPr>
      <w:drawing>
        <wp:inline distT="0" distB="0" distL="0" distR="0" wp14:anchorId="6B7DB59B" wp14:editId="157376C6">
          <wp:extent cx="1933575" cy="628650"/>
          <wp:effectExtent l="0" t="0" r="9525" b="0"/>
          <wp:docPr id="43" name="Bild 43" descr="NRW Wappen mit Text Bezirksregierung"/>
          <wp:cNvGraphicFramePr/>
          <a:graphic xmlns:a="http://schemas.openxmlformats.org/drawingml/2006/main">
            <a:graphicData uri="http://schemas.openxmlformats.org/drawingml/2006/picture">
              <pic:pic xmlns:pic="http://schemas.openxmlformats.org/drawingml/2006/picture">
                <pic:nvPicPr>
                  <pic:cNvPr id="43" name="Bild 43" descr="NRW Wappen mit Text Bezirksregieru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6286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DA"/>
    <w:rsid w:val="002D68DA"/>
    <w:rsid w:val="00870C51"/>
    <w:rsid w:val="009F7A81"/>
    <w:rsid w:val="00F641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E41C0D"/>
  <w15:chartTrackingRefBased/>
  <w15:docId w15:val="{6CB9ACD3-B483-4267-BE71-EE628B8B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D68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68DA"/>
  </w:style>
  <w:style w:type="paragraph" w:styleId="Fuzeile">
    <w:name w:val="footer"/>
    <w:basedOn w:val="Standard"/>
    <w:link w:val="FuzeileZchn"/>
    <w:uiPriority w:val="99"/>
    <w:unhideWhenUsed/>
    <w:rsid w:val="002D68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6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C7A7A-B446-44B4-9612-D01EE2719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5368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Bezirksregierung Düsseldorf</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Matter, Jule</dc:creator>
  <cp:keywords/>
  <dc:description/>
  <cp:lastModifiedBy>Stute, Carolin</cp:lastModifiedBy>
  <cp:revision>2</cp:revision>
  <dcterms:created xsi:type="dcterms:W3CDTF">2024-02-01T15:17:00Z</dcterms:created>
  <dcterms:modified xsi:type="dcterms:W3CDTF">2024-02-01T15:17:00Z</dcterms:modified>
</cp:coreProperties>
</file>