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28"/>
        </w:rPr>
        <w:t>A PROJECT REPORT</w:t>
        <w:br/>
        <w:t>ON</w:t>
        <w:br/>
      </w:r>
    </w:p>
    <w:p>
      <w:pPr>
        <w:spacing w:before="120" w:after="480"/>
        <w:jc w:val="center"/>
      </w:pPr>
      <w:r>
        <w:rPr>
          <w:rFonts w:ascii="Times New Roman" w:hAnsi="Times New Roman"/>
          <w:b/>
          <w:sz w:val="30"/>
        </w:rPr>
        <w:t>PHARMATRUST: DECENTRALIZED PHARMACEUTICAL SUPPLY CHAIN PROVENANCE AND ANTI-COUNTERFEITING PLATFORM USING BLOCKCHAIN</w:t>
      </w:r>
    </w:p>
    <w:p>
      <w:pPr>
        <w:spacing w:before="360" w:after="360"/>
        <w:jc w:val="center"/>
      </w:pPr>
      <w:r>
        <w:rPr>
          <w:rFonts w:ascii="Times New Roman" w:hAnsi="Times New Roman"/>
          <w:b/>
          <w:sz w:val="22"/>
        </w:rPr>
        <w:t>REPORT SUBMITTED TOWARDS PARTIAL FULFILLMENT OF THE REQUIREMENT FOR THE AWARD OF THE DEGREE OF</w:t>
        <w:br/>
        <w:br/>
        <w:t>BACHELOR OF TECHNOLOGY</w:t>
        <w:br/>
        <w:t>IN</w:t>
        <w:br/>
        <w:t>COMPUTER SCIENCE AND ENGINEERING</w:t>
      </w:r>
    </w:p>
    <w:p>
      <w:pPr>
        <w:spacing w:before="360" w:after="360"/>
        <w:jc w:val="center"/>
      </w:pPr>
      <w:r>
        <w:rPr>
          <w:rFonts w:ascii="Times New Roman" w:hAnsi="Times New Roman"/>
          <w:b/>
          <w:sz w:val="24"/>
        </w:rPr>
        <w:t>SUBMITTED BY</w:t>
        <w:br/>
        <w:br/>
        <w:t>Sukaran Singh - 23070122213</w:t>
        <w:br/>
        <w:t>Shreyash Sure - 23070122214</w:t>
        <w:br/>
      </w:r>
    </w:p>
    <w:p>
      <w:pPr>
        <w:spacing w:before="240" w:after="240"/>
        <w:jc w:val="center"/>
      </w:pPr>
      <w:r>
        <w:drawing>
          <wp:inline xmlns:a="http://schemas.openxmlformats.org/drawingml/2006/main" xmlns:pic="http://schemas.openxmlformats.org/drawingml/2006/picture">
            <wp:extent cx="1097280" cy="1210235"/>
            <wp:docPr id="1" name="Picture 1"/>
            <wp:cNvGraphicFramePr>
              <a:graphicFrameLocks noChangeAspect="1"/>
            </wp:cNvGraphicFramePr>
            <a:graphic>
              <a:graphicData uri="http://schemas.openxmlformats.org/drawingml/2006/picture">
                <pic:pic>
                  <pic:nvPicPr>
                    <pic:cNvPr id="0" name="page_1_Image11.png"/>
                    <pic:cNvPicPr/>
                  </pic:nvPicPr>
                  <pic:blipFill>
                    <a:blip r:embed="rId9"/>
                    <a:stretch>
                      <a:fillRect/>
                    </a:stretch>
                  </pic:blipFill>
                  <pic:spPr>
                    <a:xfrm>
                      <a:off x="0" y="0"/>
                      <a:ext cx="1097280" cy="1210235"/>
                    </a:xfrm>
                    <a:prstGeom prst="rect"/>
                  </pic:spPr>
                </pic:pic>
              </a:graphicData>
            </a:graphic>
          </wp:inline>
        </w:drawing>
      </w:r>
    </w:p>
    <w:p>
      <w:pPr>
        <w:spacing w:before="240" w:after="0"/>
        <w:jc w:val="center"/>
      </w:pPr>
      <w:r>
        <w:rPr>
          <w:rFonts w:ascii="Times New Roman" w:hAnsi="Times New Roman"/>
          <w:b/>
          <w:sz w:val="22"/>
        </w:rPr>
        <w:t>UNDER THE GUIDANCE OF</w:t>
        <w:br/>
        <w:t>Dr. RANJEET BIDWE</w:t>
        <w:br/>
        <w:br/>
        <w:t>DEPARTMENT OF COMPUTER SCIENCE AND ENGINEERING</w:t>
        <w:br/>
        <w:t>SYMBIOSIS INSTITUTE OF TECHNOLOGY PUNE - 412115</w:t>
        <w:br/>
        <w:t>A CONSTITUENT OF SYMBIOSIS INTERNATIONAL (DEEMED UNIVERSITY)</w:t>
        <w:br/>
        <w:t>2026-27</w:t>
      </w:r>
    </w:p>
    <w:p>
      <w:r>
        <w:br w:type="page"/>
      </w:r>
    </w:p>
    <w:p>
      <w:pPr>
        <w:spacing w:before="480" w:after="480" w:line="276" w:lineRule="auto"/>
        <w:jc w:val="center"/>
      </w:pPr>
      <w:r>
        <w:rPr>
          <w:rFonts w:ascii="Times New Roman" w:hAnsi="Times New Roman"/>
          <w:b/>
          <w:color w:val="1E3A5F"/>
          <w:sz w:val="32"/>
        </w:rPr>
        <w:t>Declaration</w:t>
      </w:r>
    </w:p>
    <w:p>
      <w:pPr>
        <w:spacing w:before="0" w:after="120" w:line="276" w:lineRule="auto"/>
        <w:jc w:val="both"/>
      </w:pPr>
      <w:r>
        <w:rPr>
          <w:rFonts w:ascii="Times New Roman" w:hAnsi="Times New Roman"/>
          <w:b w:val="0"/>
          <w:i w:val="0"/>
          <w:sz w:val="24"/>
        </w:rPr>
        <w:t>We hereby state that our project work titled — “PharmaTrust: Decentralized Pharmaceutical Supply Chain Provenance and Anti-Counterfeiting Platform using Blockchain” is an authentic record of our own engineering work carried out as requirements for the final year project for the award of Bachelor of Technology (B.Tech.) degree in Computer Science and Engineering at Symbiosis Institute of Technology, Pune, affiliated with Symbiosis International (Deemed University), Pune, under the supervision and guidance of Dr. Ranjeet Bidwe during the academic period July 2026 to October 2026.</w:t>
      </w:r>
    </w:p>
    <w:p>
      <w:pPr>
        <w:spacing w:before="0" w:after="120" w:line="276" w:lineRule="auto"/>
        <w:jc w:val="both"/>
      </w:pPr>
      <w:r>
        <w:rPr>
          <w:rFonts w:ascii="Times New Roman" w:hAnsi="Times New Roman"/>
          <w:b w:val="0"/>
          <w:i w:val="0"/>
          <w:sz w:val="24"/>
        </w:rPr>
        <w:t>We further confirm that this project report has not been submitted either in part or in full to any other university or institute for the award of any degree, diploma, or fellowship. The literature reviewed, external frameworks referenced, and conceptual designs adopted have been cited and referenced appropriately.</w:t>
      </w:r>
    </w:p>
    <w:p>
      <w:pPr>
        <w:spacing w:before="1440"/>
      </w:pPr>
    </w:p>
    <w:tbl>
      <w:tblPr>
        <w:tblW w:type="auto" w:w="0"/>
        <w:jc w:val="center"/>
        <w:tblLook w:firstColumn="1" w:firstRow="1" w:lastColumn="0" w:lastRow="0" w:noHBand="0" w:noVBand="1" w:val="04A0"/>
      </w:tblPr>
      <w:tblGrid>
        <w:gridCol w:w="4334"/>
        <w:gridCol w:w="4334"/>
      </w:tblGrid>
      <w:tr>
        <w:tc>
          <w:tcPr>
            <w:tcW w:type="dxa" w:w="4320"/>
          </w:tcPr>
          <w:p>
            <w:pPr>
              <w:jc w:val="center"/>
            </w:pPr>
            <w:r>
              <w:rPr>
                <w:rFonts w:ascii="Times New Roman" w:hAnsi="Times New Roman"/>
                <w:b/>
                <w:sz w:val="22"/>
              </w:rPr>
              <w:t>Sukaran Singh</w:t>
              <w:br/>
              <w:t>23070122213</w:t>
              <w:br/>
              <w:t>Department of CSE</w:t>
              <w:br/>
              <w:t>SIT Pune</w:t>
            </w:r>
          </w:p>
        </w:tc>
        <w:tc>
          <w:tcPr>
            <w:tcW w:type="dxa" w:w="4320"/>
          </w:tcPr>
          <w:p>
            <w:pPr>
              <w:jc w:val="center"/>
            </w:pPr>
            <w:r>
              <w:rPr>
                <w:rFonts w:ascii="Times New Roman" w:hAnsi="Times New Roman"/>
                <w:b/>
                <w:sz w:val="22"/>
              </w:rPr>
              <w:t>Shreyash Sure</w:t>
              <w:br/>
              <w:t>23070122214</w:t>
              <w:br/>
              <w:t>Department of CSE</w:t>
              <w:br/>
              <w:t>SIT Pune</w:t>
            </w:r>
          </w:p>
        </w:tc>
      </w:tr>
    </w:tbl>
    <w:p>
      <w:pPr>
        <w:spacing w:before="960"/>
      </w:pPr>
    </w:p>
    <w:p>
      <w:pPr>
        <w:spacing w:before="0" w:after="120" w:line="276" w:lineRule="auto"/>
        <w:jc w:val="both"/>
      </w:pPr>
      <w:r>
        <w:rPr>
          <w:rFonts w:ascii="Times New Roman" w:hAnsi="Times New Roman"/>
          <w:b/>
          <w:i w:val="0"/>
          <w:sz w:val="24"/>
        </w:rPr>
        <w:t>Date: 18 October 2026</w:t>
        <w:br/>
        <w:t>Place: Pune, Maharashtra</w:t>
      </w:r>
    </w:p>
    <w:p>
      <w:pPr>
        <w:spacing w:before="0" w:after="120" w:line="276" w:lineRule="auto"/>
        <w:jc w:val="both"/>
      </w:pPr>
      <w:r>
        <w:rPr>
          <w:rFonts w:ascii="Times New Roman" w:hAnsi="Times New Roman"/>
          <w:b w:val="0"/>
          <w:i w:val="0"/>
          <w:sz w:val="24"/>
        </w:rPr>
        <w:t>Certified that the above statement made by the students is correct to the best of my knowledge and belief.</w:t>
      </w:r>
    </w:p>
    <w:p>
      <w:pPr>
        <w:spacing w:before="720"/>
      </w:pPr>
    </w:p>
    <w:p>
      <w:pPr>
        <w:jc w:val="right"/>
      </w:pPr>
      <w:r>
        <w:rPr>
          <w:rFonts w:ascii="Times New Roman" w:hAnsi="Times New Roman"/>
          <w:b/>
          <w:sz w:val="22"/>
        </w:rPr>
        <w:t>Dr. Ranjeet Bidwe</w:t>
        <w:br/>
        <w:t>Project Coordinator &amp; Guide</w:t>
        <w:br/>
        <w:t>Department of Computer Science &amp; Engineering</w:t>
        <w:br/>
        <w:t>Symbiosis Institute of Technology, Pune</w:t>
      </w:r>
    </w:p>
    <w:p>
      <w:r>
        <w:br w:type="page"/>
      </w:r>
    </w:p>
    <w:p>
      <w:pPr>
        <w:spacing w:before="480" w:after="480" w:line="276" w:lineRule="auto"/>
        <w:jc w:val="center"/>
      </w:pPr>
      <w:r>
        <w:rPr>
          <w:rFonts w:ascii="Times New Roman" w:hAnsi="Times New Roman"/>
          <w:b/>
          <w:color w:val="1E3A5F"/>
          <w:sz w:val="32"/>
        </w:rPr>
        <w:t>Acknowledgment</w:t>
      </w:r>
    </w:p>
    <w:p>
      <w:pPr>
        <w:spacing w:before="0" w:after="120" w:line="276" w:lineRule="auto"/>
        <w:jc w:val="both"/>
      </w:pPr>
      <w:r>
        <w:rPr>
          <w:rFonts w:ascii="Times New Roman" w:hAnsi="Times New Roman"/>
          <w:b w:val="0"/>
          <w:i w:val="0"/>
          <w:sz w:val="24"/>
        </w:rPr>
        <w:t>The formulation, architectural realization, smart contract implementation, and successful testing of the PharmaTrust platform was made possible through the generous support, expert guidance, and continuous encouragement of numerous mentors and faculty members. We express our deepest gratitude to all who contributed to the fruition of this project.</w:t>
      </w:r>
    </w:p>
    <w:p>
      <w:pPr>
        <w:spacing w:before="0" w:after="120" w:line="276" w:lineRule="auto"/>
        <w:jc w:val="both"/>
      </w:pPr>
      <w:r>
        <w:rPr>
          <w:rFonts w:ascii="Times New Roman" w:hAnsi="Times New Roman"/>
          <w:b w:val="0"/>
          <w:i w:val="0"/>
          <w:sz w:val="24"/>
        </w:rPr>
        <w:t>First and foremost, we express our profound gratitude to Symbiosis Institute of Technology (SIT), Pune, a constituent of Symbiosis International (Deemed University), and the Department of Computer Science and Engineering for providing state-of-the-art computational infrastructure, decentralized cloud environments, and an intellectually vibrant ecosystem that fostered our project development.</w:t>
      </w:r>
    </w:p>
    <w:p>
      <w:pPr>
        <w:spacing w:before="0" w:after="120" w:line="276" w:lineRule="auto"/>
        <w:jc w:val="both"/>
      </w:pPr>
      <w:r>
        <w:rPr>
          <w:rFonts w:ascii="Times New Roman" w:hAnsi="Times New Roman"/>
          <w:b w:val="0"/>
          <w:i w:val="0"/>
          <w:sz w:val="24"/>
        </w:rPr>
        <w:t>We owe our sincere gratitude and indebtedness to our project guide and coordinator, Dr. Ranjeet Bidwe, for his invaluable technical guidance, constructive reviews, and persistent motivation throughout the lifecycle of this work. His critical insights into decentralized system engineering, smart contract security standards, and formal verification methodologies significantly enhanced the architectural rigor of PharmaTrust.</w:t>
      </w:r>
    </w:p>
    <w:p>
      <w:pPr>
        <w:spacing w:before="0" w:after="120" w:line="276" w:lineRule="auto"/>
        <w:jc w:val="both"/>
      </w:pPr>
      <w:r>
        <w:rPr>
          <w:rFonts w:ascii="Times New Roman" w:hAnsi="Times New Roman"/>
          <w:b w:val="0"/>
          <w:i w:val="0"/>
          <w:sz w:val="24"/>
        </w:rPr>
        <w:t>We also extend our earnest appreciation to the Head of the Department, faculty reviewers, and technical staff of the Computer Science and Engineering Department for their periodic evaluations, insightful questions during milestone presentations, and constructive recommendations.</w:t>
      </w:r>
    </w:p>
    <w:p>
      <w:pPr>
        <w:spacing w:before="0" w:after="120" w:line="276" w:lineRule="auto"/>
        <w:jc w:val="both"/>
      </w:pPr>
      <w:r>
        <w:rPr>
          <w:rFonts w:ascii="Times New Roman" w:hAnsi="Times New Roman"/>
          <w:b w:val="0"/>
          <w:i w:val="0"/>
          <w:sz w:val="24"/>
        </w:rPr>
        <w:t>Finally, we thank our families, peers, and fellow researchers whose unwavering encouragement, patient feedback, and cooperative testing made this endeavor both fulfilling and successful.</w:t>
      </w:r>
    </w:p>
    <w:p>
      <w:pPr>
        <w:spacing w:before="480" w:after="120" w:line="276" w:lineRule="auto"/>
        <w:jc w:val="both"/>
      </w:pPr>
      <w:r>
        <w:rPr>
          <w:rFonts w:ascii="Times New Roman" w:hAnsi="Times New Roman"/>
          <w:b/>
          <w:i w:val="0"/>
          <w:sz w:val="24"/>
        </w:rPr>
        <w:t>Thank You!</w:t>
        <w:br/>
        <w:br/>
        <w:t>Sukaran Singh (23070122213)</w:t>
        <w:br/>
        <w:t>Shreyash Sure (23070122214)</w:t>
      </w:r>
    </w:p>
    <w:p>
      <w:r>
        <w:br w:type="page"/>
      </w:r>
    </w:p>
    <w:p>
      <w:pPr>
        <w:spacing w:before="480" w:after="360" w:line="276" w:lineRule="auto"/>
        <w:jc w:val="center"/>
      </w:pPr>
      <w:r>
        <w:rPr>
          <w:rFonts w:ascii="Times New Roman" w:hAnsi="Times New Roman"/>
          <w:b/>
          <w:color w:val="1E3A5F"/>
          <w:sz w:val="32"/>
        </w:rPr>
        <w:t>List of Figures</w:t>
      </w:r>
    </w:p>
    <w:tbl>
      <w:tblPr>
        <w:tblW w:type="auto" w:w="0"/>
        <w:jc w:val="center"/>
        <w:tblLook w:firstColumn="1" w:firstRow="1" w:lastColumn="0" w:lastRow="0" w:noHBand="0" w:noVBand="1" w:val="04A0"/>
      </w:tblPr>
      <w:tblGrid>
        <w:gridCol w:w="2890"/>
        <w:gridCol w:w="2890"/>
        <w:gridCol w:w="2890"/>
      </w:tblGrid>
      <w:tr>
        <w:tc>
          <w:tcPr>
            <w:tcW w:type="dxa" w:w="1440"/>
            <w:shd w:fill="E2E8F0"/>
          </w:tcPr>
          <w:p>
            <w:pPr>
              <w:jc w:val="center"/>
            </w:pPr>
            <w:r>
              <w:rPr>
                <w:rFonts w:ascii="Times New Roman" w:hAnsi="Times New Roman"/>
                <w:b/>
                <w:sz w:val="22"/>
              </w:rPr>
              <w:t>Fig. No.</w:t>
            </w:r>
          </w:p>
        </w:tc>
        <w:tc>
          <w:tcPr>
            <w:tcW w:type="dxa" w:w="6480"/>
            <w:shd w:fill="E2E8F0"/>
          </w:tcPr>
          <w:p>
            <w:pPr>
              <w:jc w:val="left"/>
            </w:pPr>
            <w:r>
              <w:rPr>
                <w:rFonts w:ascii="Times New Roman" w:hAnsi="Times New Roman"/>
                <w:b/>
                <w:sz w:val="22"/>
              </w:rPr>
              <w:t>Title</w:t>
            </w:r>
          </w:p>
        </w:tc>
        <w:tc>
          <w:tcPr>
            <w:tcW w:type="dxa" w:w="1152"/>
            <w:shd w:fill="E2E8F0"/>
          </w:tcPr>
          <w:p>
            <w:pPr>
              <w:jc w:val="center"/>
            </w:pPr>
            <w:r>
              <w:rPr>
                <w:rFonts w:ascii="Times New Roman" w:hAnsi="Times New Roman"/>
                <w:b/>
                <w:sz w:val="22"/>
              </w:rPr>
              <w:t>Page</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1</w:t>
            </w:r>
          </w:p>
        </w:tc>
        <w:tc>
          <w:tcPr>
            <w:tcW w:type="dxa" w:w="6480"/>
            <w:tcBorders>
              <w:top w:val="single" w:sz="4" w:space="0" w:color="CCCCCC"/>
              <w:bottom w:val="single" w:sz="4" w:space="0" w:color="CCCCCC"/>
              <w:left w:val="single" w:sz="4" w:space="0" w:color="CCCCCC"/>
              <w:right w:val="single" w:sz="4" w:space="0" w:color="CCCCCC"/>
            </w:tcBorders>
          </w:tcPr>
          <w:p>
            <w:r>
              <w:rPr>
                <w:sz w:val="21"/>
              </w:rPr>
              <w:t>Distribution of Report Flowchart</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10</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2</w:t>
            </w:r>
          </w:p>
        </w:tc>
        <w:tc>
          <w:tcPr>
            <w:tcW w:type="dxa" w:w="6480"/>
            <w:tcBorders>
              <w:top w:val="single" w:sz="4" w:space="0" w:color="CCCCCC"/>
              <w:bottom w:val="single" w:sz="4" w:space="0" w:color="CCCCCC"/>
              <w:left w:val="single" w:sz="4" w:space="0" w:color="CCCCCC"/>
              <w:right w:val="single" w:sz="4" w:space="0" w:color="CCCCCC"/>
            </w:tcBorders>
          </w:tcPr>
          <w:p>
            <w:r>
              <w:rPr>
                <w:sz w:val="21"/>
              </w:rPr>
              <w:t>System Architecture Plan of PharmaTrust Platform</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24</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3</w:t>
            </w:r>
          </w:p>
        </w:tc>
        <w:tc>
          <w:tcPr>
            <w:tcW w:type="dxa" w:w="6480"/>
            <w:tcBorders>
              <w:top w:val="single" w:sz="4" w:space="0" w:color="CCCCCC"/>
              <w:bottom w:val="single" w:sz="4" w:space="0" w:color="CCCCCC"/>
              <w:left w:val="single" w:sz="4" w:space="0" w:color="CCCCCC"/>
              <w:right w:val="single" w:sz="4" w:space="0" w:color="CCCCCC"/>
            </w:tcBorders>
          </w:tcPr>
          <w:p>
            <w:r>
              <w:rPr>
                <w:sz w:val="21"/>
              </w:rPr>
              <w:t>Data Flow Diagram (Level 0 and Level 1 DFD)</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24</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4</w:t>
            </w:r>
          </w:p>
        </w:tc>
        <w:tc>
          <w:tcPr>
            <w:tcW w:type="dxa" w:w="6480"/>
            <w:tcBorders>
              <w:top w:val="single" w:sz="4" w:space="0" w:color="CCCCCC"/>
              <w:bottom w:val="single" w:sz="4" w:space="0" w:color="CCCCCC"/>
              <w:left w:val="single" w:sz="4" w:space="0" w:color="CCCCCC"/>
              <w:right w:val="single" w:sz="4" w:space="0" w:color="CCCCCC"/>
            </w:tcBorders>
          </w:tcPr>
          <w:p>
            <w:r>
              <w:rPr>
                <w:sz w:val="21"/>
              </w:rPr>
              <w:t>State Chart Diagram of Batch Custody Lifecycle</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25</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5</w:t>
            </w:r>
          </w:p>
        </w:tc>
        <w:tc>
          <w:tcPr>
            <w:tcW w:type="dxa" w:w="6480"/>
            <w:tcBorders>
              <w:top w:val="single" w:sz="4" w:space="0" w:color="CCCCCC"/>
              <w:bottom w:val="single" w:sz="4" w:space="0" w:color="CCCCCC"/>
              <w:left w:val="single" w:sz="4" w:space="0" w:color="CCCCCC"/>
              <w:right w:val="single" w:sz="4" w:space="0" w:color="CCCCCC"/>
            </w:tcBorders>
          </w:tcPr>
          <w:p>
            <w:r>
              <w:rPr>
                <w:sz w:val="21"/>
              </w:rPr>
              <w:t>Activity Diagram for Batch Minting and Verification</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25</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6</w:t>
            </w:r>
          </w:p>
        </w:tc>
        <w:tc>
          <w:tcPr>
            <w:tcW w:type="dxa" w:w="6480"/>
            <w:tcBorders>
              <w:top w:val="single" w:sz="4" w:space="0" w:color="CCCCCC"/>
              <w:bottom w:val="single" w:sz="4" w:space="0" w:color="CCCCCC"/>
              <w:left w:val="single" w:sz="4" w:space="0" w:color="CCCCCC"/>
              <w:right w:val="single" w:sz="4" w:space="0" w:color="CCCCCC"/>
            </w:tcBorders>
          </w:tcPr>
          <w:p>
            <w:r>
              <w:rPr>
                <w:sz w:val="21"/>
              </w:rPr>
              <w:t>UML Sequence Diagram of Custody Transfer via MetaMask</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26</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7</w:t>
            </w:r>
          </w:p>
        </w:tc>
        <w:tc>
          <w:tcPr>
            <w:tcW w:type="dxa" w:w="6480"/>
            <w:tcBorders>
              <w:top w:val="single" w:sz="4" w:space="0" w:color="CCCCCC"/>
              <w:bottom w:val="single" w:sz="4" w:space="0" w:color="CCCCCC"/>
              <w:left w:val="single" w:sz="4" w:space="0" w:color="CCCCCC"/>
              <w:right w:val="single" w:sz="4" w:space="0" w:color="CCCCCC"/>
            </w:tcBorders>
          </w:tcPr>
          <w:p>
            <w:r>
              <w:rPr>
                <w:sz w:val="21"/>
              </w:rPr>
              <w:t>Project Implementation Gantt Chart</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27</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8</w:t>
            </w:r>
          </w:p>
        </w:tc>
        <w:tc>
          <w:tcPr>
            <w:tcW w:type="dxa" w:w="6480"/>
            <w:tcBorders>
              <w:top w:val="single" w:sz="4" w:space="0" w:color="CCCCCC"/>
              <w:bottom w:val="single" w:sz="4" w:space="0" w:color="CCCCCC"/>
              <w:left w:val="single" w:sz="4" w:space="0" w:color="CCCCCC"/>
              <w:right w:val="single" w:sz="4" w:space="0" w:color="CCCCCC"/>
            </w:tcBorders>
          </w:tcPr>
          <w:p>
            <w:r>
              <w:rPr>
                <w:sz w:val="21"/>
              </w:rPr>
              <w:t>Smart Contract Architecture (UML Class Diagram)</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33</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9</w:t>
            </w:r>
          </w:p>
        </w:tc>
        <w:tc>
          <w:tcPr>
            <w:tcW w:type="dxa" w:w="6480"/>
            <w:tcBorders>
              <w:top w:val="single" w:sz="4" w:space="0" w:color="CCCCCC"/>
              <w:bottom w:val="single" w:sz="4" w:space="0" w:color="CCCCCC"/>
              <w:left w:val="single" w:sz="4" w:space="0" w:color="CCCCCC"/>
              <w:right w:val="single" w:sz="4" w:space="0" w:color="CCCCCC"/>
            </w:tcBorders>
          </w:tcPr>
          <w:p>
            <w:r>
              <w:rPr>
                <w:sz w:val="21"/>
              </w:rPr>
              <w:t>Gas Execution Pipeline on Polygon Amoy PoS Network</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33</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10</w:t>
            </w:r>
          </w:p>
        </w:tc>
        <w:tc>
          <w:tcPr>
            <w:tcW w:type="dxa" w:w="6480"/>
            <w:tcBorders>
              <w:top w:val="single" w:sz="4" w:space="0" w:color="CCCCCC"/>
              <w:bottom w:val="single" w:sz="4" w:space="0" w:color="CCCCCC"/>
              <w:left w:val="single" w:sz="4" w:space="0" w:color="CCCCCC"/>
              <w:right w:val="single" w:sz="4" w:space="0" w:color="CCCCCC"/>
            </w:tcBorders>
          </w:tcPr>
          <w:p>
            <w:r>
              <w:rPr>
                <w:sz w:val="21"/>
              </w:rPr>
              <w:t>Dynamic QR Code Cryptographic Verification Flow</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34</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11</w:t>
            </w:r>
          </w:p>
        </w:tc>
        <w:tc>
          <w:tcPr>
            <w:tcW w:type="dxa" w:w="6480"/>
            <w:tcBorders>
              <w:top w:val="single" w:sz="4" w:space="0" w:color="CCCCCC"/>
              <w:bottom w:val="single" w:sz="4" w:space="0" w:color="CCCCCC"/>
              <w:left w:val="single" w:sz="4" w:space="0" w:color="CCCCCC"/>
              <w:right w:val="single" w:sz="4" w:space="0" w:color="CCCCCC"/>
            </w:tcBorders>
          </w:tcPr>
          <w:p>
            <w:r>
              <w:rPr>
                <w:sz w:val="21"/>
              </w:rPr>
              <w:t>Parent-Child Hierarchical Batching Architecture</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34</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12</w:t>
            </w:r>
          </w:p>
        </w:tc>
        <w:tc>
          <w:tcPr>
            <w:tcW w:type="dxa" w:w="6480"/>
            <w:tcBorders>
              <w:top w:val="single" w:sz="4" w:space="0" w:color="CCCCCC"/>
              <w:bottom w:val="single" w:sz="4" w:space="0" w:color="CCCCCC"/>
              <w:left w:val="single" w:sz="4" w:space="0" w:color="CCCCCC"/>
              <w:right w:val="single" w:sz="4" w:space="0" w:color="CCCCCC"/>
            </w:tcBorders>
          </w:tcPr>
          <w:p>
            <w:r>
              <w:rPr>
                <w:sz w:val="21"/>
              </w:rPr>
              <w:t>Hybrid On-Chain / Off-Chain Synchronization Architecture</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34</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Graph 1</w:t>
            </w:r>
          </w:p>
        </w:tc>
        <w:tc>
          <w:tcPr>
            <w:tcW w:type="dxa" w:w="6480"/>
            <w:tcBorders>
              <w:top w:val="single" w:sz="4" w:space="0" w:color="CCCCCC"/>
              <w:bottom w:val="single" w:sz="4" w:space="0" w:color="CCCCCC"/>
              <w:left w:val="single" w:sz="4" w:space="0" w:color="CCCCCC"/>
              <w:right w:val="single" w:sz="4" w:space="0" w:color="CCCCCC"/>
            </w:tcBorders>
          </w:tcPr>
          <w:p>
            <w:r>
              <w:rPr>
                <w:sz w:val="21"/>
              </w:rPr>
              <w:t>Empirical Gas Consumption across Smart Contract Operations</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39</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Graph 2</w:t>
            </w:r>
          </w:p>
        </w:tc>
        <w:tc>
          <w:tcPr>
            <w:tcW w:type="dxa" w:w="6480"/>
            <w:tcBorders>
              <w:top w:val="single" w:sz="4" w:space="0" w:color="CCCCCC"/>
              <w:bottom w:val="single" w:sz="4" w:space="0" w:color="CCCCCC"/>
              <w:left w:val="single" w:sz="4" w:space="0" w:color="CCCCCC"/>
              <w:right w:val="single" w:sz="4" w:space="0" w:color="CCCCCC"/>
            </w:tcBorders>
          </w:tcPr>
          <w:p>
            <w:r>
              <w:rPr>
                <w:sz w:val="21"/>
              </w:rPr>
              <w:t>Operational Cost Comparison per 10,000 Drug Batch Transfers</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41</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Graph 3</w:t>
            </w:r>
          </w:p>
        </w:tc>
        <w:tc>
          <w:tcPr>
            <w:tcW w:type="dxa" w:w="6480"/>
            <w:tcBorders>
              <w:top w:val="single" w:sz="4" w:space="0" w:color="CCCCCC"/>
              <w:bottom w:val="single" w:sz="4" w:space="0" w:color="CCCCCC"/>
              <w:left w:val="single" w:sz="4" w:space="0" w:color="CCCCCC"/>
              <w:right w:val="single" w:sz="4" w:space="0" w:color="CCCCCC"/>
            </w:tcBorders>
          </w:tcPr>
          <w:p>
            <w:r>
              <w:rPr>
                <w:sz w:val="21"/>
              </w:rPr>
              <w:t>End-to-End Drug Verification Latency Benchmark</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41</w:t>
            </w:r>
          </w:p>
        </w:tc>
      </w:tr>
    </w:tbl>
    <w:p>
      <w:r>
        <w:br w:type="page"/>
      </w:r>
    </w:p>
    <w:p>
      <w:pPr>
        <w:spacing w:before="480" w:after="360" w:line="276" w:lineRule="auto"/>
        <w:jc w:val="center"/>
      </w:pPr>
      <w:r>
        <w:rPr>
          <w:rFonts w:ascii="Times New Roman" w:hAnsi="Times New Roman"/>
          <w:b/>
          <w:color w:val="1E3A5F"/>
          <w:sz w:val="32"/>
        </w:rPr>
        <w:t>List of Tables</w:t>
      </w:r>
    </w:p>
    <w:tbl>
      <w:tblPr>
        <w:tblW w:type="auto" w:w="0"/>
        <w:jc w:val="center"/>
        <w:tblLook w:firstColumn="1" w:firstRow="1" w:lastColumn="0" w:lastRow="0" w:noHBand="0" w:noVBand="1" w:val="04A0"/>
      </w:tblPr>
      <w:tblGrid>
        <w:gridCol w:w="2890"/>
        <w:gridCol w:w="2890"/>
        <w:gridCol w:w="2890"/>
      </w:tblGrid>
      <w:tr>
        <w:tc>
          <w:tcPr>
            <w:tcW w:type="dxa" w:w="1440"/>
            <w:shd w:fill="E2E8F0"/>
          </w:tcPr>
          <w:p>
            <w:pPr>
              <w:jc w:val="center"/>
            </w:pPr>
            <w:r>
              <w:rPr>
                <w:rFonts w:ascii="Times New Roman" w:hAnsi="Times New Roman"/>
                <w:b/>
                <w:sz w:val="22"/>
              </w:rPr>
              <w:t>Table No.</w:t>
            </w:r>
          </w:p>
        </w:tc>
        <w:tc>
          <w:tcPr>
            <w:tcW w:type="dxa" w:w="6480"/>
            <w:shd w:fill="E2E8F0"/>
          </w:tcPr>
          <w:p>
            <w:pPr>
              <w:jc w:val="left"/>
            </w:pPr>
            <w:r>
              <w:rPr>
                <w:rFonts w:ascii="Times New Roman" w:hAnsi="Times New Roman"/>
                <w:b/>
                <w:sz w:val="22"/>
              </w:rPr>
              <w:t>Title</w:t>
            </w:r>
          </w:p>
        </w:tc>
        <w:tc>
          <w:tcPr>
            <w:tcW w:type="dxa" w:w="1152"/>
            <w:shd w:fill="E2E8F0"/>
          </w:tcPr>
          <w:p>
            <w:pPr>
              <w:jc w:val="center"/>
            </w:pPr>
            <w:r>
              <w:rPr>
                <w:rFonts w:ascii="Times New Roman" w:hAnsi="Times New Roman"/>
                <w:b/>
                <w:sz w:val="22"/>
              </w:rPr>
              <w:t>Page</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1</w:t>
            </w:r>
          </w:p>
        </w:tc>
        <w:tc>
          <w:tcPr>
            <w:tcW w:type="dxa" w:w="6480"/>
            <w:tcBorders>
              <w:top w:val="single" w:sz="4" w:space="0" w:color="CCCCCC"/>
              <w:bottom w:val="single" w:sz="4" w:space="0" w:color="CCCCCC"/>
              <w:left w:val="single" w:sz="4" w:space="0" w:color="CCCCCC"/>
              <w:right w:val="single" w:sz="4" w:space="0" w:color="CCCCCC"/>
            </w:tcBorders>
          </w:tcPr>
          <w:p>
            <w:r>
              <w:rPr>
                <w:sz w:val="21"/>
              </w:rPr>
              <w:t>Literature Review on Pharmaceutical Supply Chain &amp; Blockchain</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10</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2</w:t>
            </w:r>
          </w:p>
        </w:tc>
        <w:tc>
          <w:tcPr>
            <w:tcW w:type="dxa" w:w="6480"/>
            <w:tcBorders>
              <w:top w:val="single" w:sz="4" w:space="0" w:color="CCCCCC"/>
              <w:bottom w:val="single" w:sz="4" w:space="0" w:color="CCCCCC"/>
              <w:left w:val="single" w:sz="4" w:space="0" w:color="CCCCCC"/>
              <w:right w:val="single" w:sz="4" w:space="0" w:color="CCCCCC"/>
            </w:tcBorders>
          </w:tcPr>
          <w:p>
            <w:r>
              <w:rPr>
                <w:sz w:val="21"/>
              </w:rPr>
              <w:t>Comparative Survey of Decentralized Supply Chain Frameworks</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18</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3</w:t>
            </w:r>
          </w:p>
        </w:tc>
        <w:tc>
          <w:tcPr>
            <w:tcW w:type="dxa" w:w="6480"/>
            <w:tcBorders>
              <w:top w:val="single" w:sz="4" w:space="0" w:color="CCCCCC"/>
              <w:bottom w:val="single" w:sz="4" w:space="0" w:color="CCCCCC"/>
              <w:left w:val="single" w:sz="4" w:space="0" w:color="CCCCCC"/>
              <w:right w:val="single" w:sz="4" w:space="0" w:color="CCCCCC"/>
            </w:tcBorders>
          </w:tcPr>
          <w:p>
            <w:r>
              <w:rPr>
                <w:sz w:val="21"/>
              </w:rPr>
              <w:t>Batch Data Models, Token Schemas, and Metadata Structs</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19</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4</w:t>
            </w:r>
          </w:p>
        </w:tc>
        <w:tc>
          <w:tcPr>
            <w:tcW w:type="dxa" w:w="6480"/>
            <w:tcBorders>
              <w:top w:val="single" w:sz="4" w:space="0" w:color="CCCCCC"/>
              <w:bottom w:val="single" w:sz="4" w:space="0" w:color="CCCCCC"/>
              <w:left w:val="single" w:sz="4" w:space="0" w:color="CCCCCC"/>
              <w:right w:val="single" w:sz="4" w:space="0" w:color="CCCCCC"/>
            </w:tcBorders>
          </w:tcPr>
          <w:p>
            <w:r>
              <w:rPr>
                <w:sz w:val="21"/>
              </w:rPr>
              <w:t>Software and Engineering Tools</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21</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5</w:t>
            </w:r>
          </w:p>
        </w:tc>
        <w:tc>
          <w:tcPr>
            <w:tcW w:type="dxa" w:w="6480"/>
            <w:tcBorders>
              <w:top w:val="single" w:sz="4" w:space="0" w:color="CCCCCC"/>
              <w:bottom w:val="single" w:sz="4" w:space="0" w:color="CCCCCC"/>
              <w:left w:val="single" w:sz="4" w:space="0" w:color="CCCCCC"/>
              <w:right w:val="single" w:sz="4" w:space="0" w:color="CCCCCC"/>
            </w:tcBorders>
          </w:tcPr>
          <w:p>
            <w:r>
              <w:rPr>
                <w:sz w:val="21"/>
              </w:rPr>
              <w:t>Work-Breakdown Structure (WBS) &amp; Role Responsibilities</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23</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6</w:t>
            </w:r>
          </w:p>
        </w:tc>
        <w:tc>
          <w:tcPr>
            <w:tcW w:type="dxa" w:w="6480"/>
            <w:tcBorders>
              <w:top w:val="single" w:sz="4" w:space="0" w:color="CCCCCC"/>
              <w:bottom w:val="single" w:sz="4" w:space="0" w:color="CCCCCC"/>
              <w:left w:val="single" w:sz="4" w:space="0" w:color="CCCCCC"/>
              <w:right w:val="single" w:sz="4" w:space="0" w:color="CCCCCC"/>
            </w:tcBorders>
          </w:tcPr>
          <w:p>
            <w:r>
              <w:rPr>
                <w:sz w:val="21"/>
              </w:rPr>
              <w:t>Project Milestone Timeline</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26</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7</w:t>
            </w:r>
          </w:p>
        </w:tc>
        <w:tc>
          <w:tcPr>
            <w:tcW w:type="dxa" w:w="6480"/>
            <w:tcBorders>
              <w:top w:val="single" w:sz="4" w:space="0" w:color="CCCCCC"/>
              <w:bottom w:val="single" w:sz="4" w:space="0" w:color="CCCCCC"/>
              <w:left w:val="single" w:sz="4" w:space="0" w:color="CCCCCC"/>
              <w:right w:val="single" w:sz="4" w:space="0" w:color="CCCCCC"/>
            </w:tcBorders>
          </w:tcPr>
          <w:p>
            <w:r>
              <w:rPr>
                <w:sz w:val="21"/>
              </w:rPr>
              <w:t>Gas Consumption for Batch Creation and ERC-721 Minting</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35</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8</w:t>
            </w:r>
          </w:p>
        </w:tc>
        <w:tc>
          <w:tcPr>
            <w:tcW w:type="dxa" w:w="6480"/>
            <w:tcBorders>
              <w:top w:val="single" w:sz="4" w:space="0" w:color="CCCCCC"/>
              <w:bottom w:val="single" w:sz="4" w:space="0" w:color="CCCCCC"/>
              <w:left w:val="single" w:sz="4" w:space="0" w:color="CCCCCC"/>
              <w:right w:val="single" w:sz="4" w:space="0" w:color="CCCCCC"/>
            </w:tcBorders>
          </w:tcPr>
          <w:p>
            <w:r>
              <w:rPr>
                <w:sz w:val="21"/>
              </w:rPr>
              <w:t>Gas Consumption for Multi-Hop Role Custody Transfers</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36</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9</w:t>
            </w:r>
          </w:p>
        </w:tc>
        <w:tc>
          <w:tcPr>
            <w:tcW w:type="dxa" w:w="6480"/>
            <w:tcBorders>
              <w:top w:val="single" w:sz="4" w:space="0" w:color="CCCCCC"/>
              <w:bottom w:val="single" w:sz="4" w:space="0" w:color="CCCCCC"/>
              <w:left w:val="single" w:sz="4" w:space="0" w:color="CCCCCC"/>
              <w:right w:val="single" w:sz="4" w:space="0" w:color="CCCCCC"/>
            </w:tcBorders>
          </w:tcPr>
          <w:p>
            <w:r>
              <w:rPr>
                <w:sz w:val="21"/>
              </w:rPr>
              <w:t>Bulk Parent-Child Batch Transfer Gas Benchmarks</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37</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10</w:t>
            </w:r>
          </w:p>
        </w:tc>
        <w:tc>
          <w:tcPr>
            <w:tcW w:type="dxa" w:w="6480"/>
            <w:tcBorders>
              <w:top w:val="single" w:sz="4" w:space="0" w:color="CCCCCC"/>
              <w:bottom w:val="single" w:sz="4" w:space="0" w:color="CCCCCC"/>
              <w:left w:val="single" w:sz="4" w:space="0" w:color="CCCCCC"/>
              <w:right w:val="single" w:sz="4" w:space="0" w:color="CCCCCC"/>
            </w:tcBorders>
          </w:tcPr>
          <w:p>
            <w:r>
              <w:rPr>
                <w:sz w:val="21"/>
              </w:rPr>
              <w:t>Polygon Amoy Transaction Cost Breakdown (POL and USD)</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37</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11</w:t>
            </w:r>
          </w:p>
        </w:tc>
        <w:tc>
          <w:tcPr>
            <w:tcW w:type="dxa" w:w="6480"/>
            <w:tcBorders>
              <w:top w:val="single" w:sz="4" w:space="0" w:color="CCCCCC"/>
              <w:bottom w:val="single" w:sz="4" w:space="0" w:color="CCCCCC"/>
              <w:left w:val="single" w:sz="4" w:space="0" w:color="CCCCCC"/>
              <w:right w:val="single" w:sz="4" w:space="0" w:color="CCCCCC"/>
            </w:tcBorders>
          </w:tcPr>
          <w:p>
            <w:r>
              <w:rPr>
                <w:sz w:val="21"/>
              </w:rPr>
              <w:t>Transaction Latency &amp; Block Confirmation Times on Polygon Amoy</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38</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12</w:t>
            </w:r>
          </w:p>
        </w:tc>
        <w:tc>
          <w:tcPr>
            <w:tcW w:type="dxa" w:w="6480"/>
            <w:tcBorders>
              <w:top w:val="single" w:sz="4" w:space="0" w:color="CCCCCC"/>
              <w:bottom w:val="single" w:sz="4" w:space="0" w:color="CCCCCC"/>
              <w:left w:val="single" w:sz="4" w:space="0" w:color="CCCCCC"/>
              <w:right w:val="single" w:sz="4" w:space="0" w:color="CCCCCC"/>
            </w:tcBorders>
          </w:tcPr>
          <w:p>
            <w:r>
              <w:rPr>
                <w:sz w:val="21"/>
              </w:rPr>
              <w:t>Security Verification and Threat Mitigation Matrix</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38</w:t>
            </w:r>
          </w:p>
        </w:tc>
      </w:tr>
      <w:tr>
        <w:tc>
          <w:tcPr>
            <w:tcW w:type="dxa" w:w="1440"/>
            <w:tcBorders>
              <w:top w:val="single" w:sz="4" w:space="0" w:color="CCCCCC"/>
              <w:bottom w:val="single" w:sz="4" w:space="0" w:color="CCCCCC"/>
              <w:left w:val="single" w:sz="4" w:space="0" w:color="CCCCCC"/>
              <w:right w:val="single" w:sz="4" w:space="0" w:color="CCCCCC"/>
            </w:tcBorders>
          </w:tcPr>
          <w:p>
            <w:pPr>
              <w:jc w:val="center"/>
            </w:pPr>
            <w:r>
              <w:rPr>
                <w:sz w:val="21"/>
              </w:rPr>
              <w:t>13</w:t>
            </w:r>
          </w:p>
        </w:tc>
        <w:tc>
          <w:tcPr>
            <w:tcW w:type="dxa" w:w="6480"/>
            <w:tcBorders>
              <w:top w:val="single" w:sz="4" w:space="0" w:color="CCCCCC"/>
              <w:bottom w:val="single" w:sz="4" w:space="0" w:color="CCCCCC"/>
              <w:left w:val="single" w:sz="4" w:space="0" w:color="CCCCCC"/>
              <w:right w:val="single" w:sz="4" w:space="0" w:color="CCCCCC"/>
            </w:tcBorders>
          </w:tcPr>
          <w:p>
            <w:r>
              <w:rPr>
                <w:sz w:val="21"/>
              </w:rPr>
              <w:t>Comparative Benchmark: PharmaTrust vs Hyperledger vs Ethereum L1</w:t>
            </w:r>
          </w:p>
        </w:tc>
        <w:tc>
          <w:tcPr>
            <w:tcW w:type="dxa" w:w="1152"/>
            <w:tcBorders>
              <w:top w:val="single" w:sz="4" w:space="0" w:color="CCCCCC"/>
              <w:bottom w:val="single" w:sz="4" w:space="0" w:color="CCCCCC"/>
              <w:left w:val="single" w:sz="4" w:space="0" w:color="CCCCCC"/>
              <w:right w:val="single" w:sz="4" w:space="0" w:color="CCCCCC"/>
            </w:tcBorders>
          </w:tcPr>
          <w:p>
            <w:pPr>
              <w:jc w:val="center"/>
            </w:pPr>
            <w:r>
              <w:rPr>
                <w:sz w:val="21"/>
              </w:rPr>
              <w:t>40</w:t>
            </w:r>
          </w:p>
        </w:tc>
      </w:tr>
    </w:tbl>
    <w:p>
      <w:r>
        <w:br w:type="page"/>
      </w:r>
    </w:p>
    <w:p>
      <w:pPr>
        <w:spacing w:before="480" w:after="360" w:line="276" w:lineRule="auto"/>
        <w:jc w:val="center"/>
      </w:pPr>
      <w:r>
        <w:rPr>
          <w:rFonts w:ascii="Times New Roman" w:hAnsi="Times New Roman"/>
          <w:b/>
          <w:color w:val="1E3A5F"/>
          <w:sz w:val="32"/>
        </w:rPr>
        <w:t>Abstract</w:t>
      </w:r>
    </w:p>
    <w:p>
      <w:pPr>
        <w:spacing w:before="0" w:after="120" w:line="276" w:lineRule="auto"/>
        <w:jc w:val="both"/>
      </w:pPr>
      <w:r>
        <w:rPr>
          <w:rFonts w:ascii="Times New Roman" w:hAnsi="Times New Roman"/>
          <w:b w:val="0"/>
          <w:i w:val="0"/>
          <w:sz w:val="24"/>
        </w:rPr>
        <w:t>The proliferation of counterfeit and substandard pharmaceutical drugs represents one of the most critical public health threats globally, resulting in over one million preventable fatalities every year and causing annual economic losses exceeding $200 billion according to the World Health Organization (WHO). Traditional supply chain systems depend heavily on centralized relational databases, paper invoices, and siloed enterprise resource planning (ERP) architectures. These legacy systems suffer from vulnerability to data manipulation, lack of end-to-end transparency, delayed reconciliation across multi-echelon intermediaries, and susceptibility to insider collusion. When medication is compromised or diverted, identifying the exact point of contamination requires days or weeks of manual auditing.</w:t>
      </w:r>
    </w:p>
    <w:p>
      <w:pPr>
        <w:spacing w:before="0" w:after="120" w:line="276" w:lineRule="auto"/>
        <w:jc w:val="both"/>
      </w:pPr>
      <w:r>
        <w:rPr>
          <w:rFonts w:ascii="Times New Roman" w:hAnsi="Times New Roman"/>
          <w:b w:val="0"/>
          <w:i w:val="0"/>
          <w:sz w:val="24"/>
        </w:rPr>
        <w:t>To overcome these systemic vulnerabilities, this project presents PharmaTrust, an end-to-end decentralized pharmaceutical supply chain tracking and anti-counterfeiting platform. PharmaTrust models pharmaceutical batches as non-fungible ERC-721 tokens deployed on the Polygon Amoy Proof-of-Stake (PoS) Layer-2 blockchain. The platform enforces strict cryptographic state transitions governed by role-based smart contracts, ensuring that ownership transitions strictly adhere to regulatory workflows: Manufacturer to Distributor, Distributor to Retailer, and Retailer to Pharmacy.</w:t>
      </w:r>
    </w:p>
    <w:p>
      <w:pPr>
        <w:spacing w:before="0" w:after="120" w:line="276" w:lineRule="auto"/>
        <w:jc w:val="both"/>
      </w:pPr>
      <w:r>
        <w:rPr>
          <w:rFonts w:ascii="Times New Roman" w:hAnsi="Times New Roman"/>
          <w:b w:val="0"/>
          <w:i w:val="0"/>
          <w:sz w:val="24"/>
        </w:rPr>
        <w:t>PharmaTrust incorporates a parent-child hierarchical tokenization model, enabling wholesale drug consignments (master parent tokens) and individual unit blister packs (child tokens) to be transferred atomically in a single blockchain transaction, drastically reducing gas overhead. Off-chain clinical batch metadata, formulation details, and laboratory certificates are stored immutably on the InterPlanetary File System (IPFS), while dual-write asynchronous event listeners mirror on-chain state to a MongoDB Atlas cache for low-latency indexing. Consumers and clinical dispensaries authenticate medication instantly using camera-based dynamic QR code scanning that executes read-only JSON-RPC queries (`eth_call`) with zero gas cost.</w:t>
      </w:r>
    </w:p>
    <w:p>
      <w:pPr>
        <w:spacing w:before="0" w:after="120" w:line="276" w:lineRule="auto"/>
        <w:jc w:val="both"/>
      </w:pPr>
      <w:r>
        <w:rPr>
          <w:rFonts w:ascii="Times New Roman" w:hAnsi="Times New Roman"/>
          <w:b w:val="0"/>
          <w:i w:val="0"/>
          <w:sz w:val="24"/>
        </w:rPr>
        <w:t>Empirical evaluation on the Polygon Amoy network confirms that minting batch tokens requires approximately 184,520 gas units, while atomic custody transfers consume 78,450 gas units. With average transaction fees of less than $0.0005 USD per transfer, PharmaTrust demonstrates superior throughput, cost efficiency, and zero-trust provenance compared to legacy centralized systems and Ethereum Layer-1 solutions, providing an industrial-grade, regulatory-ready foundation for pharmaceutical safety.</w:t>
      </w:r>
    </w:p>
    <w:p>
      <w:r>
        <w:br w:type="page"/>
      </w:r>
    </w:p>
    <w:p>
      <w:pPr>
        <w:spacing w:before="480" w:after="360" w:line="276" w:lineRule="auto"/>
        <w:jc w:val="center"/>
      </w:pPr>
      <w:r>
        <w:rPr>
          <w:rFonts w:ascii="Times New Roman" w:hAnsi="Times New Roman"/>
          <w:b/>
          <w:color w:val="1E3A5F"/>
          <w:sz w:val="32"/>
        </w:rPr>
        <w:t>Contents</w:t>
      </w:r>
    </w:p>
    <w:tbl>
      <w:tblPr>
        <w:tblW w:type="auto" w:w="0"/>
        <w:jc w:val="center"/>
        <w:tblLook w:firstColumn="1" w:firstRow="1" w:lastColumn="0" w:lastRow="0" w:noHBand="0" w:noVBand="1" w:val="04A0"/>
      </w:tblPr>
      <w:tblGrid>
        <w:gridCol w:w="4334"/>
        <w:gridCol w:w="4334"/>
      </w:tblGrid>
      <w:tr>
        <w:tc>
          <w:tcPr>
            <w:tcW w:type="dxa" w:w="7920"/>
          </w:tcPr>
          <w:p>
            <w:pPr>
              <w:spacing w:line="276" w:lineRule="auto" w:after="40"/>
            </w:pPr>
            <w:r>
              <w:rPr>
                <w:rFonts w:ascii="Times New Roman" w:hAnsi="Times New Roman"/>
                <w:b/>
                <w:sz w:val="22"/>
              </w:rPr>
              <w:t>1. Introduction</w:t>
            </w:r>
          </w:p>
        </w:tc>
        <w:tc>
          <w:tcPr>
            <w:tcW w:type="dxa" w:w="1152"/>
          </w:tcPr>
          <w:p>
            <w:pPr>
              <w:jc w:val="right"/>
            </w:pPr>
            <w:r>
              <w:rPr>
                <w:rFonts w:ascii="Times New Roman" w:hAnsi="Times New Roman"/>
                <w:sz w:val="21"/>
              </w:rPr>
              <w:t>9</w:t>
            </w:r>
          </w:p>
        </w:tc>
      </w:tr>
      <w:tr>
        <w:tc>
          <w:tcPr>
            <w:tcW w:type="dxa" w:w="4334"/>
          </w:tcPr>
          <w:p>
            <w:pPr>
              <w:spacing w:line="276" w:lineRule="auto" w:after="40"/>
            </w:pPr>
            <w:r>
              <w:rPr>
                <w:rFonts w:ascii="Times New Roman" w:hAnsi="Times New Roman"/>
                <w:sz w:val="21"/>
              </w:rPr>
              <w:t xml:space="preserve">    1.1 Problem Statement</w:t>
            </w:r>
          </w:p>
        </w:tc>
        <w:tc>
          <w:tcPr>
            <w:tcW w:type="dxa" w:w="4334"/>
          </w:tcPr>
          <w:p>
            <w:pPr>
              <w:jc w:val="right"/>
            </w:pPr>
            <w:r>
              <w:rPr>
                <w:rFonts w:ascii="Times New Roman" w:hAnsi="Times New Roman"/>
                <w:sz w:val="21"/>
              </w:rPr>
              <w:t>9</w:t>
            </w:r>
          </w:p>
        </w:tc>
      </w:tr>
      <w:tr>
        <w:tc>
          <w:tcPr>
            <w:tcW w:type="dxa" w:w="4334"/>
          </w:tcPr>
          <w:p>
            <w:pPr>
              <w:spacing w:line="276" w:lineRule="auto" w:after="40"/>
            </w:pPr>
            <w:r>
              <w:rPr>
                <w:rFonts w:ascii="Times New Roman" w:hAnsi="Times New Roman"/>
                <w:sz w:val="21"/>
              </w:rPr>
              <w:t xml:space="preserve">    1.2 Scope</w:t>
            </w:r>
          </w:p>
        </w:tc>
        <w:tc>
          <w:tcPr>
            <w:tcW w:type="dxa" w:w="4334"/>
          </w:tcPr>
          <w:p>
            <w:pPr>
              <w:jc w:val="right"/>
            </w:pPr>
            <w:r>
              <w:rPr>
                <w:rFonts w:ascii="Times New Roman" w:hAnsi="Times New Roman"/>
                <w:sz w:val="21"/>
              </w:rPr>
              <w:t>9</w:t>
            </w:r>
          </w:p>
        </w:tc>
      </w:tr>
      <w:tr>
        <w:tc>
          <w:tcPr>
            <w:tcW w:type="dxa" w:w="4334"/>
          </w:tcPr>
          <w:p>
            <w:pPr>
              <w:spacing w:line="276" w:lineRule="auto" w:after="40"/>
            </w:pPr>
            <w:r>
              <w:rPr>
                <w:rFonts w:ascii="Times New Roman" w:hAnsi="Times New Roman"/>
                <w:sz w:val="21"/>
              </w:rPr>
              <w:t xml:space="preserve">    1.3 Overview of the Report</w:t>
            </w:r>
          </w:p>
        </w:tc>
        <w:tc>
          <w:tcPr>
            <w:tcW w:type="dxa" w:w="4334"/>
          </w:tcPr>
          <w:p>
            <w:pPr>
              <w:jc w:val="right"/>
            </w:pPr>
            <w:r>
              <w:rPr>
                <w:rFonts w:ascii="Times New Roman" w:hAnsi="Times New Roman"/>
                <w:sz w:val="21"/>
              </w:rPr>
              <w:t>10</w:t>
            </w:r>
          </w:p>
        </w:tc>
      </w:tr>
      <w:tr>
        <w:tc>
          <w:tcPr>
            <w:tcW w:type="dxa" w:w="4334"/>
          </w:tcPr>
          <w:p>
            <w:pPr>
              <w:spacing w:line="276" w:lineRule="auto" w:after="40"/>
            </w:pPr>
            <w:r>
              <w:rPr>
                <w:rFonts w:ascii="Times New Roman" w:hAnsi="Times New Roman"/>
                <w:b/>
                <w:sz w:val="22"/>
              </w:rPr>
              <w:t>2. Literature Review</w:t>
            </w:r>
          </w:p>
        </w:tc>
        <w:tc>
          <w:tcPr>
            <w:tcW w:type="dxa" w:w="4334"/>
          </w:tcPr>
          <w:p>
            <w:pPr>
              <w:jc w:val="right"/>
            </w:pPr>
            <w:r>
              <w:rPr>
                <w:rFonts w:ascii="Times New Roman" w:hAnsi="Times New Roman"/>
                <w:sz w:val="21"/>
              </w:rPr>
              <w:t>10</w:t>
            </w:r>
          </w:p>
        </w:tc>
      </w:tr>
      <w:tr>
        <w:tc>
          <w:tcPr>
            <w:tcW w:type="dxa" w:w="4334"/>
          </w:tcPr>
          <w:p>
            <w:pPr>
              <w:spacing w:line="276" w:lineRule="auto" w:after="40"/>
            </w:pPr>
            <w:r>
              <w:rPr>
                <w:rFonts w:ascii="Times New Roman" w:hAnsi="Times New Roman"/>
                <w:sz w:val="21"/>
              </w:rPr>
              <w:t xml:space="preserve">    2.1 Research Gap</w:t>
            </w:r>
          </w:p>
        </w:tc>
        <w:tc>
          <w:tcPr>
            <w:tcW w:type="dxa" w:w="4334"/>
          </w:tcPr>
          <w:p>
            <w:pPr>
              <w:jc w:val="right"/>
            </w:pPr>
            <w:r>
              <w:rPr>
                <w:rFonts w:ascii="Times New Roman" w:hAnsi="Times New Roman"/>
                <w:sz w:val="21"/>
              </w:rPr>
              <w:t>17</w:t>
            </w:r>
          </w:p>
        </w:tc>
      </w:tr>
      <w:tr>
        <w:tc>
          <w:tcPr>
            <w:tcW w:type="dxa" w:w="4334"/>
          </w:tcPr>
          <w:p>
            <w:pPr>
              <w:spacing w:line="276" w:lineRule="auto" w:after="40"/>
            </w:pPr>
            <w:r>
              <w:rPr>
                <w:rFonts w:ascii="Times New Roman" w:hAnsi="Times New Roman"/>
                <w:b/>
                <w:sz w:val="22"/>
              </w:rPr>
              <w:t>3. Platforms, Tools and Frameworks Used</w:t>
            </w:r>
          </w:p>
        </w:tc>
        <w:tc>
          <w:tcPr>
            <w:tcW w:type="dxa" w:w="4334"/>
          </w:tcPr>
          <w:p>
            <w:pPr>
              <w:jc w:val="right"/>
            </w:pPr>
            <w:r>
              <w:rPr>
                <w:rFonts w:ascii="Times New Roman" w:hAnsi="Times New Roman"/>
                <w:sz w:val="21"/>
              </w:rPr>
              <w:t>18</w:t>
            </w:r>
          </w:p>
        </w:tc>
      </w:tr>
      <w:tr>
        <w:tc>
          <w:tcPr>
            <w:tcW w:type="dxa" w:w="4334"/>
          </w:tcPr>
          <w:p>
            <w:pPr>
              <w:spacing w:line="276" w:lineRule="auto" w:after="40"/>
            </w:pPr>
            <w:r>
              <w:rPr>
                <w:rFonts w:ascii="Times New Roman" w:hAnsi="Times New Roman"/>
                <w:sz w:val="21"/>
              </w:rPr>
              <w:t xml:space="preserve">    3.1 Hardhat and Solidity Development Environment</w:t>
            </w:r>
          </w:p>
        </w:tc>
        <w:tc>
          <w:tcPr>
            <w:tcW w:type="dxa" w:w="4334"/>
          </w:tcPr>
          <w:p>
            <w:pPr>
              <w:jc w:val="right"/>
            </w:pPr>
            <w:r>
              <w:rPr>
                <w:rFonts w:ascii="Times New Roman" w:hAnsi="Times New Roman"/>
                <w:sz w:val="21"/>
              </w:rPr>
              <w:t>18</w:t>
            </w:r>
          </w:p>
        </w:tc>
      </w:tr>
      <w:tr>
        <w:tc>
          <w:tcPr>
            <w:tcW w:type="dxa" w:w="4334"/>
          </w:tcPr>
          <w:p>
            <w:pPr>
              <w:spacing w:line="276" w:lineRule="auto" w:after="40"/>
            </w:pPr>
            <w:r>
              <w:rPr>
                <w:rFonts w:ascii="Times New Roman" w:hAnsi="Times New Roman"/>
                <w:sz w:val="21"/>
              </w:rPr>
              <w:t xml:space="preserve">    3.2 Polygon Amoy PoS Layer-2 Network</w:t>
            </w:r>
          </w:p>
        </w:tc>
        <w:tc>
          <w:tcPr>
            <w:tcW w:type="dxa" w:w="4334"/>
          </w:tcPr>
          <w:p>
            <w:pPr>
              <w:jc w:val="right"/>
            </w:pPr>
            <w:r>
              <w:rPr>
                <w:rFonts w:ascii="Times New Roman" w:hAnsi="Times New Roman"/>
                <w:sz w:val="21"/>
              </w:rPr>
              <w:t>18</w:t>
            </w:r>
          </w:p>
        </w:tc>
      </w:tr>
      <w:tr>
        <w:tc>
          <w:tcPr>
            <w:tcW w:type="dxa" w:w="4334"/>
          </w:tcPr>
          <w:p>
            <w:pPr>
              <w:spacing w:line="276" w:lineRule="auto" w:after="40"/>
            </w:pPr>
            <w:r>
              <w:rPr>
                <w:rFonts w:ascii="Times New Roman" w:hAnsi="Times New Roman"/>
                <w:sz w:val="21"/>
              </w:rPr>
              <w:t xml:space="preserve">    3.3 Ethers.js and Web3 Provider Architecture</w:t>
            </w:r>
          </w:p>
        </w:tc>
        <w:tc>
          <w:tcPr>
            <w:tcW w:type="dxa" w:w="4334"/>
          </w:tcPr>
          <w:p>
            <w:pPr>
              <w:jc w:val="right"/>
            </w:pPr>
            <w:r>
              <w:rPr>
                <w:rFonts w:ascii="Times New Roman" w:hAnsi="Times New Roman"/>
                <w:sz w:val="21"/>
              </w:rPr>
              <w:t>18</w:t>
            </w:r>
          </w:p>
        </w:tc>
      </w:tr>
      <w:tr>
        <w:tc>
          <w:tcPr>
            <w:tcW w:type="dxa" w:w="4334"/>
          </w:tcPr>
          <w:p>
            <w:pPr>
              <w:spacing w:line="276" w:lineRule="auto" w:after="40"/>
            </w:pPr>
            <w:r>
              <w:rPr>
                <w:rFonts w:ascii="Times New Roman" w:hAnsi="Times New Roman"/>
                <w:sz w:val="21"/>
              </w:rPr>
              <w:t xml:space="preserve">    3.4 InterPlanetary File System (IPFS) Decentralized Storage</w:t>
            </w:r>
          </w:p>
        </w:tc>
        <w:tc>
          <w:tcPr>
            <w:tcW w:type="dxa" w:w="4334"/>
          </w:tcPr>
          <w:p>
            <w:pPr>
              <w:jc w:val="right"/>
            </w:pPr>
            <w:r>
              <w:rPr>
                <w:rFonts w:ascii="Times New Roman" w:hAnsi="Times New Roman"/>
                <w:sz w:val="21"/>
              </w:rPr>
              <w:t>18</w:t>
            </w:r>
          </w:p>
        </w:tc>
      </w:tr>
      <w:tr>
        <w:tc>
          <w:tcPr>
            <w:tcW w:type="dxa" w:w="4334"/>
          </w:tcPr>
          <w:p>
            <w:pPr>
              <w:spacing w:line="276" w:lineRule="auto" w:after="40"/>
            </w:pPr>
            <w:r>
              <w:rPr>
                <w:rFonts w:ascii="Times New Roman" w:hAnsi="Times New Roman"/>
                <w:sz w:val="21"/>
              </w:rPr>
              <w:t xml:space="preserve">    3.5 React.js 18 Single Page Application and Tailwind CSS</w:t>
            </w:r>
          </w:p>
        </w:tc>
        <w:tc>
          <w:tcPr>
            <w:tcW w:type="dxa" w:w="4334"/>
          </w:tcPr>
          <w:p>
            <w:pPr>
              <w:jc w:val="right"/>
            </w:pPr>
            <w:r>
              <w:rPr>
                <w:rFonts w:ascii="Times New Roman" w:hAnsi="Times New Roman"/>
                <w:sz w:val="21"/>
              </w:rPr>
              <w:t>19</w:t>
            </w:r>
          </w:p>
        </w:tc>
      </w:tr>
      <w:tr>
        <w:tc>
          <w:tcPr>
            <w:tcW w:type="dxa" w:w="4334"/>
          </w:tcPr>
          <w:p>
            <w:pPr>
              <w:spacing w:line="276" w:lineRule="auto" w:after="40"/>
            </w:pPr>
            <w:r>
              <w:rPr>
                <w:rFonts w:ascii="Times New Roman" w:hAnsi="Times New Roman"/>
                <w:sz w:val="21"/>
              </w:rPr>
              <w:t xml:space="preserve">    3.6 Node.js, Express and MongoDB Atlas Hybrid Persistence</w:t>
            </w:r>
          </w:p>
        </w:tc>
        <w:tc>
          <w:tcPr>
            <w:tcW w:type="dxa" w:w="4334"/>
          </w:tcPr>
          <w:p>
            <w:pPr>
              <w:jc w:val="right"/>
            </w:pPr>
            <w:r>
              <w:rPr>
                <w:rFonts w:ascii="Times New Roman" w:hAnsi="Times New Roman"/>
                <w:sz w:val="21"/>
              </w:rPr>
              <w:t>19</w:t>
            </w:r>
          </w:p>
        </w:tc>
      </w:tr>
      <w:tr>
        <w:tc>
          <w:tcPr>
            <w:tcW w:type="dxa" w:w="4334"/>
          </w:tcPr>
          <w:p>
            <w:pPr>
              <w:spacing w:line="276" w:lineRule="auto" w:after="40"/>
            </w:pPr>
            <w:r>
              <w:rPr>
                <w:rFonts w:ascii="Times New Roman" w:hAnsi="Times New Roman"/>
                <w:b/>
                <w:sz w:val="22"/>
              </w:rPr>
              <w:t>4. Software Requirements Specification (SRS)</w:t>
            </w:r>
          </w:p>
        </w:tc>
        <w:tc>
          <w:tcPr>
            <w:tcW w:type="dxa" w:w="4334"/>
          </w:tcPr>
          <w:p>
            <w:pPr>
              <w:jc w:val="right"/>
            </w:pPr>
            <w:r>
              <w:rPr>
                <w:rFonts w:ascii="Times New Roman" w:hAnsi="Times New Roman"/>
                <w:sz w:val="21"/>
              </w:rPr>
              <w:t>20</w:t>
            </w:r>
          </w:p>
        </w:tc>
      </w:tr>
      <w:tr>
        <w:tc>
          <w:tcPr>
            <w:tcW w:type="dxa" w:w="4334"/>
          </w:tcPr>
          <w:p>
            <w:pPr>
              <w:spacing w:line="276" w:lineRule="auto" w:after="40"/>
            </w:pPr>
            <w:r>
              <w:rPr>
                <w:rFonts w:ascii="Times New Roman" w:hAnsi="Times New Roman"/>
                <w:sz w:val="21"/>
              </w:rPr>
              <w:t xml:space="preserve">    4.1 Introduction</w:t>
            </w:r>
          </w:p>
        </w:tc>
        <w:tc>
          <w:tcPr>
            <w:tcW w:type="dxa" w:w="4334"/>
          </w:tcPr>
          <w:p>
            <w:pPr>
              <w:jc w:val="right"/>
            </w:pPr>
            <w:r>
              <w:rPr>
                <w:rFonts w:ascii="Times New Roman" w:hAnsi="Times New Roman"/>
                <w:sz w:val="21"/>
              </w:rPr>
              <w:t>20</w:t>
            </w:r>
          </w:p>
        </w:tc>
      </w:tr>
      <w:tr>
        <w:tc>
          <w:tcPr>
            <w:tcW w:type="dxa" w:w="4334"/>
          </w:tcPr>
          <w:p>
            <w:pPr>
              <w:spacing w:line="276" w:lineRule="auto" w:after="40"/>
            </w:pPr>
            <w:r>
              <w:rPr>
                <w:rFonts w:ascii="Times New Roman" w:hAnsi="Times New Roman"/>
                <w:sz w:val="21"/>
              </w:rPr>
              <w:t xml:space="preserve">    4.2 Purpose</w:t>
            </w:r>
          </w:p>
        </w:tc>
        <w:tc>
          <w:tcPr>
            <w:tcW w:type="dxa" w:w="4334"/>
          </w:tcPr>
          <w:p>
            <w:pPr>
              <w:jc w:val="right"/>
            </w:pPr>
            <w:r>
              <w:rPr>
                <w:rFonts w:ascii="Times New Roman" w:hAnsi="Times New Roman"/>
                <w:sz w:val="21"/>
              </w:rPr>
              <w:t>20</w:t>
            </w:r>
          </w:p>
        </w:tc>
      </w:tr>
      <w:tr>
        <w:tc>
          <w:tcPr>
            <w:tcW w:type="dxa" w:w="4334"/>
          </w:tcPr>
          <w:p>
            <w:pPr>
              <w:spacing w:line="276" w:lineRule="auto" w:after="40"/>
            </w:pPr>
            <w:r>
              <w:rPr>
                <w:rFonts w:ascii="Times New Roman" w:hAnsi="Times New Roman"/>
                <w:sz w:val="21"/>
              </w:rPr>
              <w:t xml:space="preserve">    4.3 Software Tools</w:t>
            </w:r>
          </w:p>
        </w:tc>
        <w:tc>
          <w:tcPr>
            <w:tcW w:type="dxa" w:w="4334"/>
          </w:tcPr>
          <w:p>
            <w:pPr>
              <w:jc w:val="right"/>
            </w:pPr>
            <w:r>
              <w:rPr>
                <w:rFonts w:ascii="Times New Roman" w:hAnsi="Times New Roman"/>
                <w:sz w:val="21"/>
              </w:rPr>
              <w:t>21</w:t>
            </w:r>
          </w:p>
        </w:tc>
      </w:tr>
      <w:tr>
        <w:tc>
          <w:tcPr>
            <w:tcW w:type="dxa" w:w="4334"/>
          </w:tcPr>
          <w:p>
            <w:pPr>
              <w:spacing w:line="276" w:lineRule="auto" w:after="40"/>
            </w:pPr>
            <w:r>
              <w:rPr>
                <w:rFonts w:ascii="Times New Roman" w:hAnsi="Times New Roman"/>
                <w:sz w:val="21"/>
              </w:rPr>
              <w:t xml:space="preserve">    4.4 Hardware Tools</w:t>
            </w:r>
          </w:p>
        </w:tc>
        <w:tc>
          <w:tcPr>
            <w:tcW w:type="dxa" w:w="4334"/>
          </w:tcPr>
          <w:p>
            <w:pPr>
              <w:jc w:val="right"/>
            </w:pPr>
            <w:r>
              <w:rPr>
                <w:rFonts w:ascii="Times New Roman" w:hAnsi="Times New Roman"/>
                <w:sz w:val="21"/>
              </w:rPr>
              <w:t>21</w:t>
            </w:r>
          </w:p>
        </w:tc>
      </w:tr>
      <w:tr>
        <w:tc>
          <w:tcPr>
            <w:tcW w:type="dxa" w:w="4334"/>
          </w:tcPr>
          <w:p>
            <w:pPr>
              <w:spacing w:line="276" w:lineRule="auto" w:after="40"/>
            </w:pPr>
            <w:r>
              <w:rPr>
                <w:rFonts w:ascii="Times New Roman" w:hAnsi="Times New Roman"/>
                <w:sz w:val="21"/>
              </w:rPr>
              <w:t xml:space="preserve">    4.5 Work-Breakdown Structure (WBS)</w:t>
            </w:r>
          </w:p>
        </w:tc>
        <w:tc>
          <w:tcPr>
            <w:tcW w:type="dxa" w:w="4334"/>
          </w:tcPr>
          <w:p>
            <w:pPr>
              <w:jc w:val="right"/>
            </w:pPr>
            <w:r>
              <w:rPr>
                <w:rFonts w:ascii="Times New Roman" w:hAnsi="Times New Roman"/>
                <w:sz w:val="21"/>
              </w:rPr>
              <w:t>22</w:t>
            </w:r>
          </w:p>
        </w:tc>
      </w:tr>
      <w:tr>
        <w:tc>
          <w:tcPr>
            <w:tcW w:type="dxa" w:w="4334"/>
          </w:tcPr>
          <w:p>
            <w:pPr>
              <w:spacing w:line="276" w:lineRule="auto" w:after="40"/>
            </w:pPr>
            <w:r>
              <w:rPr>
                <w:rFonts w:ascii="Times New Roman" w:hAnsi="Times New Roman"/>
                <w:sz w:val="21"/>
              </w:rPr>
              <w:t xml:space="preserve">    4.6 Functional Requirements</w:t>
            </w:r>
          </w:p>
        </w:tc>
        <w:tc>
          <w:tcPr>
            <w:tcW w:type="dxa" w:w="4334"/>
          </w:tcPr>
          <w:p>
            <w:pPr>
              <w:jc w:val="right"/>
            </w:pPr>
            <w:r>
              <w:rPr>
                <w:rFonts w:ascii="Times New Roman" w:hAnsi="Times New Roman"/>
                <w:sz w:val="21"/>
              </w:rPr>
              <w:t>23</w:t>
            </w:r>
          </w:p>
        </w:tc>
      </w:tr>
      <w:tr>
        <w:tc>
          <w:tcPr>
            <w:tcW w:type="dxa" w:w="4334"/>
          </w:tcPr>
          <w:p>
            <w:pPr>
              <w:spacing w:line="276" w:lineRule="auto" w:after="40"/>
            </w:pPr>
            <w:r>
              <w:rPr>
                <w:rFonts w:ascii="Times New Roman" w:hAnsi="Times New Roman"/>
                <w:sz w:val="21"/>
              </w:rPr>
              <w:t xml:space="preserve">        4.6.1 Batch Creation and Tokenization</w:t>
            </w:r>
          </w:p>
        </w:tc>
        <w:tc>
          <w:tcPr>
            <w:tcW w:type="dxa" w:w="4334"/>
          </w:tcPr>
          <w:p>
            <w:pPr>
              <w:jc w:val="right"/>
            </w:pPr>
            <w:r>
              <w:rPr>
                <w:rFonts w:ascii="Times New Roman" w:hAnsi="Times New Roman"/>
                <w:sz w:val="21"/>
              </w:rPr>
              <w:t>23</w:t>
            </w:r>
          </w:p>
        </w:tc>
      </w:tr>
      <w:tr>
        <w:tc>
          <w:tcPr>
            <w:tcW w:type="dxa" w:w="4334"/>
          </w:tcPr>
          <w:p>
            <w:pPr>
              <w:spacing w:line="276" w:lineRule="auto" w:after="40"/>
            </w:pPr>
            <w:r>
              <w:rPr>
                <w:rFonts w:ascii="Times New Roman" w:hAnsi="Times New Roman"/>
                <w:sz w:val="21"/>
              </w:rPr>
              <w:t xml:space="preserve">        4.6.2 Role-Based State Machine Custody Transfers</w:t>
            </w:r>
          </w:p>
        </w:tc>
        <w:tc>
          <w:tcPr>
            <w:tcW w:type="dxa" w:w="4334"/>
          </w:tcPr>
          <w:p>
            <w:pPr>
              <w:jc w:val="right"/>
            </w:pPr>
            <w:r>
              <w:rPr>
                <w:rFonts w:ascii="Times New Roman" w:hAnsi="Times New Roman"/>
                <w:sz w:val="21"/>
              </w:rPr>
              <w:t>23</w:t>
            </w:r>
          </w:p>
        </w:tc>
      </w:tr>
      <w:tr>
        <w:tc>
          <w:tcPr>
            <w:tcW w:type="dxa" w:w="4334"/>
          </w:tcPr>
          <w:p>
            <w:pPr>
              <w:spacing w:line="276" w:lineRule="auto" w:after="40"/>
            </w:pPr>
            <w:r>
              <w:rPr>
                <w:rFonts w:ascii="Times New Roman" w:hAnsi="Times New Roman"/>
                <w:sz w:val="21"/>
              </w:rPr>
              <w:t xml:space="preserve">        4.6.3 Dynamic QR Code Generation and Zero-Gas Public Verification</w:t>
            </w:r>
          </w:p>
        </w:tc>
        <w:tc>
          <w:tcPr>
            <w:tcW w:type="dxa" w:w="4334"/>
          </w:tcPr>
          <w:p>
            <w:pPr>
              <w:jc w:val="right"/>
            </w:pPr>
            <w:r>
              <w:rPr>
                <w:rFonts w:ascii="Times New Roman" w:hAnsi="Times New Roman"/>
                <w:sz w:val="21"/>
              </w:rPr>
              <w:t>23</w:t>
            </w:r>
          </w:p>
        </w:tc>
      </w:tr>
      <w:tr>
        <w:tc>
          <w:tcPr>
            <w:tcW w:type="dxa" w:w="4334"/>
          </w:tcPr>
          <w:p>
            <w:pPr>
              <w:spacing w:line="276" w:lineRule="auto" w:after="40"/>
            </w:pPr>
            <w:r>
              <w:rPr>
                <w:rFonts w:ascii="Times New Roman" w:hAnsi="Times New Roman"/>
                <w:sz w:val="21"/>
              </w:rPr>
              <w:t xml:space="preserve">    4.7 Non-Functional Requirements</w:t>
            </w:r>
          </w:p>
        </w:tc>
        <w:tc>
          <w:tcPr>
            <w:tcW w:type="dxa" w:w="4334"/>
          </w:tcPr>
          <w:p>
            <w:pPr>
              <w:jc w:val="right"/>
            </w:pPr>
            <w:r>
              <w:rPr>
                <w:rFonts w:ascii="Times New Roman" w:hAnsi="Times New Roman"/>
                <w:sz w:val="21"/>
              </w:rPr>
              <w:t>24</w:t>
            </w:r>
          </w:p>
        </w:tc>
      </w:tr>
      <w:tr>
        <w:tc>
          <w:tcPr>
            <w:tcW w:type="dxa" w:w="4334"/>
          </w:tcPr>
          <w:p>
            <w:pPr>
              <w:spacing w:line="276" w:lineRule="auto" w:after="40"/>
            </w:pPr>
            <w:r>
              <w:rPr>
                <w:rFonts w:ascii="Times New Roman" w:hAnsi="Times New Roman"/>
                <w:b/>
                <w:sz w:val="22"/>
              </w:rPr>
              <w:t>5. System Design</w:t>
            </w:r>
          </w:p>
        </w:tc>
        <w:tc>
          <w:tcPr>
            <w:tcW w:type="dxa" w:w="4334"/>
          </w:tcPr>
          <w:p>
            <w:pPr>
              <w:jc w:val="right"/>
            </w:pPr>
            <w:r>
              <w:rPr>
                <w:rFonts w:ascii="Times New Roman" w:hAnsi="Times New Roman"/>
                <w:sz w:val="21"/>
              </w:rPr>
              <w:t>24</w:t>
            </w:r>
          </w:p>
        </w:tc>
      </w:tr>
      <w:tr>
        <w:tc>
          <w:tcPr>
            <w:tcW w:type="dxa" w:w="4334"/>
          </w:tcPr>
          <w:p>
            <w:pPr>
              <w:spacing w:line="276" w:lineRule="auto" w:after="40"/>
            </w:pPr>
            <w:r>
              <w:rPr>
                <w:rFonts w:ascii="Times New Roman" w:hAnsi="Times New Roman"/>
                <w:sz w:val="21"/>
              </w:rPr>
              <w:t xml:space="preserve">    5.1 System Architecture Plan</w:t>
            </w:r>
          </w:p>
        </w:tc>
        <w:tc>
          <w:tcPr>
            <w:tcW w:type="dxa" w:w="4334"/>
          </w:tcPr>
          <w:p>
            <w:pPr>
              <w:jc w:val="right"/>
            </w:pPr>
            <w:r>
              <w:rPr>
                <w:rFonts w:ascii="Times New Roman" w:hAnsi="Times New Roman"/>
                <w:sz w:val="21"/>
              </w:rPr>
              <w:t>24</w:t>
            </w:r>
          </w:p>
        </w:tc>
      </w:tr>
      <w:tr>
        <w:tc>
          <w:tcPr>
            <w:tcW w:type="dxa" w:w="4334"/>
          </w:tcPr>
          <w:p>
            <w:pPr>
              <w:spacing w:line="276" w:lineRule="auto" w:after="40"/>
            </w:pPr>
            <w:r>
              <w:rPr>
                <w:rFonts w:ascii="Times New Roman" w:hAnsi="Times New Roman"/>
                <w:sz w:val="21"/>
              </w:rPr>
              <w:t xml:space="preserve">    5.2 Data Flow Diagram (DFD)</w:t>
            </w:r>
          </w:p>
        </w:tc>
        <w:tc>
          <w:tcPr>
            <w:tcW w:type="dxa" w:w="4334"/>
          </w:tcPr>
          <w:p>
            <w:pPr>
              <w:jc w:val="right"/>
            </w:pPr>
            <w:r>
              <w:rPr>
                <w:rFonts w:ascii="Times New Roman" w:hAnsi="Times New Roman"/>
                <w:sz w:val="21"/>
              </w:rPr>
              <w:t>24</w:t>
            </w:r>
          </w:p>
        </w:tc>
      </w:tr>
      <w:tr>
        <w:tc>
          <w:tcPr>
            <w:tcW w:type="dxa" w:w="4334"/>
          </w:tcPr>
          <w:p>
            <w:pPr>
              <w:spacing w:line="276" w:lineRule="auto" w:after="40"/>
            </w:pPr>
            <w:r>
              <w:rPr>
                <w:rFonts w:ascii="Times New Roman" w:hAnsi="Times New Roman"/>
                <w:sz w:val="21"/>
              </w:rPr>
              <w:t xml:space="preserve">    5.3 State Chart Diagram</w:t>
            </w:r>
          </w:p>
        </w:tc>
        <w:tc>
          <w:tcPr>
            <w:tcW w:type="dxa" w:w="4334"/>
          </w:tcPr>
          <w:p>
            <w:pPr>
              <w:jc w:val="right"/>
            </w:pPr>
            <w:r>
              <w:rPr>
                <w:rFonts w:ascii="Times New Roman" w:hAnsi="Times New Roman"/>
                <w:sz w:val="21"/>
              </w:rPr>
              <w:t>25</w:t>
            </w:r>
          </w:p>
        </w:tc>
      </w:tr>
      <w:tr>
        <w:tc>
          <w:tcPr>
            <w:tcW w:type="dxa" w:w="4334"/>
          </w:tcPr>
          <w:p>
            <w:pPr>
              <w:spacing w:line="276" w:lineRule="auto" w:after="40"/>
            </w:pPr>
            <w:r>
              <w:rPr>
                <w:rFonts w:ascii="Times New Roman" w:hAnsi="Times New Roman"/>
                <w:sz w:val="21"/>
              </w:rPr>
              <w:t xml:space="preserve">    5.4 Activity Diagram</w:t>
            </w:r>
          </w:p>
        </w:tc>
        <w:tc>
          <w:tcPr>
            <w:tcW w:type="dxa" w:w="4334"/>
          </w:tcPr>
          <w:p>
            <w:pPr>
              <w:jc w:val="right"/>
            </w:pPr>
            <w:r>
              <w:rPr>
                <w:rFonts w:ascii="Times New Roman" w:hAnsi="Times New Roman"/>
                <w:sz w:val="21"/>
              </w:rPr>
              <w:t>25</w:t>
            </w:r>
          </w:p>
        </w:tc>
      </w:tr>
      <w:tr>
        <w:tc>
          <w:tcPr>
            <w:tcW w:type="dxa" w:w="4334"/>
          </w:tcPr>
          <w:p>
            <w:pPr>
              <w:spacing w:line="276" w:lineRule="auto" w:after="40"/>
            </w:pPr>
            <w:r>
              <w:rPr>
                <w:rFonts w:ascii="Times New Roman" w:hAnsi="Times New Roman"/>
                <w:sz w:val="21"/>
              </w:rPr>
              <w:t xml:space="preserve">    5.5 Sequence Diagram</w:t>
            </w:r>
          </w:p>
        </w:tc>
        <w:tc>
          <w:tcPr>
            <w:tcW w:type="dxa" w:w="4334"/>
          </w:tcPr>
          <w:p>
            <w:pPr>
              <w:jc w:val="right"/>
            </w:pPr>
            <w:r>
              <w:rPr>
                <w:rFonts w:ascii="Times New Roman" w:hAnsi="Times New Roman"/>
                <w:sz w:val="21"/>
              </w:rPr>
              <w:t>26</w:t>
            </w:r>
          </w:p>
        </w:tc>
      </w:tr>
      <w:tr>
        <w:tc>
          <w:tcPr>
            <w:tcW w:type="dxa" w:w="4334"/>
          </w:tcPr>
          <w:p>
            <w:pPr>
              <w:spacing w:line="276" w:lineRule="auto" w:after="40"/>
            </w:pPr>
            <w:r>
              <w:rPr>
                <w:rFonts w:ascii="Times New Roman" w:hAnsi="Times New Roman"/>
                <w:sz w:val="21"/>
              </w:rPr>
              <w:t xml:space="preserve">    5.6 Project Plan and Timeline Chart</w:t>
            </w:r>
          </w:p>
        </w:tc>
        <w:tc>
          <w:tcPr>
            <w:tcW w:type="dxa" w:w="4334"/>
          </w:tcPr>
          <w:p>
            <w:pPr>
              <w:jc w:val="right"/>
            </w:pPr>
            <w:r>
              <w:rPr>
                <w:rFonts w:ascii="Times New Roman" w:hAnsi="Times New Roman"/>
                <w:sz w:val="21"/>
              </w:rPr>
              <w:t>26</w:t>
            </w:r>
          </w:p>
        </w:tc>
      </w:tr>
      <w:tr>
        <w:tc>
          <w:tcPr>
            <w:tcW w:type="dxa" w:w="4334"/>
          </w:tcPr>
          <w:p>
            <w:pPr>
              <w:spacing w:line="276" w:lineRule="auto" w:after="40"/>
            </w:pPr>
            <w:r>
              <w:rPr>
                <w:rFonts w:ascii="Times New Roman" w:hAnsi="Times New Roman"/>
                <w:b/>
                <w:sz w:val="22"/>
              </w:rPr>
              <w:t>6. Implementation and Explanation</w:t>
            </w:r>
          </w:p>
        </w:tc>
        <w:tc>
          <w:tcPr>
            <w:tcW w:type="dxa" w:w="4334"/>
          </w:tcPr>
          <w:p>
            <w:pPr>
              <w:jc w:val="right"/>
            </w:pPr>
            <w:r>
              <w:rPr>
                <w:rFonts w:ascii="Times New Roman" w:hAnsi="Times New Roman"/>
                <w:sz w:val="21"/>
              </w:rPr>
              <w:t>27</w:t>
            </w:r>
          </w:p>
        </w:tc>
      </w:tr>
      <w:tr>
        <w:tc>
          <w:tcPr>
            <w:tcW w:type="dxa" w:w="4334"/>
          </w:tcPr>
          <w:p>
            <w:pPr>
              <w:spacing w:line="276" w:lineRule="auto" w:after="40"/>
            </w:pPr>
            <w:r>
              <w:rPr>
                <w:rFonts w:ascii="Times New Roman" w:hAnsi="Times New Roman"/>
                <w:sz w:val="21"/>
              </w:rPr>
              <w:t xml:space="preserve">    6.1 Dataset and Data Structure Processing</w:t>
            </w:r>
          </w:p>
        </w:tc>
        <w:tc>
          <w:tcPr>
            <w:tcW w:type="dxa" w:w="4334"/>
          </w:tcPr>
          <w:p>
            <w:pPr>
              <w:jc w:val="right"/>
            </w:pPr>
            <w:r>
              <w:rPr>
                <w:rFonts w:ascii="Times New Roman" w:hAnsi="Times New Roman"/>
                <w:sz w:val="21"/>
              </w:rPr>
              <w:t>27</w:t>
            </w:r>
          </w:p>
        </w:tc>
      </w:tr>
      <w:tr>
        <w:tc>
          <w:tcPr>
            <w:tcW w:type="dxa" w:w="4334"/>
          </w:tcPr>
          <w:p>
            <w:pPr>
              <w:spacing w:line="276" w:lineRule="auto" w:after="40"/>
            </w:pPr>
            <w:r>
              <w:rPr>
                <w:rFonts w:ascii="Times New Roman" w:hAnsi="Times New Roman"/>
                <w:sz w:val="21"/>
              </w:rPr>
              <w:t xml:space="preserve">    6.2 Core Algorithms and Smart Contract Logic</w:t>
            </w:r>
          </w:p>
        </w:tc>
        <w:tc>
          <w:tcPr>
            <w:tcW w:type="dxa" w:w="4334"/>
          </w:tcPr>
          <w:p>
            <w:pPr>
              <w:jc w:val="right"/>
            </w:pPr>
            <w:r>
              <w:rPr>
                <w:rFonts w:ascii="Times New Roman" w:hAnsi="Times New Roman"/>
                <w:sz w:val="21"/>
              </w:rPr>
              <w:t>32</w:t>
            </w:r>
          </w:p>
        </w:tc>
      </w:tr>
      <w:tr>
        <w:tc>
          <w:tcPr>
            <w:tcW w:type="dxa" w:w="4334"/>
          </w:tcPr>
          <w:p>
            <w:pPr>
              <w:spacing w:line="276" w:lineRule="auto" w:after="40"/>
            </w:pPr>
            <w:r>
              <w:rPr>
                <w:rFonts w:ascii="Times New Roman" w:hAnsi="Times New Roman"/>
                <w:sz w:val="21"/>
              </w:rPr>
              <w:t xml:space="preserve">    6.3 Limitations and Challenges</w:t>
            </w:r>
          </w:p>
        </w:tc>
        <w:tc>
          <w:tcPr>
            <w:tcW w:type="dxa" w:w="4334"/>
          </w:tcPr>
          <w:p>
            <w:pPr>
              <w:jc w:val="right"/>
            </w:pPr>
            <w:r>
              <w:rPr>
                <w:rFonts w:ascii="Times New Roman" w:hAnsi="Times New Roman"/>
                <w:sz w:val="21"/>
              </w:rPr>
              <w:t>34</w:t>
            </w:r>
          </w:p>
        </w:tc>
      </w:tr>
    </w:tbl>
    <w:p>
      <w:r>
        <w:br w:type="page"/>
      </w:r>
    </w:p>
    <w:p>
      <w:pPr>
        <w:spacing w:before="480" w:after="360" w:line="276" w:lineRule="auto"/>
        <w:jc w:val="center"/>
      </w:pPr>
      <w:r>
        <w:rPr>
          <w:rFonts w:ascii="Times New Roman" w:hAnsi="Times New Roman"/>
          <w:b/>
          <w:color w:val="1E3A5F"/>
          <w:sz w:val="32"/>
        </w:rPr>
        <w:t>Contents (Continued)</w:t>
      </w:r>
    </w:p>
    <w:tbl>
      <w:tblPr>
        <w:tblW w:type="auto" w:w="0"/>
        <w:jc w:val="center"/>
        <w:tblLook w:firstColumn="1" w:firstRow="1" w:lastColumn="0" w:lastRow="0" w:noHBand="0" w:noVBand="1" w:val="04A0"/>
      </w:tblPr>
      <w:tblGrid>
        <w:gridCol w:w="4334"/>
        <w:gridCol w:w="4334"/>
      </w:tblGrid>
      <w:tr>
        <w:tc>
          <w:tcPr>
            <w:tcW w:type="dxa" w:w="7920"/>
          </w:tcPr>
          <w:p>
            <w:pPr>
              <w:spacing w:line="276" w:lineRule="auto" w:after="60"/>
            </w:pPr>
            <w:r>
              <w:rPr>
                <w:rFonts w:ascii="Times New Roman" w:hAnsi="Times New Roman"/>
                <w:b/>
                <w:sz w:val="22"/>
              </w:rPr>
              <w:t>7. Results and Discussion</w:t>
            </w:r>
          </w:p>
        </w:tc>
        <w:tc>
          <w:tcPr>
            <w:tcW w:type="dxa" w:w="1152"/>
          </w:tcPr>
          <w:p>
            <w:pPr>
              <w:jc w:val="right"/>
            </w:pPr>
            <w:r>
              <w:rPr>
                <w:rFonts w:ascii="Times New Roman" w:hAnsi="Times New Roman"/>
                <w:sz w:val="21"/>
              </w:rPr>
              <w:t>34</w:t>
            </w:r>
          </w:p>
        </w:tc>
      </w:tr>
      <w:tr>
        <w:tc>
          <w:tcPr>
            <w:tcW w:type="dxa" w:w="4334"/>
          </w:tcPr>
          <w:p>
            <w:pPr>
              <w:spacing w:line="276" w:lineRule="auto" w:after="60"/>
            </w:pPr>
            <w:r>
              <w:rPr>
                <w:rFonts w:ascii="Times New Roman" w:hAnsi="Times New Roman"/>
                <w:sz w:val="21"/>
              </w:rPr>
              <w:t xml:space="preserve">    7.1 Gas Consumption Analysis across Smart Contract Operations</w:t>
            </w:r>
          </w:p>
        </w:tc>
        <w:tc>
          <w:tcPr>
            <w:tcW w:type="dxa" w:w="4334"/>
          </w:tcPr>
          <w:p>
            <w:pPr>
              <w:jc w:val="right"/>
            </w:pPr>
            <w:r>
              <w:rPr>
                <w:rFonts w:ascii="Times New Roman" w:hAnsi="Times New Roman"/>
                <w:sz w:val="21"/>
              </w:rPr>
              <w:t>34</w:t>
            </w:r>
          </w:p>
        </w:tc>
      </w:tr>
      <w:tr>
        <w:tc>
          <w:tcPr>
            <w:tcW w:type="dxa" w:w="4334"/>
          </w:tcPr>
          <w:p>
            <w:pPr>
              <w:spacing w:line="276" w:lineRule="auto" w:after="60"/>
            </w:pPr>
            <w:r>
              <w:rPr>
                <w:rFonts w:ascii="Times New Roman" w:hAnsi="Times New Roman"/>
                <w:sz w:val="21"/>
              </w:rPr>
              <w:t xml:space="preserve">    7.2 Transaction Latency and Block Confirmation Times on Polygon Amoy</w:t>
            </w:r>
          </w:p>
        </w:tc>
        <w:tc>
          <w:tcPr>
            <w:tcW w:type="dxa" w:w="4334"/>
          </w:tcPr>
          <w:p>
            <w:pPr>
              <w:jc w:val="right"/>
            </w:pPr>
            <w:r>
              <w:rPr>
                <w:rFonts w:ascii="Times New Roman" w:hAnsi="Times New Roman"/>
                <w:sz w:val="21"/>
              </w:rPr>
              <w:t>38</w:t>
            </w:r>
          </w:p>
        </w:tc>
      </w:tr>
      <w:tr>
        <w:tc>
          <w:tcPr>
            <w:tcW w:type="dxa" w:w="4334"/>
          </w:tcPr>
          <w:p>
            <w:pPr>
              <w:spacing w:line="276" w:lineRule="auto" w:after="60"/>
            </w:pPr>
            <w:r>
              <w:rPr>
                <w:rFonts w:ascii="Times New Roman" w:hAnsi="Times New Roman"/>
                <w:sz w:val="21"/>
              </w:rPr>
              <w:t xml:space="preserve">    7.3 Security Verification and Threat Modeling Evaluation</w:t>
            </w:r>
          </w:p>
        </w:tc>
        <w:tc>
          <w:tcPr>
            <w:tcW w:type="dxa" w:w="4334"/>
          </w:tcPr>
          <w:p>
            <w:pPr>
              <w:jc w:val="right"/>
            </w:pPr>
            <w:r>
              <w:rPr>
                <w:rFonts w:ascii="Times New Roman" w:hAnsi="Times New Roman"/>
                <w:sz w:val="21"/>
              </w:rPr>
              <w:t>38</w:t>
            </w:r>
          </w:p>
        </w:tc>
      </w:tr>
      <w:tr>
        <w:tc>
          <w:tcPr>
            <w:tcW w:type="dxa" w:w="4334"/>
          </w:tcPr>
          <w:p>
            <w:pPr>
              <w:spacing w:line="276" w:lineRule="auto" w:after="60"/>
            </w:pPr>
            <w:r>
              <w:rPr>
                <w:rFonts w:ascii="Times New Roman" w:hAnsi="Times New Roman"/>
                <w:sz w:val="21"/>
              </w:rPr>
              <w:t xml:space="preserve">    7.4 End-to-End Supply Chain Provenance Audit</w:t>
            </w:r>
          </w:p>
        </w:tc>
        <w:tc>
          <w:tcPr>
            <w:tcW w:type="dxa" w:w="4334"/>
          </w:tcPr>
          <w:p>
            <w:pPr>
              <w:jc w:val="right"/>
            </w:pPr>
            <w:r>
              <w:rPr>
                <w:rFonts w:ascii="Times New Roman" w:hAnsi="Times New Roman"/>
                <w:sz w:val="21"/>
              </w:rPr>
              <w:t>39</w:t>
            </w:r>
          </w:p>
        </w:tc>
      </w:tr>
      <w:tr>
        <w:tc>
          <w:tcPr>
            <w:tcW w:type="dxa" w:w="4334"/>
          </w:tcPr>
          <w:p>
            <w:pPr>
              <w:spacing w:line="276" w:lineRule="auto" w:after="60"/>
            </w:pPr>
            <w:r>
              <w:rPr>
                <w:rFonts w:ascii="Times New Roman" w:hAnsi="Times New Roman"/>
                <w:sz w:val="21"/>
              </w:rPr>
              <w:t xml:space="preserve">    7.5 Comparative Discussion against Alternative Architectural Models</w:t>
            </w:r>
          </w:p>
        </w:tc>
        <w:tc>
          <w:tcPr>
            <w:tcW w:type="dxa" w:w="4334"/>
          </w:tcPr>
          <w:p>
            <w:pPr>
              <w:jc w:val="right"/>
            </w:pPr>
            <w:r>
              <w:rPr>
                <w:rFonts w:ascii="Times New Roman" w:hAnsi="Times New Roman"/>
                <w:sz w:val="21"/>
              </w:rPr>
              <w:t>39</w:t>
            </w:r>
          </w:p>
        </w:tc>
      </w:tr>
      <w:tr>
        <w:tc>
          <w:tcPr>
            <w:tcW w:type="dxa" w:w="4334"/>
          </w:tcPr>
          <w:p>
            <w:pPr>
              <w:spacing w:line="276" w:lineRule="auto" w:after="60"/>
            </w:pPr>
            <w:r>
              <w:rPr>
                <w:rFonts w:ascii="Times New Roman" w:hAnsi="Times New Roman"/>
                <w:b/>
                <w:sz w:val="22"/>
              </w:rPr>
              <w:t>8. Conclusion and Future Scope</w:t>
            </w:r>
          </w:p>
        </w:tc>
        <w:tc>
          <w:tcPr>
            <w:tcW w:type="dxa" w:w="4334"/>
          </w:tcPr>
          <w:p>
            <w:pPr>
              <w:jc w:val="right"/>
            </w:pPr>
            <w:r>
              <w:rPr>
                <w:rFonts w:ascii="Times New Roman" w:hAnsi="Times New Roman"/>
                <w:sz w:val="21"/>
              </w:rPr>
              <w:t>41</w:t>
            </w:r>
          </w:p>
        </w:tc>
      </w:tr>
      <w:tr>
        <w:tc>
          <w:tcPr>
            <w:tcW w:type="dxa" w:w="4334"/>
          </w:tcPr>
          <w:p>
            <w:pPr>
              <w:spacing w:line="276" w:lineRule="auto" w:after="60"/>
            </w:pPr>
            <w:r>
              <w:rPr>
                <w:rFonts w:ascii="Times New Roman" w:hAnsi="Times New Roman"/>
                <w:sz w:val="21"/>
              </w:rPr>
              <w:t xml:space="preserve">    8.1 Conclusion</w:t>
            </w:r>
          </w:p>
        </w:tc>
        <w:tc>
          <w:tcPr>
            <w:tcW w:type="dxa" w:w="4334"/>
          </w:tcPr>
          <w:p>
            <w:pPr>
              <w:jc w:val="right"/>
            </w:pPr>
            <w:r>
              <w:rPr>
                <w:rFonts w:ascii="Times New Roman" w:hAnsi="Times New Roman"/>
                <w:sz w:val="21"/>
              </w:rPr>
              <w:t>41</w:t>
            </w:r>
          </w:p>
        </w:tc>
      </w:tr>
      <w:tr>
        <w:tc>
          <w:tcPr>
            <w:tcW w:type="dxa" w:w="4334"/>
          </w:tcPr>
          <w:p>
            <w:pPr>
              <w:spacing w:line="276" w:lineRule="auto" w:after="60"/>
            </w:pPr>
            <w:r>
              <w:rPr>
                <w:rFonts w:ascii="Times New Roman" w:hAnsi="Times New Roman"/>
                <w:sz w:val="21"/>
              </w:rPr>
              <w:t xml:space="preserve">    8.2 Future Scope</w:t>
            </w:r>
          </w:p>
        </w:tc>
        <w:tc>
          <w:tcPr>
            <w:tcW w:type="dxa" w:w="4334"/>
          </w:tcPr>
          <w:p>
            <w:pPr>
              <w:jc w:val="right"/>
            </w:pPr>
            <w:r>
              <w:rPr>
                <w:rFonts w:ascii="Times New Roman" w:hAnsi="Times New Roman"/>
                <w:sz w:val="21"/>
              </w:rPr>
              <w:t>41</w:t>
            </w:r>
          </w:p>
        </w:tc>
      </w:tr>
      <w:tr>
        <w:tc>
          <w:tcPr>
            <w:tcW w:type="dxa" w:w="4334"/>
          </w:tcPr>
          <w:p>
            <w:pPr>
              <w:spacing w:line="276" w:lineRule="auto" w:after="60"/>
            </w:pPr>
            <w:r>
              <w:rPr>
                <w:rFonts w:ascii="Times New Roman" w:hAnsi="Times New Roman"/>
                <w:b/>
                <w:sz w:val="22"/>
              </w:rPr>
              <w:t>9. References</w:t>
            </w:r>
          </w:p>
        </w:tc>
        <w:tc>
          <w:tcPr>
            <w:tcW w:type="dxa" w:w="4334"/>
          </w:tcPr>
          <w:p>
            <w:pPr>
              <w:jc w:val="right"/>
            </w:pPr>
            <w:r>
              <w:rPr>
                <w:rFonts w:ascii="Times New Roman" w:hAnsi="Times New Roman"/>
                <w:sz w:val="21"/>
              </w:rPr>
              <w:t>43</w:t>
            </w:r>
          </w:p>
        </w:tc>
      </w:tr>
      <w:tr>
        <w:tc>
          <w:tcPr>
            <w:tcW w:type="dxa" w:w="4334"/>
          </w:tcPr>
          <w:p>
            <w:pPr>
              <w:spacing w:line="276" w:lineRule="auto" w:after="60"/>
            </w:pPr>
            <w:r>
              <w:rPr>
                <w:rFonts w:ascii="Times New Roman" w:hAnsi="Times New Roman"/>
                <w:sz w:val="21"/>
              </w:rPr>
              <w:t xml:space="preserve">    9.1 Technical Specifications and Datasets</w:t>
            </w:r>
          </w:p>
        </w:tc>
        <w:tc>
          <w:tcPr>
            <w:tcW w:type="dxa" w:w="4334"/>
          </w:tcPr>
          <w:p>
            <w:pPr>
              <w:jc w:val="right"/>
            </w:pPr>
            <w:r>
              <w:rPr>
                <w:rFonts w:ascii="Times New Roman" w:hAnsi="Times New Roman"/>
                <w:sz w:val="21"/>
              </w:rPr>
              <w:t>43</w:t>
            </w:r>
          </w:p>
        </w:tc>
      </w:tr>
      <w:tr>
        <w:tc>
          <w:tcPr>
            <w:tcW w:type="dxa" w:w="4334"/>
          </w:tcPr>
          <w:p>
            <w:pPr>
              <w:spacing w:line="276" w:lineRule="auto" w:after="60"/>
            </w:pPr>
            <w:r>
              <w:rPr>
                <w:rFonts w:ascii="Times New Roman" w:hAnsi="Times New Roman"/>
                <w:sz w:val="21"/>
              </w:rPr>
              <w:t xml:space="preserve">    9.2 Academic Research Papers</w:t>
            </w:r>
          </w:p>
        </w:tc>
        <w:tc>
          <w:tcPr>
            <w:tcW w:type="dxa" w:w="4334"/>
          </w:tcPr>
          <w:p>
            <w:pPr>
              <w:jc w:val="right"/>
            </w:pPr>
            <w:r>
              <w:rPr>
                <w:rFonts w:ascii="Times New Roman" w:hAnsi="Times New Roman"/>
                <w:sz w:val="21"/>
              </w:rPr>
              <w:t>43</w:t>
            </w:r>
          </w:p>
        </w:tc>
      </w:tr>
      <w:tr>
        <w:tc>
          <w:tcPr>
            <w:tcW w:type="dxa" w:w="4334"/>
          </w:tcPr>
          <w:p>
            <w:pPr>
              <w:spacing w:line="276" w:lineRule="auto" w:after="60"/>
            </w:pPr>
            <w:r>
              <w:rPr>
                <w:rFonts w:ascii="Times New Roman" w:hAnsi="Times New Roman"/>
                <w:b/>
                <w:sz w:val="22"/>
              </w:rPr>
              <w:t>10. Appendices &amp; Turnitin Originality Report</w:t>
            </w:r>
          </w:p>
        </w:tc>
        <w:tc>
          <w:tcPr>
            <w:tcW w:type="dxa" w:w="4334"/>
          </w:tcPr>
          <w:p>
            <w:pPr>
              <w:jc w:val="right"/>
            </w:pPr>
            <w:r>
              <w:rPr>
                <w:rFonts w:ascii="Times New Roman" w:hAnsi="Times New Roman"/>
                <w:sz w:val="21"/>
              </w:rPr>
              <w:t>46</w:t>
            </w:r>
          </w:p>
        </w:tc>
      </w:tr>
      <w:tr>
        <w:tc>
          <w:tcPr>
            <w:tcW w:type="dxa" w:w="4334"/>
          </w:tcPr>
          <w:p>
            <w:pPr>
              <w:spacing w:line="276" w:lineRule="auto" w:after="60"/>
            </w:pPr>
            <w:r>
              <w:rPr>
                <w:rFonts w:ascii="Times New Roman" w:hAnsi="Times New Roman"/>
                <w:sz w:val="21"/>
              </w:rPr>
              <w:t xml:space="preserve">    10.1 Turnitin Originality Report Cover Page (5% Similarity)</w:t>
            </w:r>
          </w:p>
        </w:tc>
        <w:tc>
          <w:tcPr>
            <w:tcW w:type="dxa" w:w="4334"/>
          </w:tcPr>
          <w:p>
            <w:pPr>
              <w:jc w:val="right"/>
            </w:pPr>
            <w:r>
              <w:rPr>
                <w:rFonts w:ascii="Times New Roman" w:hAnsi="Times New Roman"/>
                <w:sz w:val="21"/>
              </w:rPr>
              <w:t>46</w:t>
            </w:r>
          </w:p>
        </w:tc>
      </w:tr>
      <w:tr>
        <w:tc>
          <w:tcPr>
            <w:tcW w:type="dxa" w:w="4334"/>
          </w:tcPr>
          <w:p>
            <w:pPr>
              <w:spacing w:line="276" w:lineRule="auto" w:after="60"/>
            </w:pPr>
            <w:r>
              <w:rPr>
                <w:rFonts w:ascii="Times New Roman" w:hAnsi="Times New Roman"/>
                <w:sz w:val="21"/>
              </w:rPr>
              <w:t xml:space="preserve">    10.2 Primary Source Similarity Breakdown Report</w:t>
            </w:r>
          </w:p>
        </w:tc>
        <w:tc>
          <w:tcPr>
            <w:tcW w:type="dxa" w:w="4334"/>
          </w:tcPr>
          <w:p>
            <w:pPr>
              <w:jc w:val="right"/>
            </w:pPr>
            <w:r>
              <w:rPr>
                <w:rFonts w:ascii="Times New Roman" w:hAnsi="Times New Roman"/>
                <w:sz w:val="21"/>
              </w:rPr>
              <w:t>47</w:t>
            </w:r>
          </w:p>
        </w:tc>
      </w:tr>
    </w:tbl>
    <w:p>
      <w:r>
        <w:br w:type="page"/>
      </w:r>
    </w:p>
    <w:p>
      <w:pPr>
        <w:spacing w:before="360" w:after="240" w:line="276" w:lineRule="auto"/>
        <w:jc w:val="left"/>
      </w:pPr>
      <w:r>
        <w:rPr>
          <w:rFonts w:ascii="Times New Roman" w:hAnsi="Times New Roman"/>
          <w:b/>
          <w:color w:val="1E3A5F"/>
          <w:sz w:val="32"/>
        </w:rPr>
        <w:t>1. Introduction</w:t>
      </w:r>
    </w:p>
    <w:p>
      <w:pPr>
        <w:spacing w:before="0" w:after="120" w:line="276" w:lineRule="auto"/>
        <w:jc w:val="both"/>
      </w:pPr>
      <w:r>
        <w:rPr>
          <w:rFonts w:ascii="Times New Roman" w:hAnsi="Times New Roman"/>
          <w:b w:val="0"/>
          <w:i w:val="0"/>
          <w:sz w:val="24"/>
        </w:rPr>
        <w:t>The global pharmaceutical industry operates as an intricate, multi-echelon supply network responsible for manufacturing, storing, and distributing life-saving medications to millions of patients worldwide. Over the past three decades, globalization has decentralized drug production, resulting in complex cross-border logistics involving chemical synthesizers, primary manufacturers, logistics providers, wholesale distributors, regional stockists, community pharmacies, and healthcare institutions. However, this growing operational fragmentation has exposed deep vulnerabilities within traditional supply chain infrastructures.</w:t>
      </w:r>
    </w:p>
    <w:p>
      <w:pPr>
        <w:spacing w:before="0" w:after="120" w:line="276" w:lineRule="auto"/>
        <w:jc w:val="both"/>
      </w:pPr>
      <w:r>
        <w:rPr>
          <w:rFonts w:ascii="Times New Roman" w:hAnsi="Times New Roman"/>
          <w:b w:val="0"/>
          <w:i w:val="0"/>
          <w:sz w:val="24"/>
        </w:rPr>
        <w:t>According to extensive market research conducted by the World Health Organization (WHO) and the Organisation for Economic Co-operation and Development (OECD), counterfeit and substandard medications constitute between 10% and 30% of all pharmaceutical products circulating in low-to-middle-income nations, resulting in over one million preventable fatalities each year and generating more than $200 billion in illicit revenues for organized criminal syndicates. In India alone, industry investigations estimate that approximately 15% to 20% of domestic formulations fail quality benchmarks or enter distribution via unauthorized grey-market diversion.</w:t>
      </w:r>
    </w:p>
    <w:p>
      <w:pPr>
        <w:spacing w:before="0" w:after="120" w:line="276" w:lineRule="auto"/>
        <w:jc w:val="both"/>
      </w:pPr>
      <w:r>
        <w:rPr>
          <w:rFonts w:ascii="Times New Roman" w:hAnsi="Times New Roman"/>
          <w:b w:val="0"/>
          <w:i w:val="0"/>
          <w:sz w:val="24"/>
        </w:rPr>
        <w:t>The root of this pervasive anti-counterfeiting challenge lies in the centralized, siloed nature of traditional supply chain IT architectures. Conventional pharmaceutical tracking relies predominantly on proprietary Enterprise Resource Planning (ERP) systems, paper-based consignment records, and centralized SQL databases maintained independently by distinct stakeholders. These legacy platforms lack universal interoperability, create isolated data silos, and offer zero cryptographic guarantees against insider manipulation, unauthorized batch duplication, or post-dated record tampering. When a counterfeit batch is introduced into distribution, verifying its legitimacy or recalling compromised units requires days of administrative auditing, frequently after the compromised drugs have reached end consumers.</w:t>
      </w:r>
    </w:p>
    <w:p>
      <w:pPr>
        <w:spacing w:before="240" w:after="120" w:line="276" w:lineRule="auto"/>
        <w:jc w:val="left"/>
      </w:pPr>
      <w:r>
        <w:rPr>
          <w:rFonts w:ascii="Times New Roman" w:hAnsi="Times New Roman"/>
          <w:b/>
          <w:color w:val="1E3A5F"/>
          <w:sz w:val="28"/>
        </w:rPr>
        <w:t>1.1 Problem Statement</w:t>
      </w:r>
    </w:p>
    <w:p>
      <w:pPr>
        <w:spacing w:before="0" w:after="120" w:line="276" w:lineRule="auto"/>
        <w:jc w:val="both"/>
      </w:pPr>
      <w:r>
        <w:rPr>
          <w:rFonts w:ascii="Times New Roman" w:hAnsi="Times New Roman"/>
          <w:b w:val="0"/>
          <w:i w:val="0"/>
          <w:sz w:val="24"/>
        </w:rPr>
        <w:t>Current pharmaceutical distribution networks lack a universally trusted, tamper-proof, and real-time provenance tracking infrastructure. Traditional barcode serialization schemes (such as 1D UPC codes and static 2D barcodes) can be trivially copied, replicated, and affixed to counterfeit packaging without invalidating centralized records. Furthermore, centralized serialization repositories represent a single point of failure and require full mutual trust among competing logistics stakeholders.</w:t>
      </w:r>
    </w:p>
    <w:p>
      <w:pPr>
        <w:spacing w:before="0" w:after="120" w:line="276" w:lineRule="auto"/>
        <w:jc w:val="both"/>
      </w:pPr>
      <w:r>
        <w:rPr>
          <w:rFonts w:ascii="Times New Roman" w:hAnsi="Times New Roman"/>
          <w:b w:val="0"/>
          <w:i w:val="0"/>
          <w:sz w:val="24"/>
        </w:rPr>
        <w:t>The primary objective of this project is to develop and deploy PharmaTrust, an open, non-custodial, decentralized pharmaceutical tracking platform that tokenizes physical drug batches into unique ERC-721 digital assets on the Polygon Amoy Proof-of-Stake (PoS) blockchain. By combining immutable smart contract state machines, decentralized metadata storage on IPFS, hierarchical parent-child batch associations, and zero-gas cryptographic QR code verification, PharmaTrust eliminates counterfeiting vectors, automates regulatory compliance, and empowers consumers to instantly verify drug provenance without financial or technical barriers.</w:t>
      </w:r>
    </w:p>
    <w:p>
      <w:pPr>
        <w:spacing w:before="240" w:after="120" w:line="276" w:lineRule="auto"/>
        <w:jc w:val="left"/>
      </w:pPr>
      <w:r>
        <w:rPr>
          <w:rFonts w:ascii="Times New Roman" w:hAnsi="Times New Roman"/>
          <w:b/>
          <w:color w:val="1E3A5F"/>
          <w:sz w:val="28"/>
        </w:rPr>
        <w:t>1.2 Scope</w:t>
      </w:r>
    </w:p>
    <w:p>
      <w:pPr>
        <w:spacing w:before="0" w:after="120" w:line="276" w:lineRule="auto"/>
        <w:jc w:val="both"/>
      </w:pPr>
      <w:r>
        <w:rPr>
          <w:rFonts w:ascii="Times New Roman" w:hAnsi="Times New Roman"/>
          <w:b w:val="0"/>
          <w:i w:val="0"/>
          <w:sz w:val="24"/>
        </w:rPr>
        <w:t>The scope of this project encompasses the architectural design, formal smart contract development, testnet deployment, cryptographic payload verification, and full-stack implementation of a web-based decentralized application (DApp). The system supports multi-role access control for primary manufacturers, distributors, retailers, and pharmacies. The smart contract suite is deployed on the Polygon Amoy testnet (Chain ID 80002) utilizing Solidity v0.8.20 and OpenZeppelin security primitives. The scope further includes unit-level and bulk-level batch tracing, dynamic QR code generation, off-chain IPFS metadata pinning, and non-blocking MongoDB dual-write synchronization. This project was developed across four months without external commercial funding.</w:t>
      </w:r>
    </w:p>
    <w:p>
      <w:r>
        <w:br w:type="page"/>
      </w:r>
    </w:p>
    <w:p>
      <w:pPr>
        <w:spacing w:before="240" w:after="120" w:line="276" w:lineRule="auto"/>
        <w:jc w:val="left"/>
      </w:pPr>
      <w:r>
        <w:rPr>
          <w:rFonts w:ascii="Times New Roman" w:hAnsi="Times New Roman"/>
          <w:b/>
          <w:color w:val="1E3A5F"/>
          <w:sz w:val="28"/>
        </w:rPr>
        <w:t>1.3 Overview of the Report</w:t>
      </w:r>
    </w:p>
    <w:p>
      <w:pPr>
        <w:spacing w:before="0" w:after="120" w:line="276" w:lineRule="auto"/>
        <w:jc w:val="both"/>
      </w:pPr>
      <w:r>
        <w:rPr>
          <w:rFonts w:ascii="Times New Roman" w:hAnsi="Times New Roman"/>
          <w:b w:val="0"/>
          <w:i w:val="0"/>
          <w:sz w:val="24"/>
        </w:rPr>
        <w:t>This report is systematically structured into chapters that guide the reader through the theoretical motivation, literature survey, formal specification, architectural design, implementation details, and empirical results of the PharmaTrust platform. The structural distribution of this report is illustrated in Figure 1.</w:t>
      </w:r>
    </w:p>
    <w:p>
      <w:pPr>
        <w:spacing w:before="120" w:after="80"/>
        <w:jc w:val="center"/>
      </w:pPr>
      <w:r>
        <w:drawing>
          <wp:inline xmlns:a="http://schemas.openxmlformats.org/drawingml/2006/main" xmlns:pic="http://schemas.openxmlformats.org/drawingml/2006/picture">
            <wp:extent cx="2926080" cy="3837086"/>
            <wp:docPr id="2" name="Picture 2"/>
            <wp:cNvGraphicFramePr>
              <a:graphicFrameLocks noChangeAspect="1"/>
            </wp:cNvGraphicFramePr>
            <a:graphic>
              <a:graphicData uri="http://schemas.openxmlformats.org/drawingml/2006/picture">
                <pic:pic>
                  <pic:nvPicPr>
                    <pic:cNvPr id="0" name="fig1_distribution_of_report.png"/>
                    <pic:cNvPicPr/>
                  </pic:nvPicPr>
                  <pic:blipFill>
                    <a:blip r:embed="rId10"/>
                    <a:stretch>
                      <a:fillRect/>
                    </a:stretch>
                  </pic:blipFill>
                  <pic:spPr>
                    <a:xfrm>
                      <a:off x="0" y="0"/>
                      <a:ext cx="2926080" cy="3837086"/>
                    </a:xfrm>
                    <a:prstGeom prst="rect"/>
                  </pic:spPr>
                </pic:pic>
              </a:graphicData>
            </a:graphic>
          </wp:inline>
        </w:drawing>
      </w:r>
    </w:p>
    <w:p>
      <w:pPr>
        <w:spacing w:after="240"/>
        <w:jc w:val="center"/>
      </w:pPr>
      <w:r>
        <w:rPr>
          <w:rFonts w:ascii="Times New Roman" w:hAnsi="Times New Roman"/>
          <w:i/>
          <w:sz w:val="20"/>
        </w:rPr>
        <w:t>Fig 1. Distribution of Report</w:t>
      </w:r>
    </w:p>
    <w:p>
      <w:pPr>
        <w:spacing w:before="240" w:after="120" w:line="276" w:lineRule="auto"/>
        <w:jc w:val="left"/>
      </w:pPr>
      <w:r>
        <w:rPr>
          <w:rFonts w:ascii="Times New Roman" w:hAnsi="Times New Roman"/>
          <w:b/>
          <w:color w:val="1E3A5F"/>
          <w:sz w:val="32"/>
        </w:rPr>
        <w:t>2. Literature Review</w:t>
      </w:r>
    </w:p>
    <w:p>
      <w:pPr>
        <w:spacing w:before="0" w:after="120" w:line="276" w:lineRule="auto"/>
        <w:jc w:val="both"/>
      </w:pPr>
      <w:r>
        <w:rPr>
          <w:rFonts w:ascii="Times New Roman" w:hAnsi="Times New Roman"/>
          <w:b w:val="0"/>
          <w:i w:val="0"/>
          <w:sz w:val="24"/>
        </w:rPr>
        <w:t>To establish a rigorous theoretical and technical foundation for PharmaTrust, an extensive literature review was conducted analyzing recent scholarly contributions in blockchain-enabled supply chain architectures, cryptographic anti-counterfeiting protocols, and consensus mechanisms. Table 1 summarizes key research papers, detailing their methodologies, core findings, and practical inferences.</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576"/>
            <w:shd w:fill="E2E8F0"/>
          </w:tcPr>
          <w:p>
            <w:pPr>
              <w:jc w:val="center"/>
            </w:pPr>
            <w:r>
              <w:rPr>
                <w:rFonts w:ascii="Times New Roman" w:hAnsi="Times New Roman"/>
                <w:b/>
                <w:sz w:val="19"/>
              </w:rPr>
              <w:t>Sr. No</w:t>
            </w:r>
          </w:p>
        </w:tc>
        <w:tc>
          <w:tcPr>
            <w:tcW w:type="dxa" w:w="1584"/>
            <w:shd w:fill="E2E8F0"/>
          </w:tcPr>
          <w:p>
            <w:pPr>
              <w:jc w:val="center"/>
            </w:pPr>
            <w:r>
              <w:rPr>
                <w:rFonts w:ascii="Times New Roman" w:hAnsi="Times New Roman"/>
                <w:b/>
                <w:sz w:val="19"/>
              </w:rPr>
              <w:t>Author</w:t>
            </w:r>
          </w:p>
        </w:tc>
        <w:tc>
          <w:tcPr>
            <w:tcW w:type="dxa" w:w="1872"/>
            <w:shd w:fill="E2E8F0"/>
          </w:tcPr>
          <w:p>
            <w:pPr>
              <w:jc w:val="center"/>
            </w:pPr>
            <w:r>
              <w:rPr>
                <w:rFonts w:ascii="Times New Roman" w:hAnsi="Times New Roman"/>
                <w:b/>
                <w:sz w:val="19"/>
              </w:rPr>
              <w:t>Paper</w:t>
            </w:r>
          </w:p>
        </w:tc>
        <w:tc>
          <w:tcPr>
            <w:tcW w:type="dxa" w:w="1296"/>
            <w:shd w:fill="E2E8F0"/>
          </w:tcPr>
          <w:p>
            <w:pPr>
              <w:jc w:val="center"/>
            </w:pPr>
            <w:r>
              <w:rPr>
                <w:rFonts w:ascii="Times New Roman" w:hAnsi="Times New Roman"/>
                <w:b/>
                <w:sz w:val="19"/>
              </w:rPr>
              <w:t>Model / Tech</w:t>
            </w:r>
          </w:p>
        </w:tc>
        <w:tc>
          <w:tcPr>
            <w:tcW w:type="dxa" w:w="2160"/>
            <w:shd w:fill="E2E8F0"/>
          </w:tcPr>
          <w:p>
            <w:pPr>
              <w:jc w:val="center"/>
            </w:pPr>
            <w:r>
              <w:rPr>
                <w:rFonts w:ascii="Times New Roman" w:hAnsi="Times New Roman"/>
                <w:b/>
                <w:sz w:val="19"/>
              </w:rPr>
              <w:t>Description</w:t>
            </w:r>
          </w:p>
        </w:tc>
        <w:tc>
          <w:tcPr>
            <w:tcW w:type="dxa" w:w="1872"/>
            <w:shd w:fill="E2E8F0"/>
          </w:tcPr>
          <w:p>
            <w:pPr>
              <w:jc w:val="center"/>
            </w:pPr>
            <w:r>
              <w:rPr>
                <w:rFonts w:ascii="Times New Roman" w:hAnsi="Times New Roman"/>
                <w:b/>
                <w:sz w:val="19"/>
              </w:rPr>
              <w:t>Result</w:t>
            </w:r>
          </w:p>
        </w:tc>
        <w:tc>
          <w:tcPr>
            <w:tcW w:type="dxa" w:w="1872"/>
            <w:shd w:fill="E2E8F0"/>
          </w:tcPr>
          <w:p>
            <w:pPr>
              <w:jc w:val="center"/>
            </w:pPr>
            <w:r>
              <w:rPr>
                <w:rFonts w:ascii="Times New Roman" w:hAnsi="Times New Roman"/>
                <w:b/>
                <w:sz w:val="19"/>
              </w:rPr>
              <w:t>Inference</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rFonts w:ascii="Times New Roman" w:hAnsi="Times New Roman"/>
                <w:sz w:val="17"/>
              </w:rPr>
              <w:t>1</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rFonts w:ascii="Times New Roman" w:hAnsi="Times New Roman"/>
                <w:sz w:val="17"/>
              </w:rPr>
              <w:t>Kumar, P. &amp;</w:t>
              <w:br/>
              <w:t>Tripathi, R.</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rFonts w:ascii="Times New Roman" w:hAnsi="Times New Roman"/>
                <w:sz w:val="17"/>
              </w:rPr>
              <w:t>Traceability in Pharma Supply Chain using Blockchain</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rFonts w:ascii="Times New Roman" w:hAnsi="Times New Roman"/>
                <w:sz w:val="17"/>
              </w:rPr>
              <w:t>Hyperledger Fabric</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rFonts w:ascii="Times New Roman" w:hAnsi="Times New Roman"/>
                <w:sz w:val="17"/>
              </w:rPr>
              <w:t>Explores permissioned distributed ledger technology for tracking pharmaceutical consignments with chaincode-driven access control.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rFonts w:ascii="Times New Roman" w:hAnsi="Times New Roman"/>
                <w:sz w:val="17"/>
              </w:rPr>
              <w:t>Achieves high private transaction throughput but requires heavy enterprise node infrastructure.</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rFonts w:ascii="Times New Roman" w:hAnsi="Times New Roman"/>
                <w:sz w:val="17"/>
              </w:rPr>
              <w:t>Permissioned consortia exclude end-consumers from independently verifying drug provenance at retail outlets.</w:t>
            </w:r>
          </w:p>
        </w:tc>
      </w:tr>
    </w:tbl>
    <w:p>
      <w:r>
        <w:br w:type="page"/>
      </w:r>
    </w:p>
    <w:p>
      <w:pPr>
        <w:spacing w:before="240" w:after="120" w:line="276" w:lineRule="auto"/>
        <w:jc w:val="left"/>
      </w:pPr>
      <w:r>
        <w:rPr>
          <w:rFonts w:ascii="Times New Roman" w:hAnsi="Times New Roman"/>
          <w:b/>
          <w:color w:val="333333"/>
          <w:sz w:val="24"/>
        </w:rPr>
        <w:t>Table 1. Literature Review on Pharmaceutical Supply Chain &amp; Blockchain (Continued)</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576"/>
            <w:shd w:fill="E2E8F0"/>
          </w:tcPr>
          <w:p>
            <w:pPr>
              <w:jc w:val="center"/>
            </w:pPr>
            <w:r>
              <w:rPr>
                <w:b/>
                <w:sz w:val="19"/>
              </w:rPr>
              <w:t>Sr. No</w:t>
            </w:r>
          </w:p>
        </w:tc>
        <w:tc>
          <w:tcPr>
            <w:tcW w:type="dxa" w:w="1584"/>
            <w:shd w:fill="E2E8F0"/>
          </w:tcPr>
          <w:p>
            <w:pPr>
              <w:jc w:val="center"/>
            </w:pPr>
            <w:r>
              <w:rPr>
                <w:b/>
                <w:sz w:val="19"/>
              </w:rPr>
              <w:t>Author</w:t>
            </w:r>
          </w:p>
        </w:tc>
        <w:tc>
          <w:tcPr>
            <w:tcW w:type="dxa" w:w="1872"/>
            <w:shd w:fill="E2E8F0"/>
          </w:tcPr>
          <w:p>
            <w:pPr>
              <w:jc w:val="center"/>
            </w:pPr>
            <w:r>
              <w:rPr>
                <w:b/>
                <w:sz w:val="19"/>
              </w:rPr>
              <w:t>Paper</w:t>
            </w:r>
          </w:p>
        </w:tc>
        <w:tc>
          <w:tcPr>
            <w:tcW w:type="dxa" w:w="1296"/>
            <w:shd w:fill="E2E8F0"/>
          </w:tcPr>
          <w:p>
            <w:pPr>
              <w:jc w:val="center"/>
            </w:pPr>
            <w:r>
              <w:rPr>
                <w:b/>
                <w:sz w:val="19"/>
              </w:rPr>
              <w:t>Model / Tech</w:t>
            </w:r>
          </w:p>
        </w:tc>
        <w:tc>
          <w:tcPr>
            <w:tcW w:type="dxa" w:w="2160"/>
            <w:shd w:fill="E2E8F0"/>
          </w:tcPr>
          <w:p>
            <w:pPr>
              <w:jc w:val="center"/>
            </w:pPr>
            <w:r>
              <w:rPr>
                <w:b/>
                <w:sz w:val="19"/>
              </w:rPr>
              <w:t>Description</w:t>
            </w:r>
          </w:p>
        </w:tc>
        <w:tc>
          <w:tcPr>
            <w:tcW w:type="dxa" w:w="1872"/>
            <w:shd w:fill="E2E8F0"/>
          </w:tcPr>
          <w:p>
            <w:pPr>
              <w:jc w:val="center"/>
            </w:pPr>
            <w:r>
              <w:rPr>
                <w:b/>
                <w:sz w:val="19"/>
              </w:rPr>
              <w:t>Result</w:t>
            </w:r>
          </w:p>
        </w:tc>
        <w:tc>
          <w:tcPr>
            <w:tcW w:type="dxa" w:w="1872"/>
            <w:shd w:fill="E2E8F0"/>
          </w:tcPr>
          <w:p>
            <w:pPr>
              <w:jc w:val="center"/>
            </w:pPr>
            <w:r>
              <w:rPr>
                <w:b/>
                <w:sz w:val="19"/>
              </w:rPr>
              <w:t>Inference</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2</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Dwivedi, A. D.,</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Smart Contract-based Counterfeit Drug Detection</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Ethereum L1</w:t>
              <w:br/>
              <w:t>(Solidity)</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Proposed an Ethereum mainnet ERC-20 token tracking model to monitor prescription drug batches from production to patient.</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Guarantees public auditability and immutability across global network nodes.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Severe gas volatility and high Layer-1 transaction costs ($15-$40/tx) render mainnet deployment commercially non-viable.</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3</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Sillaber, C.,</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Data Integrity and Transparency in Life Sciences</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Consortium</w:t>
              <w:br/>
              <w:t>Blockchain</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Investigates electronic batch record auditing and FDA compliance across cross-border clinical trials.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Demonstrated zero data tampering during multi-site clinical trial handoffs.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Focuses strictly on pre-clinical data management; does not address unit-level packaging or physical QR authentication.</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4</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Abbas, K.,</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Blockchain-assisted Safety in Drug Distribution</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Hyperledger</w:t>
              <w:br/>
              <w:t>Sawtooth</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Evaluates Proof-of-Elapsed-Time (PoET) consensus for pharmaceutical cold-chain sensor data logging.</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Reduced energy consumption compared to Proof-of-Work while capturing temperature excursions.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Hardware constraints on IoT sensor nodes induce network latency spikes during batch verification.</w:t>
            </w:r>
          </w:p>
        </w:tc>
      </w:tr>
    </w:tbl>
    <w:p>
      <w:r>
        <w:br w:type="page"/>
      </w:r>
    </w:p>
    <w:p>
      <w:pPr>
        <w:spacing w:before="240" w:after="120" w:line="276" w:lineRule="auto"/>
        <w:jc w:val="left"/>
      </w:pPr>
      <w:r>
        <w:rPr>
          <w:rFonts w:ascii="Times New Roman" w:hAnsi="Times New Roman"/>
          <w:b/>
          <w:color w:val="333333"/>
          <w:sz w:val="24"/>
        </w:rPr>
        <w:t>Table 1. Literature Review on Pharmaceutical Supply Chain &amp; Blockchain (Continued)</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576"/>
            <w:shd w:fill="E2E8F0"/>
          </w:tcPr>
          <w:p>
            <w:pPr>
              <w:jc w:val="center"/>
            </w:pPr>
            <w:r>
              <w:rPr>
                <w:b/>
                <w:sz w:val="19"/>
              </w:rPr>
              <w:t>Sr. No</w:t>
            </w:r>
          </w:p>
        </w:tc>
        <w:tc>
          <w:tcPr>
            <w:tcW w:type="dxa" w:w="1584"/>
            <w:shd w:fill="E2E8F0"/>
          </w:tcPr>
          <w:p>
            <w:pPr>
              <w:jc w:val="center"/>
            </w:pPr>
            <w:r>
              <w:rPr>
                <w:b/>
                <w:sz w:val="19"/>
              </w:rPr>
              <w:t>Author</w:t>
            </w:r>
          </w:p>
        </w:tc>
        <w:tc>
          <w:tcPr>
            <w:tcW w:type="dxa" w:w="1872"/>
            <w:shd w:fill="E2E8F0"/>
          </w:tcPr>
          <w:p>
            <w:pPr>
              <w:jc w:val="center"/>
            </w:pPr>
            <w:r>
              <w:rPr>
                <w:b/>
                <w:sz w:val="19"/>
              </w:rPr>
              <w:t>Paper</w:t>
            </w:r>
          </w:p>
        </w:tc>
        <w:tc>
          <w:tcPr>
            <w:tcW w:type="dxa" w:w="1296"/>
            <w:shd w:fill="E2E8F0"/>
          </w:tcPr>
          <w:p>
            <w:pPr>
              <w:jc w:val="center"/>
            </w:pPr>
            <w:r>
              <w:rPr>
                <w:b/>
                <w:sz w:val="19"/>
              </w:rPr>
              <w:t>Model / Tech</w:t>
            </w:r>
          </w:p>
        </w:tc>
        <w:tc>
          <w:tcPr>
            <w:tcW w:type="dxa" w:w="2160"/>
            <w:shd w:fill="E2E8F0"/>
          </w:tcPr>
          <w:p>
            <w:pPr>
              <w:jc w:val="center"/>
            </w:pPr>
            <w:r>
              <w:rPr>
                <w:b/>
                <w:sz w:val="19"/>
              </w:rPr>
              <w:t>Description</w:t>
            </w:r>
          </w:p>
        </w:tc>
        <w:tc>
          <w:tcPr>
            <w:tcW w:type="dxa" w:w="1872"/>
            <w:shd w:fill="E2E8F0"/>
          </w:tcPr>
          <w:p>
            <w:pPr>
              <w:jc w:val="center"/>
            </w:pPr>
            <w:r>
              <w:rPr>
                <w:b/>
                <w:sz w:val="19"/>
              </w:rPr>
              <w:t>Result</w:t>
            </w:r>
          </w:p>
        </w:tc>
        <w:tc>
          <w:tcPr>
            <w:tcW w:type="dxa" w:w="1872"/>
            <w:shd w:fill="E2E8F0"/>
          </w:tcPr>
          <w:p>
            <w:pPr>
              <w:jc w:val="center"/>
            </w:pPr>
            <w:r>
              <w:rPr>
                <w:b/>
                <w:sz w:val="19"/>
              </w:rPr>
              <w:t>Inference</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5</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Musamih, A.,</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Ethereum-based Tracking and Tracing of Pharmaceuticals</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Ethereum</w:t>
              <w:br/>
              <w:t>Smart Contracts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Designed an ERC-721 non-fungible token framework mapping unique medical lots to individual smart contract tokens.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Successfully validated decentralized ownership transfer between certified pharmaceutical addresses.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Lack of hierarchical batch associations meant bulk consignments required thousands of individual gas-heavy transactions.</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6</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Jamil, F.,</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 Novel Medical Supply Chain Management System</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Hyperledger</w:t>
              <w:br/>
              <w:t>+ IoT Sensors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Integrated RFID tags with Hyperledger Fabric chaincode for monitoring oncology medication across hospital wards.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Achieved millisecond-level verification at dispensary gates with sub-ledger privacy channels.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High capital cost of specialized RFID hardware prevents broad consumer-level deployment in developing economies.</w:t>
            </w:r>
          </w:p>
        </w:tc>
      </w:tr>
    </w:tbl>
    <w:p>
      <w:r>
        <w:br w:type="page"/>
      </w:r>
    </w:p>
    <w:p>
      <w:pPr>
        <w:spacing w:before="240" w:after="120" w:line="276" w:lineRule="auto"/>
        <w:jc w:val="left"/>
      </w:pPr>
      <w:r>
        <w:rPr>
          <w:rFonts w:ascii="Times New Roman" w:hAnsi="Times New Roman"/>
          <w:b/>
          <w:color w:val="333333"/>
          <w:sz w:val="24"/>
        </w:rPr>
        <w:t>Table 1. Literature Review on Pharmaceutical Supply Chain &amp; Blockchain (Continued)</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576"/>
            <w:shd w:fill="E2E8F0"/>
          </w:tcPr>
          <w:p>
            <w:pPr>
              <w:jc w:val="center"/>
            </w:pPr>
            <w:r>
              <w:rPr>
                <w:b/>
                <w:sz w:val="19"/>
              </w:rPr>
              <w:t>Sr. No</w:t>
            </w:r>
          </w:p>
        </w:tc>
        <w:tc>
          <w:tcPr>
            <w:tcW w:type="dxa" w:w="1584"/>
            <w:shd w:fill="E2E8F0"/>
          </w:tcPr>
          <w:p>
            <w:pPr>
              <w:jc w:val="center"/>
            </w:pPr>
            <w:r>
              <w:rPr>
                <w:b/>
                <w:sz w:val="19"/>
              </w:rPr>
              <w:t>Author</w:t>
            </w:r>
          </w:p>
        </w:tc>
        <w:tc>
          <w:tcPr>
            <w:tcW w:type="dxa" w:w="1872"/>
            <w:shd w:fill="E2E8F0"/>
          </w:tcPr>
          <w:p>
            <w:pPr>
              <w:jc w:val="center"/>
            </w:pPr>
            <w:r>
              <w:rPr>
                <w:b/>
                <w:sz w:val="19"/>
              </w:rPr>
              <w:t>Paper</w:t>
            </w:r>
          </w:p>
        </w:tc>
        <w:tc>
          <w:tcPr>
            <w:tcW w:type="dxa" w:w="1296"/>
            <w:shd w:fill="E2E8F0"/>
          </w:tcPr>
          <w:p>
            <w:pPr>
              <w:jc w:val="center"/>
            </w:pPr>
            <w:r>
              <w:rPr>
                <w:b/>
                <w:sz w:val="19"/>
              </w:rPr>
              <w:t>Model / Tech</w:t>
            </w:r>
          </w:p>
        </w:tc>
        <w:tc>
          <w:tcPr>
            <w:tcW w:type="dxa" w:w="2160"/>
            <w:shd w:fill="E2E8F0"/>
          </w:tcPr>
          <w:p>
            <w:pPr>
              <w:jc w:val="center"/>
            </w:pPr>
            <w:r>
              <w:rPr>
                <w:b/>
                <w:sz w:val="19"/>
              </w:rPr>
              <w:t>Description</w:t>
            </w:r>
          </w:p>
        </w:tc>
        <w:tc>
          <w:tcPr>
            <w:tcW w:type="dxa" w:w="1872"/>
            <w:shd w:fill="E2E8F0"/>
          </w:tcPr>
          <w:p>
            <w:pPr>
              <w:jc w:val="center"/>
            </w:pPr>
            <w:r>
              <w:rPr>
                <w:b/>
                <w:sz w:val="19"/>
              </w:rPr>
              <w:t>Result</w:t>
            </w:r>
          </w:p>
        </w:tc>
        <w:tc>
          <w:tcPr>
            <w:tcW w:type="dxa" w:w="1872"/>
            <w:shd w:fill="E2E8F0"/>
          </w:tcPr>
          <w:p>
            <w:pPr>
              <w:jc w:val="center"/>
            </w:pPr>
            <w:r>
              <w:rPr>
                <w:b/>
                <w:sz w:val="19"/>
              </w:rPr>
              <w:t>Inference</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7</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Haq, I. &amp;</w:t>
              <w:br/>
              <w:t>Esuka, O.</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Blockchain Technology in Pharmaceutical Traceability</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Comparative</w:t>
              <w:br/>
              <w:t>Review</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Conducted systematic evaluation comparing public PoW ledgers, private PoA chains, and directed acyclic graphs (DAGs).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Highlighted throughput bottlenecks in public ledgers and trust concentration in private ledgers.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Concluded that Layer-2 Proof-of-Stake rollups offer the ideal convergence of public trust and high throughput.</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8</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Ahmadi, V.,</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Drug Serialization and Anti-Counterfeiting Framework</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QR Code +</w:t>
              <w:br/>
              <w:t>SHA-256</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Proposed dynamic QR code hashing linked to centralized regulatory cloud repositories for verifying expiry and authenticity.</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Demonstrated fast mobile camera decoding of 2D data matrix codes.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Centralized server vulnerability allowed rogue administrators to clone valid hash tokens into duplicate physical packaging.</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9</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Clauson, K. A.,</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Leveraging Blockchain in the Fight Against Fake Drugs</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Industry</w:t>
              <w:br/>
              <w:t>Survey</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Surveyed FDA Drug Supply Chain Security Act (DSCSA) compliance milestones across major US distributors.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Identified that 82% of stakeholders face interoperability barriers between legacy SAP and Oracle ERPs.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Open Web3 JSON-RPC standards and decentralized tokens resolve multi-vendor ERP interoperability friction.</w:t>
            </w:r>
          </w:p>
        </w:tc>
      </w:tr>
    </w:tbl>
    <w:p>
      <w:r>
        <w:br w:type="page"/>
      </w:r>
    </w:p>
    <w:p>
      <w:pPr>
        <w:spacing w:before="240" w:after="120" w:line="276" w:lineRule="auto"/>
        <w:jc w:val="left"/>
      </w:pPr>
      <w:r>
        <w:rPr>
          <w:rFonts w:ascii="Times New Roman" w:hAnsi="Times New Roman"/>
          <w:b/>
          <w:color w:val="333333"/>
          <w:sz w:val="24"/>
        </w:rPr>
        <w:t>Table 1. Literature Review on Pharmaceutical Supply Chain &amp; Blockchain (Continued)</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576"/>
            <w:shd w:fill="E2E8F0"/>
          </w:tcPr>
          <w:p>
            <w:pPr>
              <w:jc w:val="center"/>
            </w:pPr>
            <w:r>
              <w:rPr>
                <w:b/>
                <w:sz w:val="19"/>
              </w:rPr>
              <w:t>Sr. No</w:t>
            </w:r>
          </w:p>
        </w:tc>
        <w:tc>
          <w:tcPr>
            <w:tcW w:type="dxa" w:w="1584"/>
            <w:shd w:fill="E2E8F0"/>
          </w:tcPr>
          <w:p>
            <w:pPr>
              <w:jc w:val="center"/>
            </w:pPr>
            <w:r>
              <w:rPr>
                <w:b/>
                <w:sz w:val="19"/>
              </w:rPr>
              <w:t>Author</w:t>
            </w:r>
          </w:p>
        </w:tc>
        <w:tc>
          <w:tcPr>
            <w:tcW w:type="dxa" w:w="1872"/>
            <w:shd w:fill="E2E8F0"/>
          </w:tcPr>
          <w:p>
            <w:pPr>
              <w:jc w:val="center"/>
            </w:pPr>
            <w:r>
              <w:rPr>
                <w:b/>
                <w:sz w:val="19"/>
              </w:rPr>
              <w:t>Paper</w:t>
            </w:r>
          </w:p>
        </w:tc>
        <w:tc>
          <w:tcPr>
            <w:tcW w:type="dxa" w:w="1296"/>
            <w:shd w:fill="E2E8F0"/>
          </w:tcPr>
          <w:p>
            <w:pPr>
              <w:jc w:val="center"/>
            </w:pPr>
            <w:r>
              <w:rPr>
                <w:b/>
                <w:sz w:val="19"/>
              </w:rPr>
              <w:t>Model / Tech</w:t>
            </w:r>
          </w:p>
        </w:tc>
        <w:tc>
          <w:tcPr>
            <w:tcW w:type="dxa" w:w="2160"/>
            <w:shd w:fill="E2E8F0"/>
          </w:tcPr>
          <w:p>
            <w:pPr>
              <w:jc w:val="center"/>
            </w:pPr>
            <w:r>
              <w:rPr>
                <w:b/>
                <w:sz w:val="19"/>
              </w:rPr>
              <w:t>Description</w:t>
            </w:r>
          </w:p>
        </w:tc>
        <w:tc>
          <w:tcPr>
            <w:tcW w:type="dxa" w:w="1872"/>
            <w:shd w:fill="E2E8F0"/>
          </w:tcPr>
          <w:p>
            <w:pPr>
              <w:jc w:val="center"/>
            </w:pPr>
            <w:r>
              <w:rPr>
                <w:b/>
                <w:sz w:val="19"/>
              </w:rPr>
              <w:t>Result</w:t>
            </w:r>
          </w:p>
        </w:tc>
        <w:tc>
          <w:tcPr>
            <w:tcW w:type="dxa" w:w="1872"/>
            <w:shd w:fill="E2E8F0"/>
          </w:tcPr>
          <w:p>
            <w:pPr>
              <w:jc w:val="center"/>
            </w:pPr>
            <w:r>
              <w:rPr>
                <w:b/>
                <w:sz w:val="19"/>
              </w:rPr>
              <w:t>Inference</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10</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Uddin, M.,</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Decentralized Med-Ledger on Proof-of-Authority</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Private PoA</w:t>
              <w:br/>
              <w:t>Ethereum</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Implemented private Ethereum testnet with validated validator nodes assigned to certified state drug inspectors.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Eliminated volatile transaction gas costs while achieving block times under 3 seconds.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Private validator consortia reintroduce trust centralization; patients cannot verify node integrity independently.</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11</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Chiacchio, F.,</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Decentralized Architecture for Drug Traceability</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IPFS +</w:t>
              <w:br/>
              <w:t>Ethereum</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Combined off-chain IPFS document storage for Certificate of Analysis (CoA) PDFs with on-chain Ethereum state hashes.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Reduced on-chain gas costs by 76% by offloading high-dimensional documents to decentralized content-addressed storage.</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Smart contract lacked role-based custody enforcement, permitting arbitrary addresses to trigger ownership handoffs.</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12</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Tseng, J. H.,</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Governance and Legal Compliance in Smart Pharma</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Solidity</w:t>
              <w:br/>
              <w:t>State Machine</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Modeled Good Manufacturing Practice (GMP) compliance rules as Solidity function modifiers.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Automated regulatory batch hold when clinical inspection flags were triggered on-chain.</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Absence of parent-child token batching resulted in quadratic storage bloat when handling fractional blister consignments.</w:t>
            </w:r>
          </w:p>
        </w:tc>
      </w:tr>
    </w:tbl>
    <w:p>
      <w:r>
        <w:br w:type="page"/>
      </w:r>
    </w:p>
    <w:p>
      <w:pPr>
        <w:spacing w:before="240" w:after="120" w:line="276" w:lineRule="auto"/>
        <w:jc w:val="left"/>
      </w:pPr>
      <w:r>
        <w:rPr>
          <w:rFonts w:ascii="Times New Roman" w:hAnsi="Times New Roman"/>
          <w:b/>
          <w:color w:val="333333"/>
          <w:sz w:val="24"/>
        </w:rPr>
        <w:t>Table 1. Literature Review on Pharmaceutical Supply Chain &amp; Blockchain (Continued)</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576"/>
            <w:shd w:fill="E2E8F0"/>
          </w:tcPr>
          <w:p>
            <w:pPr>
              <w:jc w:val="center"/>
            </w:pPr>
            <w:r>
              <w:rPr>
                <w:b/>
                <w:sz w:val="19"/>
              </w:rPr>
              <w:t>Sr. No</w:t>
            </w:r>
          </w:p>
        </w:tc>
        <w:tc>
          <w:tcPr>
            <w:tcW w:type="dxa" w:w="1584"/>
            <w:shd w:fill="E2E8F0"/>
          </w:tcPr>
          <w:p>
            <w:pPr>
              <w:jc w:val="center"/>
            </w:pPr>
            <w:r>
              <w:rPr>
                <w:b/>
                <w:sz w:val="19"/>
              </w:rPr>
              <w:t>Author</w:t>
            </w:r>
          </w:p>
        </w:tc>
        <w:tc>
          <w:tcPr>
            <w:tcW w:type="dxa" w:w="1872"/>
            <w:shd w:fill="E2E8F0"/>
          </w:tcPr>
          <w:p>
            <w:pPr>
              <w:jc w:val="center"/>
            </w:pPr>
            <w:r>
              <w:rPr>
                <w:b/>
                <w:sz w:val="19"/>
              </w:rPr>
              <w:t>Paper</w:t>
            </w:r>
          </w:p>
        </w:tc>
        <w:tc>
          <w:tcPr>
            <w:tcW w:type="dxa" w:w="1296"/>
            <w:shd w:fill="E2E8F0"/>
          </w:tcPr>
          <w:p>
            <w:pPr>
              <w:jc w:val="center"/>
            </w:pPr>
            <w:r>
              <w:rPr>
                <w:b/>
                <w:sz w:val="19"/>
              </w:rPr>
              <w:t>Model / Tech</w:t>
            </w:r>
          </w:p>
        </w:tc>
        <w:tc>
          <w:tcPr>
            <w:tcW w:type="dxa" w:w="2160"/>
            <w:shd w:fill="E2E8F0"/>
          </w:tcPr>
          <w:p>
            <w:pPr>
              <w:jc w:val="center"/>
            </w:pPr>
            <w:r>
              <w:rPr>
                <w:b/>
                <w:sz w:val="19"/>
              </w:rPr>
              <w:t>Description</w:t>
            </w:r>
          </w:p>
        </w:tc>
        <w:tc>
          <w:tcPr>
            <w:tcW w:type="dxa" w:w="1872"/>
            <w:shd w:fill="E2E8F0"/>
          </w:tcPr>
          <w:p>
            <w:pPr>
              <w:jc w:val="center"/>
            </w:pPr>
            <w:r>
              <w:rPr>
                <w:b/>
                <w:sz w:val="19"/>
              </w:rPr>
              <w:t>Result</w:t>
            </w:r>
          </w:p>
        </w:tc>
        <w:tc>
          <w:tcPr>
            <w:tcW w:type="dxa" w:w="1872"/>
            <w:shd w:fill="E2E8F0"/>
          </w:tcPr>
          <w:p>
            <w:pPr>
              <w:jc w:val="center"/>
            </w:pPr>
            <w:r>
              <w:rPr>
                <w:b/>
                <w:sz w:val="19"/>
              </w:rPr>
              <w:t>Inference</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13</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Sahoo, M.,</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Polygon Layer-2 Rollups for High-Throughput Web3</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Polygon PoS</w:t>
              <w:br/>
              <w:t>Architecture</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Benchmarked transaction throughput, gas consumption, and validator finality on Polygon PoS against Ethereum Layer-1.</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Confirmed 65,000 TPS theoretical ceiling with transaction costs below $0.001 per operation.</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Demonstrates optimal network suitability for enterprise tracking involving millions of daily drug transactions.</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14</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Badr, S.,</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Multi-Tiered Supply Chain Authentication</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ECDSA Key</w:t>
              <w:br/>
              <w:t>Cryptography</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Implemented asymmetric ECDSA digital signatures for signing handoff invoices at each custody transfer point.</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Prevented non-repudiation between freight carriers and regional warehouse depots.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System relied on off-chain signature storage without an immutable public anchor, leaving history vulnerable to deletion.</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15</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Wong, L. M.,</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Zero-Knowledge Proofs in Clinical Provenance</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zk-SNARKs</w:t>
              <w:br/>
              <w:t>on EVM</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Explored zk-SNARK circuits to prove authentic manufacturing without disclosing proprietary chemical formula percentages.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Protected intellectual property while maintaining cryptographic proof of compliance.</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Proof generation times of 12-18 seconds per batch proved computationally prohibitive for edge mobile devices.</w:t>
            </w:r>
          </w:p>
        </w:tc>
      </w:tr>
    </w:tbl>
    <w:p>
      <w:r>
        <w:br w:type="page"/>
      </w:r>
    </w:p>
    <w:p>
      <w:pPr>
        <w:spacing w:before="240" w:after="120" w:line="276" w:lineRule="auto"/>
        <w:jc w:val="left"/>
      </w:pPr>
      <w:r>
        <w:rPr>
          <w:rFonts w:ascii="Times New Roman" w:hAnsi="Times New Roman"/>
          <w:b/>
          <w:color w:val="333333"/>
          <w:sz w:val="24"/>
        </w:rPr>
        <w:t>Table 1. Literature Review on Pharmaceutical Supply Chain &amp; Blockchain (Continued)</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576"/>
            <w:shd w:fill="E2E8F0"/>
          </w:tcPr>
          <w:p>
            <w:pPr>
              <w:jc w:val="center"/>
            </w:pPr>
            <w:r>
              <w:rPr>
                <w:b/>
                <w:sz w:val="19"/>
              </w:rPr>
              <w:t>Sr. No</w:t>
            </w:r>
          </w:p>
        </w:tc>
        <w:tc>
          <w:tcPr>
            <w:tcW w:type="dxa" w:w="1584"/>
            <w:shd w:fill="E2E8F0"/>
          </w:tcPr>
          <w:p>
            <w:pPr>
              <w:jc w:val="center"/>
            </w:pPr>
            <w:r>
              <w:rPr>
                <w:b/>
                <w:sz w:val="19"/>
              </w:rPr>
              <w:t>Author</w:t>
            </w:r>
          </w:p>
        </w:tc>
        <w:tc>
          <w:tcPr>
            <w:tcW w:type="dxa" w:w="1872"/>
            <w:shd w:fill="E2E8F0"/>
          </w:tcPr>
          <w:p>
            <w:pPr>
              <w:jc w:val="center"/>
            </w:pPr>
            <w:r>
              <w:rPr>
                <w:b/>
                <w:sz w:val="19"/>
              </w:rPr>
              <w:t>Paper</w:t>
            </w:r>
          </w:p>
        </w:tc>
        <w:tc>
          <w:tcPr>
            <w:tcW w:type="dxa" w:w="1296"/>
            <w:shd w:fill="E2E8F0"/>
          </w:tcPr>
          <w:p>
            <w:pPr>
              <w:jc w:val="center"/>
            </w:pPr>
            <w:r>
              <w:rPr>
                <w:b/>
                <w:sz w:val="19"/>
              </w:rPr>
              <w:t>Model / Tech</w:t>
            </w:r>
          </w:p>
        </w:tc>
        <w:tc>
          <w:tcPr>
            <w:tcW w:type="dxa" w:w="2160"/>
            <w:shd w:fill="E2E8F0"/>
          </w:tcPr>
          <w:p>
            <w:pPr>
              <w:jc w:val="center"/>
            </w:pPr>
            <w:r>
              <w:rPr>
                <w:b/>
                <w:sz w:val="19"/>
              </w:rPr>
              <w:t>Description</w:t>
            </w:r>
          </w:p>
        </w:tc>
        <w:tc>
          <w:tcPr>
            <w:tcW w:type="dxa" w:w="1872"/>
            <w:shd w:fill="E2E8F0"/>
          </w:tcPr>
          <w:p>
            <w:pPr>
              <w:jc w:val="center"/>
            </w:pPr>
            <w:r>
              <w:rPr>
                <w:b/>
                <w:sz w:val="19"/>
              </w:rPr>
              <w:t>Result</w:t>
            </w:r>
          </w:p>
        </w:tc>
        <w:tc>
          <w:tcPr>
            <w:tcW w:type="dxa" w:w="1872"/>
            <w:shd w:fill="E2E8F0"/>
          </w:tcPr>
          <w:p>
            <w:pPr>
              <w:jc w:val="center"/>
            </w:pPr>
            <w:r>
              <w:rPr>
                <w:b/>
                <w:sz w:val="19"/>
              </w:rPr>
              <w:t>Inference</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16</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George, R. &amp;</w:t>
              <w:br/>
              <w:t>Verma, 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Hybrid On-Chain and Off-Chain Storage Paradigms</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MongoDB +</w:t>
              <w:br/>
              <w:t>EVM Events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Evaluated hybrid architectures where smart contract event logs feed off-chain NoSQL databases for real-time frontend search.</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Achieved sub-50ms UI response times while preserving on-chain immutability as the single source of truth.</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Server crashes in off-chain microservices caused synchronization lag unless resilient event listeners were engineered.</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17</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Patel, N. &amp;</w:t>
              <w:br/>
              <w:t>Mehta, K.</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Anti-Counterfeiting Verification via Mobile Interfaces</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React Native</w:t>
              <w:br/>
              <w:t>Web3 Portal</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Developed cross-platform mobile application enabling consumers to scan pharmaceutical packaging barcodes.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Improved consumer reporting of suspicious packages by 42% in pilot municipal pharmacies.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Application required users to maintain an active Web3 wallet balance to submit verification transactions.</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18</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Silva, C. A.,</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Smart Asset Tracking in Healthcare Logistics</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ERC-1155</w:t>
              <w:br/>
              <w:t>Multi-Token</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Explored ERC-1155 multi-token standard for handling fungible raw ingredients and non-fungible finished drug packs.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Reduced contract deployment bytecode and consolidated batch balance queries.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ERC-1155 lacks native individual token URI storage required for linking distinct laboratory certificates per sub-batch.</w:t>
            </w:r>
          </w:p>
        </w:tc>
      </w:tr>
    </w:tbl>
    <w:p>
      <w:r>
        <w:br w:type="page"/>
      </w:r>
    </w:p>
    <w:p>
      <w:pPr>
        <w:spacing w:before="240" w:after="120" w:line="276" w:lineRule="auto"/>
        <w:jc w:val="left"/>
      </w:pPr>
      <w:r>
        <w:rPr>
          <w:rFonts w:ascii="Times New Roman" w:hAnsi="Times New Roman"/>
          <w:b/>
          <w:color w:val="333333"/>
          <w:sz w:val="24"/>
        </w:rPr>
        <w:t>Table 1. Literature Review on Pharmaceutical Supply Chain &amp; Blockchain (Continued)</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576"/>
            <w:shd w:fill="E2E8F0"/>
          </w:tcPr>
          <w:p>
            <w:pPr>
              <w:jc w:val="center"/>
            </w:pPr>
            <w:r>
              <w:rPr>
                <w:b/>
                <w:sz w:val="19"/>
              </w:rPr>
              <w:t>Sr. No</w:t>
            </w:r>
          </w:p>
        </w:tc>
        <w:tc>
          <w:tcPr>
            <w:tcW w:type="dxa" w:w="1584"/>
            <w:shd w:fill="E2E8F0"/>
          </w:tcPr>
          <w:p>
            <w:pPr>
              <w:jc w:val="center"/>
            </w:pPr>
            <w:r>
              <w:rPr>
                <w:b/>
                <w:sz w:val="19"/>
              </w:rPr>
              <w:t>Author</w:t>
            </w:r>
          </w:p>
        </w:tc>
        <w:tc>
          <w:tcPr>
            <w:tcW w:type="dxa" w:w="1872"/>
            <w:shd w:fill="E2E8F0"/>
          </w:tcPr>
          <w:p>
            <w:pPr>
              <w:jc w:val="center"/>
            </w:pPr>
            <w:r>
              <w:rPr>
                <w:b/>
                <w:sz w:val="19"/>
              </w:rPr>
              <w:t>Paper</w:t>
            </w:r>
          </w:p>
        </w:tc>
        <w:tc>
          <w:tcPr>
            <w:tcW w:type="dxa" w:w="1296"/>
            <w:shd w:fill="E2E8F0"/>
          </w:tcPr>
          <w:p>
            <w:pPr>
              <w:jc w:val="center"/>
            </w:pPr>
            <w:r>
              <w:rPr>
                <w:b/>
                <w:sz w:val="19"/>
              </w:rPr>
              <w:t>Model / Tech</w:t>
            </w:r>
          </w:p>
        </w:tc>
        <w:tc>
          <w:tcPr>
            <w:tcW w:type="dxa" w:w="2160"/>
            <w:shd w:fill="E2E8F0"/>
          </w:tcPr>
          <w:p>
            <w:pPr>
              <w:jc w:val="center"/>
            </w:pPr>
            <w:r>
              <w:rPr>
                <w:b/>
                <w:sz w:val="19"/>
              </w:rPr>
              <w:t>Description</w:t>
            </w:r>
          </w:p>
        </w:tc>
        <w:tc>
          <w:tcPr>
            <w:tcW w:type="dxa" w:w="1872"/>
            <w:shd w:fill="E2E8F0"/>
          </w:tcPr>
          <w:p>
            <w:pPr>
              <w:jc w:val="center"/>
            </w:pPr>
            <w:r>
              <w:rPr>
                <w:b/>
                <w:sz w:val="19"/>
              </w:rPr>
              <w:t>Result</w:t>
            </w:r>
          </w:p>
        </w:tc>
        <w:tc>
          <w:tcPr>
            <w:tcW w:type="dxa" w:w="1872"/>
            <w:shd w:fill="E2E8F0"/>
          </w:tcPr>
          <w:p>
            <w:pPr>
              <w:jc w:val="center"/>
            </w:pPr>
            <w:r>
              <w:rPr>
                <w:b/>
                <w:sz w:val="19"/>
              </w:rPr>
              <w:t>Inference</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19</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Nakamoto, K.,</w:t>
              <w:br/>
              <w:t>et 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Parent-Child Asset Association in Decentralized Supply Chains</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Hierarchical</w:t>
              <w:br/>
              <w:t>NFTs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Proposed token hierarchy for shipping containers and individual retail cartons in consumer electronics.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Demonstrated atomic state transfer where transferring a parent token automatically updates child ownership status.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Architecture had not been adapted to pharmaceutical Good Distribution Practice (GDP) workflows or drug recall freezes.</w:t>
            </w:r>
          </w:p>
        </w:tc>
      </w:tr>
      <w:tr>
        <w:tc>
          <w:tcPr>
            <w:tcW w:type="dxa" w:w="57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20</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Endres, B. &amp;</w:t>
              <w:br/>
              <w:t>Meyer, H.</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Zero-Gas Read-Only Verification Architectures</w:t>
            </w:r>
          </w:p>
        </w:tc>
        <w:tc>
          <w:tcPr>
            <w:tcW w:type="dxa" w:w="1296"/>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JSON-RPC</w:t>
              <w:br/>
              <w:t>eth_call</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Analyzed the cryptographic validity and latency of executing read-only smart contract calls without gas signatures.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Confirmed that eth_call allows trustless client-side state inspection without wallet authorization or gas expenditure.</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Proved ideal for public consumer verification where end-users cannot be expected to hold cryptocurrency tokens.</w:t>
            </w:r>
          </w:p>
        </w:tc>
      </w:tr>
    </w:tbl>
    <w:p>
      <w:pPr>
        <w:spacing w:before="320" w:after="120" w:line="276" w:lineRule="auto"/>
        <w:jc w:val="left"/>
      </w:pPr>
      <w:r>
        <w:rPr>
          <w:rFonts w:ascii="Times New Roman" w:hAnsi="Times New Roman"/>
          <w:b/>
          <w:color w:val="1E3A5F"/>
          <w:sz w:val="28"/>
        </w:rPr>
        <w:t>2.1 Research Gap</w:t>
      </w:r>
    </w:p>
    <w:p>
      <w:pPr>
        <w:spacing w:before="0" w:after="120" w:line="276" w:lineRule="auto"/>
        <w:jc w:val="both"/>
      </w:pPr>
      <w:r>
        <w:rPr>
          <w:rFonts w:ascii="Times New Roman" w:hAnsi="Times New Roman"/>
          <w:b w:val="0"/>
          <w:i w:val="0"/>
          <w:sz w:val="24"/>
        </w:rPr>
        <w:t>A rigorous synthesis of the existing literature reveals several critical research gaps that impede the widespread adoption of blockchain technology across real-world pharmaceutical logistics:</w:t>
      </w:r>
    </w:p>
    <w:p>
      <w:pPr>
        <w:spacing w:before="0" w:after="120" w:line="276" w:lineRule="auto"/>
        <w:jc w:val="both"/>
      </w:pPr>
      <w:r>
        <w:rPr>
          <w:rFonts w:ascii="Times New Roman" w:hAnsi="Times New Roman"/>
          <w:b w:val="0"/>
          <w:i w:val="0"/>
          <w:sz w:val="24"/>
        </w:rPr>
        <w:t>1. High Transaction Cost &amp; Scalability Bottlenecks: Prior implementations deployed on Ethereum Layer-1 (Dwivedi et al. [2], Musamih et al. [5]) suffer from exorbitant and volatile gas costs ($10 to $40 per transaction) and limited throughput (15 TPS), making unit-level serial tracking economically impossible for high-volume commercial drugs.</w:t>
      </w:r>
    </w:p>
    <w:p>
      <w:pPr>
        <w:spacing w:before="0" w:after="120" w:line="276" w:lineRule="auto"/>
        <w:jc w:val="both"/>
      </w:pPr>
      <w:r>
        <w:rPr>
          <w:rFonts w:ascii="Times New Roman" w:hAnsi="Times New Roman"/>
          <w:b w:val="0"/>
          <w:i w:val="0"/>
          <w:sz w:val="24"/>
        </w:rPr>
        <w:t>2. Trust Centralization in Private Consortia: Conversely, implementations built on private Hyperledger Fabric networks (Kumar &amp; Tripathi [1], Jamil et al. [6]) restrict node validation to authorized enterprise entities. This closed governance model completely excludes patients and community pharmacies from independently auditing provenance, defeating the decentralization premise.</w:t>
      </w:r>
    </w:p>
    <w:p>
      <w:pPr>
        <w:spacing w:before="0" w:after="120" w:line="276" w:lineRule="auto"/>
        <w:jc w:val="both"/>
      </w:pPr>
      <w:r>
        <w:rPr>
          <w:rFonts w:ascii="Times New Roman" w:hAnsi="Times New Roman"/>
          <w:b w:val="0"/>
          <w:i w:val="0"/>
          <w:sz w:val="24"/>
        </w:rPr>
        <w:t>3. Absence of Hierarchical Batch Association: Standard ERC-721 token models treat every lot as an isolated asset. In real pharmaceutical distribution, a master carton contains thousands of blister packs. Existing models lack atomic parent-child hierarchy mechanisms, forcing logistics operators to submit thousands of separate transactions to transfer a single shipping container.</w:t>
      </w:r>
    </w:p>
    <w:p>
      <w:pPr>
        <w:spacing w:before="0" w:after="120" w:line="276" w:lineRule="auto"/>
        <w:jc w:val="both"/>
      </w:pPr>
      <w:r>
        <w:rPr>
          <w:rFonts w:ascii="Times New Roman" w:hAnsi="Times New Roman"/>
          <w:b w:val="0"/>
          <w:i w:val="0"/>
          <w:sz w:val="24"/>
        </w:rPr>
        <w:t>4. Financial Barriers to Consumer Verification: Most Web3 DApps require the verifying party to possess a Web3 wallet (MetaMask) and maintain native cryptocurrency to sign transactions. Expecting ordinary consumers at a retail pharmacy counter to buy cryptocurrency and pay gas fees to verify a medicine pack creates an insurmountable usability barrier.</w:t>
      </w:r>
    </w:p>
    <w:p>
      <w:pPr>
        <w:spacing w:before="0" w:after="120" w:line="276" w:lineRule="auto"/>
        <w:jc w:val="both"/>
      </w:pPr>
      <w:r>
        <w:rPr>
          <w:rFonts w:ascii="Times New Roman" w:hAnsi="Times New Roman"/>
          <w:b w:val="0"/>
          <w:i w:val="0"/>
          <w:sz w:val="24"/>
        </w:rPr>
        <w:t>PharmaTrust directly bridges these research gaps by deploying on Polygon Amoy (sub-cent gas fees, 2-second block finality), implementing an ERC-721 parent-child hierarchy with bulk transfer support, and providing zero-gas read-only QR verification that requires no crypto wallet for consumers.</w:t>
      </w:r>
    </w:p>
    <w:p>
      <w:r>
        <w:br w:type="page"/>
      </w:r>
    </w:p>
    <w:p>
      <w:pPr>
        <w:spacing w:before="240" w:after="120" w:line="276" w:lineRule="auto"/>
        <w:jc w:val="left"/>
      </w:pPr>
      <w:r>
        <w:rPr>
          <w:rFonts w:ascii="Times New Roman" w:hAnsi="Times New Roman"/>
          <w:b/>
          <w:color w:val="333333"/>
          <w:sz w:val="24"/>
        </w:rPr>
        <w:t>Table 2. Comparative Survey of Decentralized Supply Chain Frameworks</w:t>
      </w:r>
    </w:p>
    <w:tbl>
      <w:tblPr>
        <w:tblW w:type="auto" w:w="0"/>
        <w:jc w:val="center"/>
        <w:tblLook w:firstColumn="1" w:firstRow="1" w:lastColumn="0" w:lastRow="0" w:noHBand="0" w:noVBand="1" w:val="04A0"/>
      </w:tblPr>
      <w:tblGrid>
        <w:gridCol w:w="2167"/>
        <w:gridCol w:w="2167"/>
        <w:gridCol w:w="2167"/>
        <w:gridCol w:w="2167"/>
      </w:tblGrid>
      <w:tr>
        <w:tc>
          <w:tcPr>
            <w:tcW w:type="dxa" w:w="2592"/>
            <w:shd w:fill="E2E8F0"/>
          </w:tcPr>
          <w:p>
            <w:pPr>
              <w:jc w:val="center"/>
            </w:pPr>
            <w:r>
              <w:rPr>
                <w:b/>
                <w:sz w:val="19"/>
              </w:rPr>
              <w:t>Feature / Metric</w:t>
            </w:r>
          </w:p>
        </w:tc>
        <w:tc>
          <w:tcPr>
            <w:tcW w:type="dxa" w:w="2592"/>
            <w:shd w:fill="E2E8F0"/>
          </w:tcPr>
          <w:p>
            <w:pPr>
              <w:jc w:val="center"/>
            </w:pPr>
            <w:r>
              <w:rPr>
                <w:b/>
                <w:sz w:val="19"/>
              </w:rPr>
              <w:t>Hyperledger Fabric [1]</w:t>
            </w:r>
          </w:p>
        </w:tc>
        <w:tc>
          <w:tcPr>
            <w:tcW w:type="dxa" w:w="2592"/>
            <w:shd w:fill="E2E8F0"/>
          </w:tcPr>
          <w:p>
            <w:pPr>
              <w:jc w:val="center"/>
            </w:pPr>
            <w:r>
              <w:rPr>
                <w:b/>
                <w:sz w:val="19"/>
              </w:rPr>
              <w:t>Ethereum L1 [2]</w:t>
            </w:r>
          </w:p>
        </w:tc>
        <w:tc>
          <w:tcPr>
            <w:tcW w:type="dxa" w:w="2880"/>
            <w:shd w:fill="E2E8F0"/>
          </w:tcPr>
          <w:p>
            <w:pPr>
              <w:jc w:val="center"/>
            </w:pPr>
            <w:r>
              <w:rPr>
                <w:b/>
                <w:sz w:val="19"/>
              </w:rPr>
              <w:t>PharmaTrust (Our Work)</w:t>
            </w:r>
          </w:p>
        </w:tc>
      </w:tr>
      <w:tr>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Network Architecture</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Private / Permissioned</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Public / Proof-of-Stake</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pPr>
            <w:r>
              <w:rPr>
                <w:b/>
                <w:sz w:val="18"/>
              </w:rPr>
              <w:t>Public L2 / Polygon PoS</w:t>
            </w:r>
          </w:p>
        </w:tc>
      </w:tr>
      <w:tr>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Transaction Fee (Avg)</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Zero internal ($1800/mo server)</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$15.00 - $45.00 USD</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pPr>
            <w:r>
              <w:rPr>
                <w:b/>
                <w:sz w:val="18"/>
              </w:rPr>
              <w:t>&lt; $0.0005 USD (0.008 POL)</w:t>
            </w:r>
          </w:p>
        </w:tc>
      </w:tr>
      <w:tr>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Block Finality Time</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1.5 - 2.5 seconds</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12 - 15 minutes</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pPr>
            <w:r>
              <w:rPr>
                <w:b/>
                <w:sz w:val="18"/>
              </w:rPr>
              <w:t>2.1 seconds</w:t>
            </w:r>
          </w:p>
        </w:tc>
      </w:tr>
      <w:tr>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Consumer Verification</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No (Restricted to consortium)</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Yes (Requires paid gas)</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pPr>
            <w:r>
              <w:rPr>
                <w:b/>
                <w:sz w:val="18"/>
              </w:rPr>
              <w:t>Yes (100% Zero-Gas via RPC)</w:t>
            </w:r>
          </w:p>
        </w:tc>
      </w:tr>
      <w:tr>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Batch Hierarchy</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Manual chaincode state</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Single token only</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pPr>
            <w:r>
              <w:rPr>
                <w:b/>
                <w:sz w:val="18"/>
              </w:rPr>
              <w:t>Native Parent-Child ERC-721</w:t>
            </w:r>
          </w:p>
        </w:tc>
      </w:tr>
      <w:tr>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Metadata Storage</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CouchDB (Private)</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On-chain (Cost prohibitive)</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pPr>
            <w:r>
              <w:rPr>
                <w:b/>
                <w:sz w:val="18"/>
              </w:rPr>
              <w:t>IPFS Decentralized Content CID</w:t>
            </w:r>
          </w:p>
        </w:tc>
      </w:tr>
      <w:tr>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Audit Immutability</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Consortium dependent</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Global public consensus</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pPr>
            <w:r>
              <w:rPr>
                <w:b/>
                <w:sz w:val="18"/>
              </w:rPr>
              <w:t>Global public consensus</w:t>
            </w:r>
          </w:p>
        </w:tc>
      </w:tr>
    </w:tbl>
    <w:p>
      <w:pPr>
        <w:spacing w:before="320" w:after="120" w:line="276" w:lineRule="auto"/>
        <w:jc w:val="left"/>
      </w:pPr>
      <w:r>
        <w:rPr>
          <w:rFonts w:ascii="Times New Roman" w:hAnsi="Times New Roman"/>
          <w:b/>
          <w:color w:val="1E3A5F"/>
          <w:sz w:val="32"/>
        </w:rPr>
        <w:t>3. Platforms, Tools and Frameworks Used</w:t>
      </w:r>
    </w:p>
    <w:p>
      <w:pPr>
        <w:spacing w:before="0" w:after="120" w:line="276" w:lineRule="auto"/>
        <w:jc w:val="both"/>
      </w:pPr>
      <w:r>
        <w:rPr>
          <w:rFonts w:ascii="Times New Roman" w:hAnsi="Times New Roman"/>
          <w:b w:val="0"/>
          <w:i w:val="0"/>
          <w:sz w:val="24"/>
        </w:rPr>
        <w:t>The PharmaTrust platform is engineered using a modern, multi-tiered full-stack Web3 and enterprise architecture. The key frameworks and developer tooling utilized are detailed below:</w:t>
      </w:r>
    </w:p>
    <w:p>
      <w:pPr>
        <w:spacing w:before="200" w:after="80" w:line="276" w:lineRule="auto"/>
        <w:jc w:val="left"/>
      </w:pPr>
      <w:r>
        <w:rPr>
          <w:rFonts w:ascii="Times New Roman" w:hAnsi="Times New Roman"/>
          <w:b/>
          <w:color w:val="1E3A5F"/>
          <w:sz w:val="28"/>
        </w:rPr>
        <w:t>3.1 Hardhat and Solidity Development Environment</w:t>
      </w:r>
    </w:p>
    <w:p>
      <w:pPr>
        <w:spacing w:before="0" w:after="120" w:line="276" w:lineRule="auto"/>
        <w:jc w:val="both"/>
      </w:pPr>
      <w:r>
        <w:rPr>
          <w:rFonts w:ascii="Times New Roman" w:hAnsi="Times New Roman"/>
          <w:b w:val="0"/>
          <w:i w:val="0"/>
          <w:sz w:val="24"/>
        </w:rPr>
        <w:t>Hardhat was chosen as the core smart contract development framework. It provides an extensible local Ethereum Virtual Machine (Hardhat Network) for testing contract deployments, debugging stack traces, and simulating gas expenditures. Smart contracts are written in Solidity v0.8.20 incorporating OpenZeppelin ERC-721 and AccessControl contracts. Hardhat configuration manages automated deployments and network RPC parameters.</w:t>
      </w:r>
    </w:p>
    <w:p>
      <w:pPr>
        <w:spacing w:before="200" w:after="80" w:line="276" w:lineRule="auto"/>
        <w:jc w:val="left"/>
      </w:pPr>
      <w:r>
        <w:rPr>
          <w:rFonts w:ascii="Times New Roman" w:hAnsi="Times New Roman"/>
          <w:b/>
          <w:color w:val="1E3A5F"/>
          <w:sz w:val="28"/>
        </w:rPr>
        <w:t>3.2 Polygon Amoy PoS Layer-2 Network</w:t>
      </w:r>
    </w:p>
    <w:p>
      <w:pPr>
        <w:spacing w:before="0" w:after="120" w:line="276" w:lineRule="auto"/>
        <w:jc w:val="both"/>
      </w:pPr>
      <w:r>
        <w:rPr>
          <w:rFonts w:ascii="Times New Roman" w:hAnsi="Times New Roman"/>
          <w:b w:val="0"/>
          <w:i w:val="0"/>
          <w:sz w:val="24"/>
        </w:rPr>
        <w:t>Polygon Amoy is the official Sepolia-anchored testnet for Polygon Proof-of-Stake (Chain ID: 80002). It provides complete EVM compatibility, sub-second transaction propagation, and average gas fees below 0.015 POL. This allows PharmaTrust to execute complex state checks without financial friction.</w:t>
      </w:r>
    </w:p>
    <w:p>
      <w:pPr>
        <w:spacing w:before="200" w:after="80" w:line="276" w:lineRule="auto"/>
        <w:jc w:val="left"/>
      </w:pPr>
      <w:r>
        <w:rPr>
          <w:rFonts w:ascii="Times New Roman" w:hAnsi="Times New Roman"/>
          <w:b/>
          <w:color w:val="1E3A5F"/>
          <w:sz w:val="28"/>
        </w:rPr>
        <w:t>3.3 Ethers.js and Web3 Provider Architecture</w:t>
      </w:r>
    </w:p>
    <w:p>
      <w:pPr>
        <w:spacing w:before="0" w:after="120" w:line="276" w:lineRule="auto"/>
        <w:jc w:val="both"/>
      </w:pPr>
      <w:r>
        <w:rPr>
          <w:rFonts w:ascii="Times New Roman" w:hAnsi="Times New Roman"/>
          <w:b w:val="0"/>
          <w:i w:val="0"/>
          <w:sz w:val="24"/>
        </w:rPr>
        <w:t>Ethers.js v6 was utilized across the client and server layers. On the client side, Ethers.js wraps the browser's `window.ethereum` MetaMask provider to handle user signing, gas estimation, and contract interaction. For public verifications, a fallback JsonRpcProvider connects directly to public Amoy RPC endpoints.</w:t>
      </w:r>
    </w:p>
    <w:p>
      <w:pPr>
        <w:spacing w:before="200" w:after="80" w:line="276" w:lineRule="auto"/>
        <w:jc w:val="left"/>
      </w:pPr>
      <w:r>
        <w:rPr>
          <w:rFonts w:ascii="Times New Roman" w:hAnsi="Times New Roman"/>
          <w:b/>
          <w:color w:val="1E3A5F"/>
          <w:sz w:val="28"/>
        </w:rPr>
        <w:t>3.4 InterPlanetary File System (IPFS) Decentralized Storage</w:t>
      </w:r>
    </w:p>
    <w:p>
      <w:pPr>
        <w:spacing w:before="0" w:after="120" w:line="276" w:lineRule="auto"/>
        <w:jc w:val="both"/>
      </w:pPr>
      <w:r>
        <w:rPr>
          <w:rFonts w:ascii="Times New Roman" w:hAnsi="Times New Roman"/>
          <w:b w:val="0"/>
          <w:i w:val="0"/>
          <w:sz w:val="24"/>
        </w:rPr>
        <w:t>To avoid storing bulky text records and Certificates of Analysis (CoA) directly on-chain, PharmaTrust integrates IPFS via Pinata gateway APIs. Each batch's metadata JSON is content-addressed, producing an immutable cryptographic CID hash (e.g., `ipfs://bafkrei...`) that is permanently stored in the ERC-721 token's `tokenURI`.</w:t>
      </w:r>
    </w:p>
    <w:p>
      <w:r>
        <w:br w:type="page"/>
      </w:r>
    </w:p>
    <w:p>
      <w:pPr>
        <w:spacing w:before="200" w:after="80" w:line="276" w:lineRule="auto"/>
        <w:jc w:val="left"/>
      </w:pPr>
      <w:r>
        <w:rPr>
          <w:rFonts w:ascii="Times New Roman" w:hAnsi="Times New Roman"/>
          <w:b/>
          <w:color w:val="1E3A5F"/>
          <w:sz w:val="28"/>
        </w:rPr>
        <w:t>3.5 React.js 18 Single Page Application and Tailwind CSS</w:t>
      </w:r>
    </w:p>
    <w:p>
      <w:pPr>
        <w:spacing w:before="0" w:after="120" w:line="276" w:lineRule="auto"/>
        <w:jc w:val="both"/>
      </w:pPr>
      <w:r>
        <w:rPr>
          <w:rFonts w:ascii="Times New Roman" w:hAnsi="Times New Roman"/>
          <w:b w:val="0"/>
          <w:i w:val="0"/>
          <w:sz w:val="24"/>
        </w:rPr>
        <w:t>The frontend application is constructed with React.js 18, utilizing modular functional components, custom hooks for Web3 lifecycle tracking, and React Router for client-side navigation. Styling is engineered using Tailwind CSS combined with custom glassmorphism utilities (`.glass-card`, `.btn-gold`, `.badge-gold`), presenting an aesthetic deep navy (`#081526`) and gold (`#f59e0b`) visual palette tailored for professional supply chain auditing.</w:t>
      </w:r>
    </w:p>
    <w:p>
      <w:pPr>
        <w:spacing w:before="200" w:after="80" w:line="276" w:lineRule="auto"/>
        <w:jc w:val="left"/>
      </w:pPr>
      <w:r>
        <w:rPr>
          <w:rFonts w:ascii="Times New Roman" w:hAnsi="Times New Roman"/>
          <w:b/>
          <w:color w:val="1E3A5F"/>
          <w:sz w:val="28"/>
        </w:rPr>
        <w:t>3.6 Node.js, Express and MongoDB Atlas Hybrid Persistence</w:t>
      </w:r>
    </w:p>
    <w:p>
      <w:pPr>
        <w:spacing w:before="0" w:after="120" w:line="276" w:lineRule="auto"/>
        <w:jc w:val="both"/>
      </w:pPr>
      <w:r>
        <w:rPr>
          <w:rFonts w:ascii="Times New Roman" w:hAnsi="Times New Roman"/>
          <w:b w:val="0"/>
          <w:i w:val="0"/>
          <w:sz w:val="24"/>
        </w:rPr>
        <w:t>The backend is built using Node.js and Express.js, providing RESTful API endpoints for off-chain batch indexing and cryptographic key generation. To prevent database connectivity issues from halting the blockchain DApp, the backend incorporates a non-blocking Mongoose connection with a `global.mongoAvailable` fallback flag, ensuring seamless continuous operation even when off-chain databases undergo scheduled maintenance.</w:t>
      </w:r>
    </w:p>
    <w:p>
      <w:pPr>
        <w:spacing w:before="280" w:after="120" w:line="276" w:lineRule="auto"/>
        <w:jc w:val="left"/>
      </w:pPr>
      <w:r>
        <w:rPr>
          <w:rFonts w:ascii="Times New Roman" w:hAnsi="Times New Roman"/>
          <w:b/>
          <w:color w:val="333333"/>
          <w:sz w:val="24"/>
        </w:rPr>
        <w:t>Table 3. Batch Data Models, Token Schemas, and Metadata Structs</w:t>
      </w:r>
    </w:p>
    <w:tbl>
      <w:tblPr>
        <w:tblW w:type="auto" w:w="0"/>
        <w:jc w:val="center"/>
        <w:tblLook w:firstColumn="1" w:firstRow="1" w:lastColumn="0" w:lastRow="0" w:noHBand="0" w:noVBand="1" w:val="04A0"/>
      </w:tblPr>
      <w:tblGrid>
        <w:gridCol w:w="1734"/>
        <w:gridCol w:w="1734"/>
        <w:gridCol w:w="1734"/>
        <w:gridCol w:w="1734"/>
        <w:gridCol w:w="1734"/>
      </w:tblGrid>
      <w:tr>
        <w:tc>
          <w:tcPr>
            <w:tcW w:type="dxa" w:w="2160"/>
            <w:shd w:fill="E2E8F0"/>
          </w:tcPr>
          <w:p>
            <w:pPr>
              <w:jc w:val="center"/>
            </w:pPr>
            <w:r>
              <w:rPr>
                <w:b/>
                <w:sz w:val="18"/>
              </w:rPr>
              <w:t>Batch ID (On-Chain)</w:t>
            </w:r>
          </w:p>
        </w:tc>
        <w:tc>
          <w:tcPr>
            <w:tcW w:type="dxa" w:w="3168"/>
            <w:shd w:fill="E2E8F0"/>
          </w:tcPr>
          <w:p>
            <w:pPr>
              <w:jc w:val="center"/>
            </w:pPr>
            <w:r>
              <w:rPr>
                <w:b/>
                <w:sz w:val="18"/>
              </w:rPr>
              <w:t>Formulation Details</w:t>
            </w:r>
          </w:p>
        </w:tc>
        <w:tc>
          <w:tcPr>
            <w:tcW w:type="dxa" w:w="1584"/>
            <w:shd w:fill="E2E8F0"/>
          </w:tcPr>
          <w:p>
            <w:pPr>
              <w:jc w:val="center"/>
            </w:pPr>
            <w:r>
              <w:rPr>
                <w:b/>
                <w:sz w:val="18"/>
              </w:rPr>
              <w:t>Parent Token</w:t>
            </w:r>
          </w:p>
        </w:tc>
        <w:tc>
          <w:tcPr>
            <w:tcW w:type="dxa" w:w="1728"/>
            <w:shd w:fill="E2E8F0"/>
          </w:tcPr>
          <w:p>
            <w:pPr>
              <w:jc w:val="center"/>
            </w:pPr>
            <w:r>
              <w:rPr>
                <w:b/>
                <w:sz w:val="18"/>
              </w:rPr>
              <w:t>Role State</w:t>
            </w:r>
          </w:p>
        </w:tc>
        <w:tc>
          <w:tcPr>
            <w:tcW w:type="dxa" w:w="2160"/>
            <w:shd w:fill="E2E8F0"/>
          </w:tcPr>
          <w:p>
            <w:pPr>
              <w:jc w:val="center"/>
            </w:pPr>
            <w:r>
              <w:rPr>
                <w:b/>
                <w:sz w:val="18"/>
              </w:rPr>
              <w:t>IPFS Metadata CID</w:t>
            </w:r>
          </w:p>
        </w:tc>
      </w:tr>
      <w:tr>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BATCH-DRREDDYS-992</w:t>
            </w:r>
          </w:p>
        </w:tc>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Paracetamol 500mg IP, Expiry: 08/2028</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Token #0 (Master)</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Manufacturer (1)</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ipfs://QmXoypizjW3WknFiJnKLwHCnL72vedxjQkDDP1mXWo6uco</w:t>
            </w:r>
          </w:p>
        </w:tc>
      </w:tr>
      <w:tr>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BATCH-CIPLA-2026</w:t>
            </w:r>
          </w:p>
        </w:tc>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Amoxicillin 250mg Clav, Expiry: 12/2027</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Token #0 (Master)</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Distributor (2)</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ipfs://QmZTMG7zyasAbhtqqq646ZsdC5AVE7Zjp2hWwnLDx61qMx</w:t>
            </w:r>
          </w:p>
        </w:tc>
      </w:tr>
      <w:tr>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BATCH-SUNPHARMA-001</w:t>
            </w:r>
          </w:p>
        </w:tc>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Ibuprofen 400mg USP, Expiry: 05/2028</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Token #0 (Master)</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Retailer (3)</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ipfs://QmYwAPJzv5CZsnA625s3Xf2nemtYgPpHdWEz79ojWnPbdG</w:t>
            </w:r>
          </w:p>
        </w:tc>
      </w:tr>
      <w:tr>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BATCH-LUPIN-CHILD-01</w:t>
            </w:r>
          </w:p>
        </w:tc>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Blister Pack Unit 1 of 500, Expiry: 08/2028</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Token #992 (Child)</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Pharmacy (4)</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ipfs://QmPZ9gcCEpqKTo6aq61g2nXGUhM49wbdUFIb5CE5114441</w:t>
            </w:r>
          </w:p>
        </w:tc>
      </w:tr>
    </w:tbl>
    <w:p>
      <w:pPr>
        <w:spacing w:before="200" w:after="120" w:line="276" w:lineRule="auto"/>
        <w:jc w:val="both"/>
      </w:pPr>
      <w:r>
        <w:rPr>
          <w:rFonts w:ascii="Times New Roman" w:hAnsi="Times New Roman"/>
          <w:b w:val="0"/>
          <w:i w:val="0"/>
          <w:sz w:val="24"/>
        </w:rPr>
        <w:t>The on-chain `Batch` struct stores core parameters including `batchID`, `currentOwner`, `currentRole`, `timestamp`, `parentBatchId`, `metadataURI`, and `isCounterfeit`. Extended batch properties (chemical excipients, manufacturing plant coordinates, and quality certificates) are referenced via the decentralized IPFS URI.</w:t>
      </w:r>
    </w:p>
    <w:p>
      <w:r>
        <w:br w:type="page"/>
      </w:r>
    </w:p>
    <w:p>
      <w:pPr>
        <w:spacing w:before="360" w:after="240" w:line="276" w:lineRule="auto"/>
        <w:jc w:val="left"/>
      </w:pPr>
      <w:r>
        <w:rPr>
          <w:rFonts w:ascii="Times New Roman" w:hAnsi="Times New Roman"/>
          <w:b/>
          <w:color w:val="1E3A5F"/>
          <w:sz w:val="32"/>
        </w:rPr>
        <w:t>4. Software Requirements Specification</w:t>
      </w:r>
    </w:p>
    <w:p>
      <w:pPr>
        <w:spacing w:before="0" w:after="120" w:line="276" w:lineRule="auto"/>
        <w:jc w:val="both"/>
      </w:pPr>
      <w:r>
        <w:rPr>
          <w:rFonts w:ascii="Times New Roman" w:hAnsi="Times New Roman"/>
          <w:b w:val="0"/>
          <w:i w:val="0"/>
          <w:sz w:val="24"/>
        </w:rPr>
        <w:t>The Software Requirements Specification (SRS) establishes a formal baseline describing the complete functional capabilities, external interface requirements, hardware dependencies, and operational constraints governing the PharmaTrust system. This document serves as the technical contract guiding software development, testing protocols, and verification rubrics.</w:t>
      </w:r>
    </w:p>
    <w:p>
      <w:pPr>
        <w:spacing w:before="240" w:after="120" w:line="276" w:lineRule="auto"/>
        <w:jc w:val="left"/>
      </w:pPr>
      <w:r>
        <w:rPr>
          <w:rFonts w:ascii="Times New Roman" w:hAnsi="Times New Roman"/>
          <w:b/>
          <w:color w:val="1E3A5F"/>
          <w:sz w:val="28"/>
        </w:rPr>
        <w:t>4.1 Introduction</w:t>
      </w:r>
    </w:p>
    <w:p>
      <w:pPr>
        <w:spacing w:before="0" w:after="120" w:line="276" w:lineRule="auto"/>
        <w:jc w:val="both"/>
      </w:pPr>
      <w:r>
        <w:rPr>
          <w:rFonts w:ascii="Times New Roman" w:hAnsi="Times New Roman"/>
          <w:b w:val="0"/>
          <w:i w:val="0"/>
          <w:sz w:val="24"/>
        </w:rPr>
        <w:t>Counterfeit drug distribution flourishes due to information asymmetry across multi-tier supply networks. The PharmaTrust platform re-engineers this paradigm by enforcing programmatic transparency. In this project, we implement and test a decentralized supply chain protocol with the following key objectives:</w:t>
      </w:r>
    </w:p>
    <w:p>
      <w:pPr>
        <w:spacing w:before="0" w:after="120" w:line="276" w:lineRule="auto"/>
        <w:jc w:val="both"/>
      </w:pPr>
      <w:r>
        <w:rPr>
          <w:rFonts w:ascii="Times New Roman" w:hAnsi="Times New Roman"/>
          <w:b w:val="0"/>
          <w:i w:val="0"/>
          <w:sz w:val="24"/>
        </w:rPr>
        <w:t>● Implement an ERC-721 smart contract managing batch tokenization, deterministic role custody transitions, and counterfeit flagging on the Polygon Amoy blockchain.</w:t>
      </w:r>
    </w:p>
    <w:p>
      <w:pPr>
        <w:spacing w:before="0" w:after="120" w:line="276" w:lineRule="auto"/>
        <w:jc w:val="both"/>
      </w:pPr>
      <w:r>
        <w:rPr>
          <w:rFonts w:ascii="Times New Roman" w:hAnsi="Times New Roman"/>
          <w:b w:val="0"/>
          <w:i w:val="0"/>
          <w:sz w:val="24"/>
        </w:rPr>
        <w:t>● Implement a parent-child hierarchical asset model allowing master drug cartons and sub-lot packaging to be tracked and transferred atomically with minimal gas consumption.</w:t>
      </w:r>
    </w:p>
    <w:p>
      <w:pPr>
        <w:spacing w:before="0" w:after="120" w:line="276" w:lineRule="auto"/>
        <w:jc w:val="both"/>
      </w:pPr>
      <w:r>
        <w:rPr>
          <w:rFonts w:ascii="Times New Roman" w:hAnsi="Times New Roman"/>
          <w:b w:val="0"/>
          <w:i w:val="0"/>
          <w:sz w:val="24"/>
        </w:rPr>
        <w:t>● Implement dynamic, cryptographically signed QR codes linking physical packaging directly to on-chain token state without exposing confidential private keys.</w:t>
      </w:r>
    </w:p>
    <w:p>
      <w:pPr>
        <w:spacing w:before="0" w:after="120" w:line="276" w:lineRule="auto"/>
        <w:jc w:val="both"/>
      </w:pPr>
      <w:r>
        <w:rPr>
          <w:rFonts w:ascii="Times New Roman" w:hAnsi="Times New Roman"/>
          <w:b w:val="0"/>
          <w:i w:val="0"/>
          <w:sz w:val="24"/>
        </w:rPr>
        <w:t>● Provide a public, zero-gas verification interface that enables patients and healthcare workers to verify drug provenance using any mobile device without possessing crypto tokens or wallet extensions.</w:t>
      </w:r>
    </w:p>
    <w:p>
      <w:pPr>
        <w:spacing w:before="0" w:after="120" w:line="276" w:lineRule="auto"/>
        <w:jc w:val="both"/>
      </w:pPr>
      <w:r>
        <w:rPr>
          <w:rFonts w:ascii="Times New Roman" w:hAnsi="Times New Roman"/>
          <w:b w:val="0"/>
          <w:i w:val="0"/>
          <w:sz w:val="24"/>
        </w:rPr>
        <w:t>● Deploy a hybrid off-chain synchronization architecture that mirrors smart contract events into an indexed MongoDB database for real-time dashboard analytics while preserving the blockchain as the authoritative source of truth.</w:t>
      </w:r>
    </w:p>
    <w:p>
      <w:pPr>
        <w:spacing w:before="240" w:after="120" w:line="276" w:lineRule="auto"/>
        <w:jc w:val="left"/>
      </w:pPr>
      <w:r>
        <w:rPr>
          <w:rFonts w:ascii="Times New Roman" w:hAnsi="Times New Roman"/>
          <w:b/>
          <w:color w:val="1E3A5F"/>
          <w:sz w:val="28"/>
        </w:rPr>
        <w:t>4.2 Purpose</w:t>
      </w:r>
    </w:p>
    <w:p>
      <w:pPr>
        <w:spacing w:before="0" w:after="120" w:line="276" w:lineRule="auto"/>
        <w:jc w:val="both"/>
      </w:pPr>
      <w:r>
        <w:rPr>
          <w:rFonts w:ascii="Times New Roman" w:hAnsi="Times New Roman"/>
          <w:b w:val="0"/>
          <w:i w:val="0"/>
          <w:sz w:val="24"/>
        </w:rPr>
        <w:t>The primary purpose of the PharmaTrust platform is to eliminate counterfeit medications from reaching consumers by establishing an unbroken, cryptographically verifiable chain of custody. The system serves four distinct categories of pharmaceutical stakeholders: primary drug manufacturers, wholesale distributors, retail pharmacies, and end patients.</w:t>
      </w:r>
    </w:p>
    <w:p>
      <w:pPr>
        <w:spacing w:before="0" w:after="120" w:line="276" w:lineRule="auto"/>
        <w:jc w:val="both"/>
      </w:pPr>
      <w:r>
        <w:rPr>
          <w:rFonts w:ascii="Times New Roman" w:hAnsi="Times New Roman"/>
          <w:b w:val="0"/>
          <w:i w:val="0"/>
          <w:sz w:val="24"/>
        </w:rPr>
        <w:t>For pharmaceutical manufacturers, PharmaTrust provides a non-repudiable ledger proving authentic production, lot release timestamps, and authorized dispatch. For logistics distributors and retail pharmacies, the platform enforces automated regulatory checks, ensuring that batches cannot be transferred to uncertified recipients. For end consumers, the platform provides instant peace of mind, transforming any smartphone into an anti-counterfeit verification terminal.</w:t>
      </w:r>
    </w:p>
    <w:p>
      <w:r>
        <w:br w:type="page"/>
      </w:r>
    </w:p>
    <w:p>
      <w:pPr>
        <w:spacing w:before="240" w:after="120" w:line="276" w:lineRule="auto"/>
        <w:jc w:val="left"/>
      </w:pPr>
      <w:r>
        <w:rPr>
          <w:rFonts w:ascii="Times New Roman" w:hAnsi="Times New Roman"/>
          <w:b/>
          <w:color w:val="1E3A5F"/>
          <w:sz w:val="28"/>
        </w:rPr>
        <w:t>4.3 Software Tools</w:t>
      </w:r>
    </w:p>
    <w:p>
      <w:pPr>
        <w:spacing w:before="0" w:after="120" w:line="276" w:lineRule="auto"/>
        <w:jc w:val="both"/>
      </w:pPr>
      <w:r>
        <w:rPr>
          <w:rFonts w:ascii="Times New Roman" w:hAnsi="Times New Roman"/>
          <w:b w:val="0"/>
          <w:i w:val="0"/>
          <w:sz w:val="24"/>
        </w:rPr>
        <w:t>The software ecosystem utilized across the design, development, smart contract testing, deployment, and documentation phases is detailed in Table 4.</w:t>
      </w:r>
    </w:p>
    <w:tbl>
      <w:tblPr>
        <w:tblW w:type="auto" w:w="0"/>
        <w:jc w:val="center"/>
        <w:tblLook w:firstColumn="1" w:firstRow="1" w:lastColumn="0" w:lastRow="0" w:noHBand="0" w:noVBand="1" w:val="04A0"/>
      </w:tblPr>
      <w:tblGrid>
        <w:gridCol w:w="4334"/>
        <w:gridCol w:w="4334"/>
      </w:tblGrid>
      <w:tr>
        <w:tc>
          <w:tcPr>
            <w:tcW w:type="dxa" w:w="3600"/>
            <w:shd w:fill="E2E8F0"/>
          </w:tcPr>
          <w:p>
            <w:r>
              <w:rPr>
                <w:b/>
              </w:rPr>
              <w:t>Tool Category</w:t>
            </w:r>
          </w:p>
        </w:tc>
        <w:tc>
          <w:tcPr>
            <w:tcW w:type="dxa" w:w="6480"/>
            <w:shd w:fill="E2E8F0"/>
          </w:tcPr>
          <w:p>
            <w:r>
              <w:rPr>
                <w:b/>
              </w:rPr>
              <w:t>Software Environment / Specification</w:t>
            </w:r>
          </w:p>
        </w:tc>
      </w:tr>
      <w:tr>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Operating System</w:t>
            </w:r>
          </w:p>
        </w:tc>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macOS 14 Sonoma / macOS 15 Sequoia (Apple Silicon)</w:t>
            </w:r>
          </w:p>
        </w:tc>
      </w:tr>
      <w:tr>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Smart Contract Language</w:t>
            </w:r>
          </w:p>
        </w:tc>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Solidity v0.8.20 (via Hardhat toolchain)</w:t>
            </w:r>
          </w:p>
        </w:tc>
      </w:tr>
      <w:tr>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Contract Frameworks</w:t>
            </w:r>
          </w:p>
        </w:tc>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OpenZeppelin Contracts v5.0 (ERC-721, Ownable, AccessControl)</w:t>
            </w:r>
          </w:p>
        </w:tc>
      </w:tr>
      <w:tr>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Blockchain Network</w:t>
            </w:r>
          </w:p>
        </w:tc>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Polygon Amoy Testnet (Proof-of-Stake, Chain ID: 80002)</w:t>
            </w:r>
          </w:p>
        </w:tc>
      </w:tr>
      <w:tr>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Web3 Provider</w:t>
            </w:r>
          </w:p>
        </w:tc>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Ethers.js v6.15.0 &amp; MetaMask Browser Extension</w:t>
            </w:r>
          </w:p>
        </w:tc>
      </w:tr>
      <w:tr>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Frontend Framework</w:t>
            </w:r>
          </w:p>
        </w:tc>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React.js 18.2.0 (HTML5, JSX, ES6+)</w:t>
            </w:r>
          </w:p>
        </w:tc>
      </w:tr>
      <w:tr>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Styling &amp; UI Components</w:t>
            </w:r>
          </w:p>
        </w:tc>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Tailwind CSS v3.3 &amp; Custom Dark Glassmorphism CSS3</w:t>
            </w:r>
          </w:p>
        </w:tc>
      </w:tr>
      <w:tr>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Backend Runtime</w:t>
            </w:r>
          </w:p>
        </w:tc>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Node.js v20 LTS / Express.js v4.19</w:t>
            </w:r>
          </w:p>
        </w:tc>
      </w:tr>
      <w:tr>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Database Management</w:t>
            </w:r>
          </w:p>
        </w:tc>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MongoDB Atlas (Mongoose ODM v8.0)</w:t>
            </w:r>
          </w:p>
        </w:tc>
      </w:tr>
      <w:tr>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Decentralized Storage</w:t>
            </w:r>
          </w:p>
        </w:tc>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IPFS (Pinata Cloud API Gateway)</w:t>
            </w:r>
          </w:p>
        </w:tc>
      </w:tr>
      <w:tr>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Version Control &amp; CI/CD</w:t>
            </w:r>
          </w:p>
        </w:tc>
        <w:tc>
          <w:tcPr>
            <w:tcW w:type="dxa" w:w="4334"/>
            <w:tcBorders>
              <w:top w:val="single" w:sz="4" w:space="0" w:color="CCCCCC"/>
              <w:bottom w:val="single" w:sz="4" w:space="0" w:color="CCCCCC"/>
              <w:left w:val="single" w:sz="4" w:space="0" w:color="CCCCCC"/>
              <w:right w:val="single" w:sz="4" w:space="0" w:color="CCCCCC"/>
            </w:tcBorders>
          </w:tcPr>
          <w:p>
            <w:pPr>
              <w:spacing w:after="40"/>
            </w:pPr>
            <w:r>
              <w:rPr>
                <w:sz w:val="19"/>
              </w:rPr>
              <w:t>Git and GitHub Repository Management</w:t>
            </w:r>
          </w:p>
        </w:tc>
      </w:tr>
    </w:tbl>
    <w:p>
      <w:pPr>
        <w:spacing w:before="80" w:after="240" w:line="276" w:lineRule="auto"/>
        <w:jc w:val="center"/>
      </w:pPr>
      <w:r>
        <w:rPr>
          <w:rFonts w:ascii="Times New Roman" w:hAnsi="Times New Roman"/>
          <w:b w:val="0"/>
          <w:i/>
          <w:sz w:val="24"/>
        </w:rPr>
        <w:t>Table 4: Software Tools and Engineering Environment</w:t>
      </w:r>
    </w:p>
    <w:p>
      <w:pPr>
        <w:spacing w:before="240" w:after="120" w:line="276" w:lineRule="auto"/>
        <w:jc w:val="left"/>
      </w:pPr>
      <w:r>
        <w:rPr>
          <w:rFonts w:ascii="Times New Roman" w:hAnsi="Times New Roman"/>
          <w:b/>
          <w:color w:val="1E3A5F"/>
          <w:sz w:val="28"/>
        </w:rPr>
        <w:t>4.4 Hardware Tools</w:t>
      </w:r>
    </w:p>
    <w:p>
      <w:pPr>
        <w:spacing w:before="0" w:after="120" w:line="276" w:lineRule="auto"/>
        <w:jc w:val="both"/>
      </w:pPr>
      <w:r>
        <w:rPr>
          <w:rFonts w:ascii="Times New Roman" w:hAnsi="Times New Roman"/>
          <w:b w:val="0"/>
          <w:i w:val="0"/>
          <w:sz w:val="24"/>
        </w:rPr>
        <w:t>Development, local node simulation, smart contract compilation, and cryptographic verification benchmarking were conducted on local developer workstations:</w:t>
      </w:r>
    </w:p>
    <w:p>
      <w:pPr>
        <w:spacing w:before="0" w:after="120" w:line="276" w:lineRule="auto"/>
        <w:jc w:val="both"/>
      </w:pPr>
      <w:r>
        <w:rPr>
          <w:rFonts w:ascii="Times New Roman" w:hAnsi="Times New Roman"/>
          <w:b w:val="0"/>
          <w:i w:val="0"/>
          <w:sz w:val="24"/>
        </w:rPr>
        <w:t>Workstation Configuration:</w:t>
      </w:r>
    </w:p>
    <w:p>
      <w:pPr>
        <w:spacing w:before="0" w:after="120" w:line="276" w:lineRule="auto"/>
        <w:jc w:val="both"/>
      </w:pPr>
      <w:r>
        <w:rPr>
          <w:rFonts w:ascii="Times New Roman" w:hAnsi="Times New Roman"/>
          <w:b w:val="0"/>
          <w:i w:val="0"/>
          <w:sz w:val="24"/>
        </w:rPr>
        <w:t>● Processor: Apple M-Series Silicon (8-Core CPU with 4 performance and 4 efficiency cores)</w:t>
      </w:r>
    </w:p>
    <w:p>
      <w:pPr>
        <w:spacing w:before="0" w:after="120" w:line="276" w:lineRule="auto"/>
        <w:jc w:val="both"/>
      </w:pPr>
      <w:r>
        <w:rPr>
          <w:rFonts w:ascii="Times New Roman" w:hAnsi="Times New Roman"/>
          <w:b w:val="0"/>
          <w:i w:val="0"/>
          <w:sz w:val="24"/>
        </w:rPr>
        <w:t>● System Memory: 16 GB Unified Memory (LPDDR5)</w:t>
      </w:r>
    </w:p>
    <w:p>
      <w:pPr>
        <w:spacing w:before="0" w:after="120" w:line="276" w:lineRule="auto"/>
        <w:jc w:val="both"/>
      </w:pPr>
      <w:r>
        <w:rPr>
          <w:rFonts w:ascii="Times New Roman" w:hAnsi="Times New Roman"/>
          <w:b w:val="0"/>
          <w:i w:val="0"/>
          <w:sz w:val="24"/>
        </w:rPr>
        <w:t>● Solid State Storage: 512 GB PCIe-based SSD storage</w:t>
      </w:r>
    </w:p>
    <w:p>
      <w:pPr>
        <w:spacing w:before="0" w:after="120" w:line="276" w:lineRule="auto"/>
        <w:jc w:val="both"/>
      </w:pPr>
      <w:r>
        <w:rPr>
          <w:rFonts w:ascii="Times New Roman" w:hAnsi="Times New Roman"/>
          <w:b w:val="0"/>
          <w:i w:val="0"/>
          <w:sz w:val="24"/>
        </w:rPr>
        <w:t>● Network Interface: High-speed Wi-Fi 6 wireless connectivity for Polygon Amoy RPC synchronization</w:t>
      </w:r>
    </w:p>
    <w:p>
      <w:r>
        <w:br w:type="page"/>
      </w:r>
    </w:p>
    <w:p>
      <w:pPr>
        <w:spacing w:before="240" w:after="120" w:line="276" w:lineRule="auto"/>
        <w:jc w:val="left"/>
      </w:pPr>
      <w:r>
        <w:rPr>
          <w:rFonts w:ascii="Times New Roman" w:hAnsi="Times New Roman"/>
          <w:b/>
          <w:color w:val="1E3A5F"/>
          <w:sz w:val="28"/>
        </w:rPr>
        <w:t>4.5 Work-Breakdown Structure</w:t>
      </w:r>
    </w:p>
    <w:p>
      <w:pPr>
        <w:spacing w:before="0" w:after="120" w:line="276" w:lineRule="auto"/>
        <w:jc w:val="both"/>
      </w:pPr>
      <w:r>
        <w:rPr>
          <w:rFonts w:ascii="Times New Roman" w:hAnsi="Times New Roman"/>
          <w:b w:val="0"/>
          <w:i w:val="0"/>
          <w:sz w:val="24"/>
        </w:rPr>
        <w:t>The project development lifecycle was distributed strategically between team members Sukaran Singh and Shreyash Sure across all engineering phases, ensuring balanced contributions across smart contract development, frontend Web3 integration, backend API routing, security benchmarking, and documentation.</w:t>
      </w:r>
    </w:p>
    <w:p>
      <w:pPr>
        <w:spacing w:before="0" w:after="120" w:line="276" w:lineRule="auto"/>
        <w:jc w:val="both"/>
      </w:pPr>
      <w:r>
        <w:rPr>
          <w:rFonts w:ascii="Times New Roman" w:hAnsi="Times New Roman"/>
          <w:b w:val="0"/>
          <w:i w:val="0"/>
          <w:sz w:val="24"/>
        </w:rPr>
        <w:t>Team Members:</w:t>
      </w:r>
    </w:p>
    <w:p>
      <w:pPr>
        <w:spacing w:before="0" w:after="120" w:line="276" w:lineRule="auto"/>
        <w:jc w:val="both"/>
      </w:pPr>
      <w:r>
        <w:rPr>
          <w:rFonts w:ascii="Times New Roman" w:hAnsi="Times New Roman"/>
          <w:b w:val="0"/>
          <w:i w:val="0"/>
          <w:sz w:val="24"/>
        </w:rPr>
        <w:t>Member A: Sukaran Singh (PRN: 23070122213)</w:t>
      </w:r>
    </w:p>
    <w:p>
      <w:pPr>
        <w:spacing w:before="0" w:after="120" w:line="276" w:lineRule="auto"/>
        <w:jc w:val="both"/>
      </w:pPr>
      <w:r>
        <w:rPr>
          <w:rFonts w:ascii="Times New Roman" w:hAnsi="Times New Roman"/>
          <w:b w:val="0"/>
          <w:i w:val="0"/>
          <w:sz w:val="24"/>
        </w:rPr>
        <w:t>Member B: Shreyash Sure (PRN: 23070122214)</w:t>
      </w:r>
    </w:p>
    <w:tbl>
      <w:tblPr>
        <w:tblW w:type="auto" w:w="0"/>
        <w:jc w:val="center"/>
        <w:tblLook w:firstColumn="1" w:firstRow="1" w:lastColumn="0" w:lastRow="0" w:noHBand="0" w:noVBand="1" w:val="04A0"/>
      </w:tblPr>
      <w:tblGrid>
        <w:gridCol w:w="2167"/>
        <w:gridCol w:w="2167"/>
        <w:gridCol w:w="2167"/>
        <w:gridCol w:w="2167"/>
      </w:tblGrid>
      <w:tr>
        <w:tc>
          <w:tcPr>
            <w:tcW w:type="dxa" w:w="864"/>
            <w:shd w:fill="E2E8F0"/>
          </w:tcPr>
          <w:p>
            <w:pPr>
              <w:jc w:val="center"/>
            </w:pPr>
            <w:r>
              <w:rPr>
                <w:b/>
                <w:sz w:val="19"/>
              </w:rPr>
              <w:t>Sr. No.</w:t>
            </w:r>
          </w:p>
        </w:tc>
        <w:tc>
          <w:tcPr>
            <w:tcW w:type="dxa" w:w="5184"/>
            <w:shd w:fill="E2E8F0"/>
          </w:tcPr>
          <w:p>
            <w:pPr>
              <w:jc w:val="center"/>
            </w:pPr>
            <w:r>
              <w:rPr>
                <w:b/>
                <w:sz w:val="19"/>
              </w:rPr>
              <w:t>Project Engineering Task</w:t>
            </w:r>
          </w:p>
        </w:tc>
        <w:tc>
          <w:tcPr>
            <w:tcW w:type="dxa" w:w="1872"/>
            <w:shd w:fill="E2E8F0"/>
          </w:tcPr>
          <w:p>
            <w:pPr>
              <w:jc w:val="center"/>
            </w:pPr>
            <w:r>
              <w:rPr>
                <w:b/>
                <w:sz w:val="19"/>
              </w:rPr>
              <w:t>Assigned Member</w:t>
            </w:r>
          </w:p>
        </w:tc>
        <w:tc>
          <w:tcPr>
            <w:tcW w:type="dxa" w:w="2160"/>
            <w:shd w:fill="E2E8F0"/>
          </w:tcPr>
          <w:p>
            <w:pPr>
              <w:jc w:val="center"/>
            </w:pPr>
            <w:r>
              <w:rPr>
                <w:b/>
                <w:sz w:val="19"/>
              </w:rPr>
              <w:t>Status</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Problem Identification &amp; Global Counterfeiting Survey</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 B</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2</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Literature Survey &amp; Blockchain Layer Comparative Analysis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 B</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3</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Software Requirements Specification &amp; System Architecture</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 B</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4</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Solidity Smart Contract Architecture &amp; State Machine Design</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5</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ERC-721 Parent-Child Batch Hierarchy Implementation</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6</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Polygon Amoy Deployment Scripts &amp; Multi-Role Setup</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7</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React.js 18 Web3 Interface &amp; Dark Glassmorphism Styling</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 B</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8</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MetaMask EIP-1559 Transaction Signing &amp; Provider Integration</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9</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Dynamic QR Code Generation &amp; Camera Scanner Module</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B</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10</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Zero-Gas Read-Only Public Verification Implementation</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B</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bl>
    <w:p>
      <w:r>
        <w:br w:type="page"/>
      </w:r>
    </w:p>
    <w:p>
      <w:pPr>
        <w:spacing w:before="240" w:after="120" w:line="276" w:lineRule="auto"/>
        <w:jc w:val="left"/>
      </w:pPr>
      <w:r>
        <w:rPr>
          <w:rFonts w:ascii="Times New Roman" w:hAnsi="Times New Roman"/>
          <w:b/>
          <w:color w:val="333333"/>
          <w:sz w:val="24"/>
        </w:rPr>
        <w:t>Table 5: Work-Breakdown Structure (Continued)</w:t>
      </w:r>
    </w:p>
    <w:tbl>
      <w:tblPr>
        <w:tblW w:type="auto" w:w="0"/>
        <w:jc w:val="center"/>
        <w:tblLook w:firstColumn="1" w:firstRow="1" w:lastColumn="0" w:lastRow="0" w:noHBand="0" w:noVBand="1" w:val="04A0"/>
      </w:tblPr>
      <w:tblGrid>
        <w:gridCol w:w="2167"/>
        <w:gridCol w:w="2167"/>
        <w:gridCol w:w="2167"/>
        <w:gridCol w:w="2167"/>
      </w:tblGrid>
      <w:tr>
        <w:tc>
          <w:tcPr>
            <w:tcW w:type="dxa" w:w="864"/>
            <w:shd w:fill="E2E8F0"/>
          </w:tcPr>
          <w:p>
            <w:pPr>
              <w:jc w:val="center"/>
            </w:pPr>
            <w:r>
              <w:rPr>
                <w:b/>
                <w:sz w:val="19"/>
              </w:rPr>
              <w:t>Sr. No.</w:t>
            </w:r>
          </w:p>
        </w:tc>
        <w:tc>
          <w:tcPr>
            <w:tcW w:type="dxa" w:w="5184"/>
            <w:shd w:fill="E2E8F0"/>
          </w:tcPr>
          <w:p>
            <w:pPr>
              <w:jc w:val="center"/>
            </w:pPr>
            <w:r>
              <w:rPr>
                <w:b/>
                <w:sz w:val="19"/>
              </w:rPr>
              <w:t>Project Engineering Task</w:t>
            </w:r>
          </w:p>
        </w:tc>
        <w:tc>
          <w:tcPr>
            <w:tcW w:type="dxa" w:w="1872"/>
            <w:shd w:fill="E2E8F0"/>
          </w:tcPr>
          <w:p>
            <w:pPr>
              <w:jc w:val="center"/>
            </w:pPr>
            <w:r>
              <w:rPr>
                <w:b/>
                <w:sz w:val="19"/>
              </w:rPr>
              <w:t>Assigned Member</w:t>
            </w:r>
          </w:p>
        </w:tc>
        <w:tc>
          <w:tcPr>
            <w:tcW w:type="dxa" w:w="2160"/>
            <w:shd w:fill="E2E8F0"/>
          </w:tcPr>
          <w:p>
            <w:pPr>
              <w:jc w:val="center"/>
            </w:pPr>
            <w:r>
              <w:rPr>
                <w:b/>
                <w:sz w:val="19"/>
              </w:rPr>
              <w:t>Status</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11</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Node.js / Express Middleware &amp; Non-blocking MongoDB Engine</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B</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12</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IPFS Pinata Gateway Integration for Metadata Pinning</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B</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13</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Gas Optimization &amp; Multi-Hop Custody Benchmarking</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14</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Security Vulnerability Analysis (Reentrancy, Access Checks)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 B</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15</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End-to-End System Integration &amp; User Workflow Testing</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 B</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16</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Project Documentation, Black Book Preparation &amp; Review Submission</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 B</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Completed</w:t>
            </w:r>
          </w:p>
        </w:tc>
      </w:tr>
    </w:tbl>
    <w:p>
      <w:pPr>
        <w:spacing w:before="280" w:after="120" w:line="276" w:lineRule="auto"/>
        <w:jc w:val="left"/>
      </w:pPr>
      <w:r>
        <w:rPr>
          <w:rFonts w:ascii="Times New Roman" w:hAnsi="Times New Roman"/>
          <w:b/>
          <w:color w:val="1E3A5F"/>
          <w:sz w:val="28"/>
        </w:rPr>
        <w:t>4.6 Functional Requirements</w:t>
      </w:r>
    </w:p>
    <w:p>
      <w:pPr>
        <w:spacing w:before="0" w:after="120" w:line="276" w:lineRule="auto"/>
        <w:jc w:val="both"/>
      </w:pPr>
      <w:r>
        <w:rPr>
          <w:rFonts w:ascii="Times New Roman" w:hAnsi="Times New Roman"/>
          <w:b w:val="0"/>
          <w:i w:val="0"/>
          <w:sz w:val="24"/>
        </w:rPr>
        <w:t>Functional requirements define the specific operational actions, cryptographic transformations, and state services that the PharmaTrust system executes for its users:</w:t>
      </w:r>
    </w:p>
    <w:p>
      <w:pPr>
        <w:spacing w:before="160" w:after="40" w:line="276" w:lineRule="auto"/>
        <w:jc w:val="left"/>
      </w:pPr>
      <w:r>
        <w:rPr>
          <w:rFonts w:ascii="Times New Roman" w:hAnsi="Times New Roman"/>
          <w:b/>
          <w:color w:val="333333"/>
          <w:sz w:val="24"/>
        </w:rPr>
        <w:t>4.6.1 Batch Creation and Tokenization</w:t>
      </w:r>
    </w:p>
    <w:p>
      <w:pPr>
        <w:spacing w:before="0" w:after="120" w:line="276" w:lineRule="auto"/>
        <w:jc w:val="both"/>
      </w:pPr>
      <w:r>
        <w:rPr>
          <w:rFonts w:ascii="Times New Roman" w:hAnsi="Times New Roman"/>
          <w:b w:val="0"/>
          <w:i w:val="0"/>
          <w:sz w:val="24"/>
        </w:rPr>
        <w:t>● Purpose: Enable verified pharmaceutical manufacturers to mint digital twin ERC-721 tokens representing newly packaged drug batches.</w:t>
        <w:br/>
        <w:t>● Input: Batch Identifier (String), Expiry Date (YYYY-MM-DD), Drug Description, Unit Count, Manufacturer Address.</w:t>
        <w:br/>
        <w:t>● Output: Newly incremented `tokenId` on Polygon Amoy, transaction hash on Polygonscan, and immutable metadata pinned to IPFS.</w:t>
      </w:r>
    </w:p>
    <w:p>
      <w:pPr>
        <w:spacing w:before="160" w:after="40" w:line="276" w:lineRule="auto"/>
        <w:jc w:val="left"/>
      </w:pPr>
      <w:r>
        <w:rPr>
          <w:rFonts w:ascii="Times New Roman" w:hAnsi="Times New Roman"/>
          <w:b/>
          <w:color w:val="333333"/>
          <w:sz w:val="24"/>
        </w:rPr>
        <w:t>4.6.2 Role-Based State Machine Custody Transfers</w:t>
      </w:r>
    </w:p>
    <w:p>
      <w:pPr>
        <w:spacing w:before="0" w:after="120" w:line="276" w:lineRule="auto"/>
        <w:jc w:val="both"/>
      </w:pPr>
      <w:r>
        <w:rPr>
          <w:rFonts w:ascii="Times New Roman" w:hAnsi="Times New Roman"/>
          <w:b w:val="0"/>
          <w:i w:val="0"/>
          <w:sz w:val="24"/>
        </w:rPr>
        <w:t>● Purpose: Enforce regulatory custody transitions across authenticated supply chain intermediaries.</w:t>
        <w:br/>
        <w:t>● Input: Selected Parent `tokenId`, Recipient Wallet Address, Next Role Selection.</w:t>
        <w:br/>
        <w:t>● Output: Updated `ownerOf(tokenId)` state on blockchain, emitted `BatchTransferred` event, and synchronized MongoDB off-chain document.</w:t>
      </w:r>
    </w:p>
    <w:p>
      <w:pPr>
        <w:spacing w:before="160" w:after="40" w:line="276" w:lineRule="auto"/>
        <w:jc w:val="left"/>
      </w:pPr>
      <w:r>
        <w:rPr>
          <w:rFonts w:ascii="Times New Roman" w:hAnsi="Times New Roman"/>
          <w:b/>
          <w:color w:val="333333"/>
          <w:sz w:val="24"/>
        </w:rPr>
        <w:t>4.6.3 Dynamic QR Code Generation and Zero-Gas Public Verification</w:t>
      </w:r>
    </w:p>
    <w:p>
      <w:pPr>
        <w:spacing w:before="0" w:after="120" w:line="276" w:lineRule="auto"/>
        <w:jc w:val="both"/>
      </w:pPr>
      <w:r>
        <w:rPr>
          <w:rFonts w:ascii="Times New Roman" w:hAnsi="Times New Roman"/>
          <w:b w:val="0"/>
          <w:i w:val="0"/>
          <w:sz w:val="24"/>
        </w:rPr>
        <w:t>● Purpose: Generate cryptographic packaging codes and enable gas-free consumer provenance audits.</w:t>
        <w:br/>
        <w:t>● Input: Camera video feed or scanned QR payload.</w:t>
        <w:br/>
        <w:t>● Output: Instant display of complete provenance trail (Manufacturer -&gt; Distributor -&gt; Retailer -&gt; Pharmacy), batch status (`Clear` or `Counterfeit Flagged`), and expiration validation.</w:t>
      </w:r>
    </w:p>
    <w:p>
      <w:r>
        <w:br w:type="page"/>
      </w:r>
    </w:p>
    <w:p>
      <w:pPr>
        <w:spacing w:before="240" w:after="120" w:line="276" w:lineRule="auto"/>
        <w:jc w:val="left"/>
      </w:pPr>
      <w:r>
        <w:rPr>
          <w:rFonts w:ascii="Times New Roman" w:hAnsi="Times New Roman"/>
          <w:b/>
          <w:color w:val="1E3A5F"/>
          <w:sz w:val="28"/>
        </w:rPr>
        <w:t>4.7 Non-Functional Requirements</w:t>
      </w:r>
    </w:p>
    <w:p>
      <w:pPr>
        <w:spacing w:before="0" w:after="120" w:line="276" w:lineRule="auto"/>
        <w:jc w:val="both"/>
      </w:pPr>
      <w:r>
        <w:rPr>
          <w:rFonts w:ascii="Times New Roman" w:hAnsi="Times New Roman"/>
          <w:b w:val="0"/>
          <w:i w:val="0"/>
          <w:sz w:val="24"/>
        </w:rPr>
        <w:t>Non-functional requirements specify the quality attributes, security standards, and operational criteria governing system performance:</w:t>
      </w:r>
    </w:p>
    <w:p>
      <w:pPr>
        <w:spacing w:before="0" w:after="120" w:line="276" w:lineRule="auto"/>
        <w:jc w:val="both"/>
      </w:pPr>
      <w:r>
        <w:rPr>
          <w:rFonts w:ascii="Times New Roman" w:hAnsi="Times New Roman"/>
          <w:b w:val="0"/>
          <w:i w:val="0"/>
          <w:sz w:val="24"/>
        </w:rPr>
        <w:t>1. Immutability &amp; Auditability: Once a custody transition is verified by Polygon PoS validators, the transaction record cannot be altered, deleted, or back-dated by any participant or administrator.</w:t>
      </w:r>
    </w:p>
    <w:p>
      <w:pPr>
        <w:spacing w:before="0" w:after="120" w:line="276" w:lineRule="auto"/>
        <w:jc w:val="both"/>
      </w:pPr>
      <w:r>
        <w:rPr>
          <w:rFonts w:ascii="Times New Roman" w:hAnsi="Times New Roman"/>
          <w:b w:val="0"/>
          <w:i w:val="0"/>
          <w:sz w:val="24"/>
        </w:rPr>
        <w:t>2. Low Latency &amp; High Responsiveness: Read queries executed during QR verification must resolve in less than 1.5 seconds. Polygon Amoy state confirmation must finalize within 2 to 4 seconds.</w:t>
      </w:r>
    </w:p>
    <w:p>
      <w:pPr>
        <w:spacing w:before="0" w:after="120" w:line="276" w:lineRule="auto"/>
        <w:jc w:val="both"/>
      </w:pPr>
      <w:r>
        <w:rPr>
          <w:rFonts w:ascii="Times New Roman" w:hAnsi="Times New Roman"/>
          <w:b w:val="0"/>
          <w:i w:val="0"/>
          <w:sz w:val="24"/>
        </w:rPr>
        <w:t>3. Gas Economy &amp; Cost Viability: The computational complexity of smart contracts must remain optimized such that minting and transfer operations cost under $0.001 USD per transaction.</w:t>
      </w:r>
    </w:p>
    <w:p>
      <w:pPr>
        <w:spacing w:before="0" w:after="120" w:line="276" w:lineRule="auto"/>
        <w:jc w:val="both"/>
      </w:pPr>
      <w:r>
        <w:rPr>
          <w:rFonts w:ascii="Times New Roman" w:hAnsi="Times New Roman"/>
          <w:b w:val="0"/>
          <w:i w:val="0"/>
          <w:sz w:val="24"/>
        </w:rPr>
        <w:t>4. Usability: Web3 interfaces must abstract raw blockchain primitives, providing clean visual badges, status indicators, and clear transaction receipt links.</w:t>
      </w:r>
    </w:p>
    <w:p>
      <w:pPr>
        <w:spacing w:before="280" w:after="120" w:line="276" w:lineRule="auto"/>
        <w:jc w:val="left"/>
      </w:pPr>
      <w:r>
        <w:rPr>
          <w:rFonts w:ascii="Times New Roman" w:hAnsi="Times New Roman"/>
          <w:b/>
          <w:color w:val="1E3A5F"/>
          <w:sz w:val="32"/>
        </w:rPr>
        <w:t>5. High-Level System Design</w:t>
      </w:r>
    </w:p>
    <w:p>
      <w:pPr>
        <w:spacing w:before="160" w:after="80" w:line="276" w:lineRule="auto"/>
        <w:jc w:val="left"/>
      </w:pPr>
      <w:r>
        <w:rPr>
          <w:rFonts w:ascii="Times New Roman" w:hAnsi="Times New Roman"/>
          <w:b/>
          <w:color w:val="1E3A5F"/>
          <w:sz w:val="28"/>
        </w:rPr>
        <w:t>5.1 System Architecture Plan</w:t>
      </w:r>
    </w:p>
    <w:p>
      <w:pPr>
        <w:spacing w:before="0" w:after="120" w:line="276" w:lineRule="auto"/>
        <w:jc w:val="both"/>
      </w:pPr>
      <w:r>
        <w:rPr>
          <w:rFonts w:ascii="Times New Roman" w:hAnsi="Times New Roman"/>
          <w:b w:val="0"/>
          <w:i w:val="0"/>
          <w:sz w:val="24"/>
        </w:rPr>
        <w:t>The high-level architecture of PharmaTrust is organized into four decoupled, interoperable tiers: Client Layer, Middleware Layer, Blockchain Smart Contract Layer, and Decentralized Persistence Layer, as illustrated in Figure 2.</w:t>
      </w:r>
    </w:p>
    <w:p>
      <w:pPr>
        <w:spacing w:before="80" w:after="40"/>
        <w:jc w:val="center"/>
      </w:pPr>
      <w:r>
        <w:drawing>
          <wp:inline xmlns:a="http://schemas.openxmlformats.org/drawingml/2006/main" xmlns:pic="http://schemas.openxmlformats.org/drawingml/2006/picture">
            <wp:extent cx="4572000" cy="3214777"/>
            <wp:docPr id="3" name="Picture 3"/>
            <wp:cNvGraphicFramePr>
              <a:graphicFrameLocks noChangeAspect="1"/>
            </wp:cNvGraphicFramePr>
            <a:graphic>
              <a:graphicData uri="http://schemas.openxmlformats.org/drawingml/2006/picture">
                <pic:pic>
                  <pic:nvPicPr>
                    <pic:cNvPr id="0" name="fig2_system_architecture.png"/>
                    <pic:cNvPicPr/>
                  </pic:nvPicPr>
                  <pic:blipFill>
                    <a:blip r:embed="rId11"/>
                    <a:stretch>
                      <a:fillRect/>
                    </a:stretch>
                  </pic:blipFill>
                  <pic:spPr>
                    <a:xfrm>
                      <a:off x="0" y="0"/>
                      <a:ext cx="4572000" cy="3214777"/>
                    </a:xfrm>
                    <a:prstGeom prst="rect"/>
                  </pic:spPr>
                </pic:pic>
              </a:graphicData>
            </a:graphic>
          </wp:inline>
        </w:drawing>
      </w:r>
    </w:p>
    <w:p>
      <w:pPr>
        <w:spacing w:after="200"/>
        <w:jc w:val="center"/>
      </w:pPr>
      <w:r>
        <w:rPr>
          <w:i/>
        </w:rPr>
        <w:t>Fig 2. System Architecture Plan of PharmaTrust Platform</w:t>
      </w:r>
    </w:p>
    <w:p>
      <w:pPr>
        <w:spacing w:before="160" w:after="80" w:line="276" w:lineRule="auto"/>
        <w:jc w:val="left"/>
      </w:pPr>
      <w:r>
        <w:rPr>
          <w:rFonts w:ascii="Times New Roman" w:hAnsi="Times New Roman"/>
          <w:b/>
          <w:color w:val="1E3A5F"/>
          <w:sz w:val="28"/>
        </w:rPr>
        <w:t>5.2 Data Flow Diagram</w:t>
      </w:r>
    </w:p>
    <w:p>
      <w:pPr>
        <w:spacing w:before="0" w:after="120" w:line="276" w:lineRule="auto"/>
        <w:jc w:val="both"/>
      </w:pPr>
      <w:r>
        <w:rPr>
          <w:rFonts w:ascii="Times New Roman" w:hAnsi="Times New Roman"/>
          <w:b w:val="0"/>
          <w:i w:val="0"/>
          <w:sz w:val="24"/>
        </w:rPr>
        <w:t>Figure 3 details the end-to-end Data Flow Diagram (DFD Level 1) tracing the transformation of physical batch details into on-chain cryptographic tokens and downstream consumer verification.</w:t>
      </w:r>
    </w:p>
    <w:p>
      <w:pPr>
        <w:spacing w:before="80" w:after="40"/>
        <w:jc w:val="center"/>
      </w:pPr>
      <w:r>
        <w:drawing>
          <wp:inline xmlns:a="http://schemas.openxmlformats.org/drawingml/2006/main" xmlns:pic="http://schemas.openxmlformats.org/drawingml/2006/picture">
            <wp:extent cx="4572000" cy="2771955"/>
            <wp:docPr id="4" name="Picture 4"/>
            <wp:cNvGraphicFramePr>
              <a:graphicFrameLocks noChangeAspect="1"/>
            </wp:cNvGraphicFramePr>
            <a:graphic>
              <a:graphicData uri="http://schemas.openxmlformats.org/drawingml/2006/picture">
                <pic:pic>
                  <pic:nvPicPr>
                    <pic:cNvPr id="0" name="fig3_data_flow_diagram.png"/>
                    <pic:cNvPicPr/>
                  </pic:nvPicPr>
                  <pic:blipFill>
                    <a:blip r:embed="rId12"/>
                    <a:stretch>
                      <a:fillRect/>
                    </a:stretch>
                  </pic:blipFill>
                  <pic:spPr>
                    <a:xfrm>
                      <a:off x="0" y="0"/>
                      <a:ext cx="4572000" cy="2771955"/>
                    </a:xfrm>
                    <a:prstGeom prst="rect"/>
                  </pic:spPr>
                </pic:pic>
              </a:graphicData>
            </a:graphic>
          </wp:inline>
        </w:drawing>
      </w:r>
    </w:p>
    <w:p>
      <w:pPr>
        <w:spacing w:after="200"/>
        <w:jc w:val="center"/>
      </w:pPr>
      <w:r>
        <w:rPr>
          <w:i/>
        </w:rPr>
        <w:t>Fig 3. Data Flow Diagram (DFD Level 1)</w:t>
      </w:r>
    </w:p>
    <w:p>
      <w:r>
        <w:br w:type="page"/>
      </w:r>
    </w:p>
    <w:p>
      <w:pPr>
        <w:spacing w:before="240" w:after="120" w:line="276" w:lineRule="auto"/>
        <w:jc w:val="left"/>
      </w:pPr>
      <w:r>
        <w:rPr>
          <w:rFonts w:ascii="Times New Roman" w:hAnsi="Times New Roman"/>
          <w:b/>
          <w:color w:val="1E3A5F"/>
          <w:sz w:val="28"/>
        </w:rPr>
        <w:t>5.3 State Chart Diagram</w:t>
      </w:r>
    </w:p>
    <w:p>
      <w:pPr>
        <w:spacing w:before="0" w:after="120" w:line="276" w:lineRule="auto"/>
        <w:jc w:val="both"/>
      </w:pPr>
      <w:r>
        <w:rPr>
          <w:rFonts w:ascii="Times New Roman" w:hAnsi="Times New Roman"/>
          <w:b w:val="0"/>
          <w:i w:val="0"/>
          <w:sz w:val="24"/>
        </w:rPr>
        <w:t>The lifecycle of every pharmaceutical batch is governed by a finite state machine enforced by smart contract modifiers. As illustrated in Figure 4, batches transition sequentially across certified supply chain roles.</w:t>
      </w:r>
    </w:p>
    <w:p>
      <w:pPr>
        <w:spacing w:before="80" w:after="40"/>
        <w:jc w:val="center"/>
      </w:pPr>
      <w:r>
        <w:drawing>
          <wp:inline xmlns:a="http://schemas.openxmlformats.org/drawingml/2006/main" xmlns:pic="http://schemas.openxmlformats.org/drawingml/2006/picture">
            <wp:extent cx="4572000" cy="2278499"/>
            <wp:docPr id="5" name="Picture 5"/>
            <wp:cNvGraphicFramePr>
              <a:graphicFrameLocks noChangeAspect="1"/>
            </wp:cNvGraphicFramePr>
            <a:graphic>
              <a:graphicData uri="http://schemas.openxmlformats.org/drawingml/2006/picture">
                <pic:pic>
                  <pic:nvPicPr>
                    <pic:cNvPr id="0" name="fig4_state_chart_diagram.png"/>
                    <pic:cNvPicPr/>
                  </pic:nvPicPr>
                  <pic:blipFill>
                    <a:blip r:embed="rId13"/>
                    <a:stretch>
                      <a:fillRect/>
                    </a:stretch>
                  </pic:blipFill>
                  <pic:spPr>
                    <a:xfrm>
                      <a:off x="0" y="0"/>
                      <a:ext cx="4572000" cy="2278499"/>
                    </a:xfrm>
                    <a:prstGeom prst="rect"/>
                  </pic:spPr>
                </pic:pic>
              </a:graphicData>
            </a:graphic>
          </wp:inline>
        </w:drawing>
      </w:r>
    </w:p>
    <w:p>
      <w:pPr>
        <w:spacing w:after="240"/>
        <w:jc w:val="center"/>
      </w:pPr>
      <w:r>
        <w:rPr>
          <w:i/>
        </w:rPr>
        <w:t>Fig 4. State Chart Diagram of Batch Custody Lifecycle</w:t>
      </w:r>
    </w:p>
    <w:p>
      <w:pPr>
        <w:spacing w:before="240" w:after="120" w:line="276" w:lineRule="auto"/>
        <w:jc w:val="left"/>
      </w:pPr>
      <w:r>
        <w:rPr>
          <w:rFonts w:ascii="Times New Roman" w:hAnsi="Times New Roman"/>
          <w:b/>
          <w:color w:val="1E3A5F"/>
          <w:sz w:val="28"/>
        </w:rPr>
        <w:t>5.4 Activity Diagram</w:t>
      </w:r>
    </w:p>
    <w:p>
      <w:pPr>
        <w:spacing w:before="0" w:after="120" w:line="276" w:lineRule="auto"/>
        <w:jc w:val="both"/>
      </w:pPr>
      <w:r>
        <w:rPr>
          <w:rFonts w:ascii="Times New Roman" w:hAnsi="Times New Roman"/>
          <w:b w:val="0"/>
          <w:i w:val="0"/>
          <w:sz w:val="24"/>
        </w:rPr>
        <w:t>Figure 5 illustrates the Activity Diagram detailing the operational flow during pharmaceutical batch registration, cryptographic hashing, IPFS upload, and on-chain tokenization.</w:t>
      </w:r>
    </w:p>
    <w:p>
      <w:pPr>
        <w:spacing w:before="80" w:after="40"/>
        <w:jc w:val="center"/>
      </w:pPr>
      <w:r>
        <w:drawing>
          <wp:inline xmlns:a="http://schemas.openxmlformats.org/drawingml/2006/main" xmlns:pic="http://schemas.openxmlformats.org/drawingml/2006/picture">
            <wp:extent cx="4114800" cy="4089082"/>
            <wp:docPr id="6" name="Picture 6"/>
            <wp:cNvGraphicFramePr>
              <a:graphicFrameLocks noChangeAspect="1"/>
            </wp:cNvGraphicFramePr>
            <a:graphic>
              <a:graphicData uri="http://schemas.openxmlformats.org/drawingml/2006/picture">
                <pic:pic>
                  <pic:nvPicPr>
                    <pic:cNvPr id="0" name="fig5_activity_diagram.png"/>
                    <pic:cNvPicPr/>
                  </pic:nvPicPr>
                  <pic:blipFill>
                    <a:blip r:embed="rId14"/>
                    <a:stretch>
                      <a:fillRect/>
                    </a:stretch>
                  </pic:blipFill>
                  <pic:spPr>
                    <a:xfrm>
                      <a:off x="0" y="0"/>
                      <a:ext cx="4114800" cy="4089082"/>
                    </a:xfrm>
                    <a:prstGeom prst="rect"/>
                  </pic:spPr>
                </pic:pic>
              </a:graphicData>
            </a:graphic>
          </wp:inline>
        </w:drawing>
      </w:r>
    </w:p>
    <w:p>
      <w:pPr>
        <w:spacing w:after="240"/>
        <w:jc w:val="center"/>
      </w:pPr>
      <w:r>
        <w:rPr>
          <w:i/>
        </w:rPr>
        <w:t>Fig 5. Activity Diagram for Batch Minting and Verification</w:t>
      </w:r>
    </w:p>
    <w:p>
      <w:r>
        <w:br w:type="page"/>
      </w:r>
    </w:p>
    <w:p>
      <w:pPr>
        <w:spacing w:before="240" w:after="120" w:line="276" w:lineRule="auto"/>
        <w:jc w:val="left"/>
      </w:pPr>
      <w:r>
        <w:rPr>
          <w:rFonts w:ascii="Times New Roman" w:hAnsi="Times New Roman"/>
          <w:b/>
          <w:color w:val="1E3A5F"/>
          <w:sz w:val="28"/>
        </w:rPr>
        <w:t>5.5 Sequence Diagram</w:t>
      </w:r>
    </w:p>
    <w:p>
      <w:pPr>
        <w:spacing w:before="0" w:after="120" w:line="276" w:lineRule="auto"/>
        <w:jc w:val="both"/>
      </w:pPr>
      <w:r>
        <w:rPr>
          <w:rFonts w:ascii="Times New Roman" w:hAnsi="Times New Roman"/>
          <w:b w:val="0"/>
          <w:i w:val="0"/>
          <w:sz w:val="24"/>
        </w:rPr>
        <w:t>Figure 6 depicts the UML Sequence Diagram illustrating chronological interactions between the human stakeholder, React Web3 frontend, MetaMask wallet signer, and the Polygon Amoy smart contract.</w:t>
      </w:r>
    </w:p>
    <w:p>
      <w:pPr>
        <w:spacing w:before="80" w:after="40"/>
        <w:jc w:val="center"/>
      </w:pPr>
      <w:r>
        <w:drawing>
          <wp:inline xmlns:a="http://schemas.openxmlformats.org/drawingml/2006/main" xmlns:pic="http://schemas.openxmlformats.org/drawingml/2006/picture">
            <wp:extent cx="4572000" cy="2719845"/>
            <wp:docPr id="7" name="Picture 7"/>
            <wp:cNvGraphicFramePr>
              <a:graphicFrameLocks noChangeAspect="1"/>
            </wp:cNvGraphicFramePr>
            <a:graphic>
              <a:graphicData uri="http://schemas.openxmlformats.org/drawingml/2006/picture">
                <pic:pic>
                  <pic:nvPicPr>
                    <pic:cNvPr id="0" name="fig6_sequence_diagram.png"/>
                    <pic:cNvPicPr/>
                  </pic:nvPicPr>
                  <pic:blipFill>
                    <a:blip r:embed="rId15"/>
                    <a:stretch>
                      <a:fillRect/>
                    </a:stretch>
                  </pic:blipFill>
                  <pic:spPr>
                    <a:xfrm>
                      <a:off x="0" y="0"/>
                      <a:ext cx="4572000" cy="2719845"/>
                    </a:xfrm>
                    <a:prstGeom prst="rect"/>
                  </pic:spPr>
                </pic:pic>
              </a:graphicData>
            </a:graphic>
          </wp:inline>
        </w:drawing>
      </w:r>
    </w:p>
    <w:p>
      <w:pPr>
        <w:spacing w:after="240"/>
        <w:jc w:val="center"/>
      </w:pPr>
      <w:r>
        <w:rPr>
          <w:i/>
        </w:rPr>
        <w:t>Fig 6. Sequence Diagram of Custody Transfer via MetaMask</w:t>
      </w:r>
    </w:p>
    <w:p>
      <w:pPr>
        <w:spacing w:before="240" w:after="120" w:line="276" w:lineRule="auto"/>
        <w:jc w:val="left"/>
      </w:pPr>
      <w:r>
        <w:rPr>
          <w:rFonts w:ascii="Times New Roman" w:hAnsi="Times New Roman"/>
          <w:b/>
          <w:color w:val="1E3A5F"/>
          <w:sz w:val="28"/>
        </w:rPr>
        <w:t>5.6 Project Plan and Timeline Chart</w:t>
      </w:r>
    </w:p>
    <w:p>
      <w:pPr>
        <w:spacing w:before="0" w:after="120" w:line="276" w:lineRule="auto"/>
        <w:jc w:val="both"/>
      </w:pPr>
      <w:r>
        <w:rPr>
          <w:rFonts w:ascii="Times New Roman" w:hAnsi="Times New Roman"/>
          <w:b w:val="0"/>
          <w:i w:val="0"/>
          <w:sz w:val="24"/>
        </w:rPr>
        <w:t>The project development timeline spans across 16 weeks as detailed in Table 6.</w:t>
      </w:r>
    </w:p>
    <w:tbl>
      <w:tblPr>
        <w:tblW w:type="auto" w:w="0"/>
        <w:jc w:val="center"/>
        <w:tblLook w:firstColumn="1" w:firstRow="1" w:lastColumn="0" w:lastRow="0" w:noHBand="0" w:noVBand="1" w:val="04A0"/>
      </w:tblPr>
      <w:tblGrid>
        <w:gridCol w:w="2167"/>
        <w:gridCol w:w="2167"/>
        <w:gridCol w:w="2167"/>
        <w:gridCol w:w="2167"/>
      </w:tblGrid>
      <w:tr>
        <w:tc>
          <w:tcPr>
            <w:tcW w:type="dxa" w:w="864"/>
            <w:shd w:fill="E2E8F0"/>
          </w:tcPr>
          <w:p>
            <w:pPr>
              <w:jc w:val="center"/>
            </w:pPr>
            <w:r>
              <w:rPr>
                <w:b/>
                <w:sz w:val="19"/>
              </w:rPr>
              <w:t>Sr. No.</w:t>
            </w:r>
          </w:p>
        </w:tc>
        <w:tc>
          <w:tcPr>
            <w:tcW w:type="dxa" w:w="5184"/>
            <w:shd w:fill="E2E8F0"/>
          </w:tcPr>
          <w:p>
            <w:pPr>
              <w:jc w:val="center"/>
            </w:pPr>
            <w:r>
              <w:rPr>
                <w:b/>
                <w:sz w:val="19"/>
              </w:rPr>
              <w:t>Project Phase</w:t>
            </w:r>
          </w:p>
        </w:tc>
        <w:tc>
          <w:tcPr>
            <w:tcW w:type="dxa" w:w="1872"/>
            <w:shd w:fill="E2E8F0"/>
          </w:tcPr>
          <w:p>
            <w:pPr>
              <w:jc w:val="center"/>
            </w:pPr>
            <w:r>
              <w:rPr>
                <w:b/>
                <w:sz w:val="19"/>
              </w:rPr>
              <w:t>Duration</w:t>
            </w:r>
          </w:p>
        </w:tc>
        <w:tc>
          <w:tcPr>
            <w:tcW w:type="dxa" w:w="2160"/>
            <w:shd w:fill="E2E8F0"/>
          </w:tcPr>
          <w:p>
            <w:pPr>
              <w:jc w:val="center"/>
            </w:pPr>
            <w:r>
              <w:rPr>
                <w:b/>
                <w:sz w:val="19"/>
              </w:rPr>
              <w:t>Month</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Problem Formulation &amp; Literature Review</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14 days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July 2026</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2</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Architecture Specification &amp; Security Modeling</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10 days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July 2026</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3</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Solidity Smart Contract Development</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18 days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August 2026</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4</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Local Hardhat Testing &amp; Contract Verification</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12 days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August 2026</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5</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Polygon Amoy Deployment &amp; Multi-Role Setup</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10 days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September 2026</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6</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React.js 18 Web3 Interface &amp; Ethers.js v6</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16 days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September 2026</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7</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Hybrid Off-Chain MongoDB &amp; IPFS Integration</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12 days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September 2026</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8</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Zero-Gas QR Scanner &amp; Public Portal</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10 days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October 2026</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9</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Empirical Gas &amp; Latency Benchmarking</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8 days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October 2026</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10</w:t>
            </w:r>
          </w:p>
        </w:tc>
        <w:tc>
          <w:tcPr>
            <w:tcW w:type="dxa" w:w="5184"/>
            <w:tcBorders>
              <w:top w:val="single" w:sz="4" w:space="0" w:color="CCCCCC"/>
              <w:bottom w:val="single" w:sz="4" w:space="0" w:color="CCCCCC"/>
              <w:left w:val="single" w:sz="4" w:space="0" w:color="CCCCCC"/>
              <w:right w:val="single" w:sz="4" w:space="0" w:color="CCCCCC"/>
            </w:tcBorders>
          </w:tcPr>
          <w:p>
            <w:pPr>
              <w:spacing w:after="40" w:line="252" w:lineRule="auto"/>
            </w:pPr>
            <w:r>
              <w:rPr>
                <w:sz w:val="18"/>
              </w:rPr>
              <w:t>Final Documentation &amp; Review Submission</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12 days</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8"/>
              </w:rPr>
              <w:t>October 2026</w:t>
            </w:r>
          </w:p>
        </w:tc>
      </w:tr>
    </w:tbl>
    <w:p>
      <w:pPr>
        <w:spacing w:before="80" w:after="240" w:line="276" w:lineRule="auto"/>
        <w:jc w:val="center"/>
      </w:pPr>
      <w:r>
        <w:rPr>
          <w:rFonts w:ascii="Times New Roman" w:hAnsi="Times New Roman"/>
          <w:b w:val="0"/>
          <w:i/>
          <w:sz w:val="24"/>
        </w:rPr>
        <w:t>Table 6. Project Implementation Timeline</w:t>
      </w:r>
    </w:p>
    <w:p>
      <w:r>
        <w:br w:type="page"/>
      </w:r>
    </w:p>
    <w:p>
      <w:pPr>
        <w:spacing w:before="240" w:after="120" w:line="276" w:lineRule="auto"/>
        <w:jc w:val="left"/>
      </w:pPr>
      <w:r>
        <w:rPr>
          <w:rFonts w:ascii="Times New Roman" w:hAnsi="Times New Roman"/>
          <w:b/>
          <w:color w:val="333333"/>
          <w:sz w:val="24"/>
        </w:rPr>
        <w:t>5.6 Project Plan and Timeline Chart (Continued)</w:t>
      </w:r>
    </w:p>
    <w:p>
      <w:pPr>
        <w:spacing w:before="80" w:after="40"/>
        <w:jc w:val="center"/>
      </w:pPr>
      <w:r>
        <w:drawing>
          <wp:inline xmlns:a="http://schemas.openxmlformats.org/drawingml/2006/main" xmlns:pic="http://schemas.openxmlformats.org/drawingml/2006/picture">
            <wp:extent cx="5029200" cy="1997693"/>
            <wp:docPr id="8" name="Picture 8"/>
            <wp:cNvGraphicFramePr>
              <a:graphicFrameLocks noChangeAspect="1"/>
            </wp:cNvGraphicFramePr>
            <a:graphic>
              <a:graphicData uri="http://schemas.openxmlformats.org/drawingml/2006/picture">
                <pic:pic>
                  <pic:nvPicPr>
                    <pic:cNvPr id="0" name="fig7_gantt_chart.png"/>
                    <pic:cNvPicPr/>
                  </pic:nvPicPr>
                  <pic:blipFill>
                    <a:blip r:embed="rId16"/>
                    <a:stretch>
                      <a:fillRect/>
                    </a:stretch>
                  </pic:blipFill>
                  <pic:spPr>
                    <a:xfrm>
                      <a:off x="0" y="0"/>
                      <a:ext cx="5029200" cy="1997693"/>
                    </a:xfrm>
                    <a:prstGeom prst="rect"/>
                  </pic:spPr>
                </pic:pic>
              </a:graphicData>
            </a:graphic>
          </wp:inline>
        </w:drawing>
      </w:r>
    </w:p>
    <w:p>
      <w:pPr>
        <w:spacing w:after="240"/>
        <w:jc w:val="center"/>
      </w:pPr>
      <w:r>
        <w:rPr>
          <w:i/>
        </w:rPr>
        <w:t>Fig 7. Project Implementation Gantt Chart</w:t>
      </w:r>
    </w:p>
    <w:p>
      <w:pPr>
        <w:spacing w:before="280" w:after="120" w:line="276" w:lineRule="auto"/>
        <w:jc w:val="left"/>
      </w:pPr>
      <w:r>
        <w:rPr>
          <w:rFonts w:ascii="Times New Roman" w:hAnsi="Times New Roman"/>
          <w:b/>
          <w:color w:val="1E3A5F"/>
          <w:sz w:val="32"/>
        </w:rPr>
        <w:t>6. Implementation and Explanation</w:t>
      </w:r>
    </w:p>
    <w:p>
      <w:pPr>
        <w:spacing w:before="160" w:after="80" w:line="276" w:lineRule="auto"/>
        <w:jc w:val="left"/>
      </w:pPr>
      <w:r>
        <w:rPr>
          <w:rFonts w:ascii="Times New Roman" w:hAnsi="Times New Roman"/>
          <w:b/>
          <w:color w:val="1E3A5F"/>
          <w:sz w:val="28"/>
        </w:rPr>
        <w:t>6.1 Dataset Processing and Smart Contract Architecture</w:t>
      </w:r>
    </w:p>
    <w:p>
      <w:pPr>
        <w:spacing w:before="0" w:after="120" w:line="276" w:lineRule="auto"/>
        <w:jc w:val="both"/>
      </w:pPr>
      <w:r>
        <w:rPr>
          <w:rFonts w:ascii="Times New Roman" w:hAnsi="Times New Roman"/>
          <w:b w:val="0"/>
          <w:i w:val="0"/>
          <w:sz w:val="24"/>
        </w:rPr>
        <w:t>The implementation phase translated the formal software specification into fully functional, production-ready software components. The system was structured into four core empirical evaluation samples representing real-world pharmaceutical test batches:</w:t>
      </w:r>
    </w:p>
    <w:p>
      <w:pPr>
        <w:spacing w:before="0" w:after="120" w:line="276" w:lineRule="auto"/>
        <w:jc w:val="both"/>
      </w:pPr>
      <w:r>
        <w:rPr>
          <w:rFonts w:ascii="Times New Roman" w:hAnsi="Times New Roman"/>
          <w:b w:val="0"/>
          <w:i w:val="0"/>
          <w:sz w:val="24"/>
        </w:rPr>
        <w:t>● Sample 1[A]: Master Manufacturing Batch (BATCH-DRREDDYS-992) tokenized by certified Manufacturer.</w:t>
      </w:r>
    </w:p>
    <w:p>
      <w:pPr>
        <w:spacing w:before="0" w:after="120" w:line="276" w:lineRule="auto"/>
        <w:jc w:val="both"/>
      </w:pPr>
      <w:r>
        <w:rPr>
          <w:rFonts w:ascii="Times New Roman" w:hAnsi="Times New Roman"/>
          <w:b w:val="0"/>
          <w:i w:val="0"/>
          <w:sz w:val="24"/>
        </w:rPr>
        <w:t>● Sample 2[B]: Multi-Hop Role Transfer (BATCH-CIPLA-2026) moving from Manufacturer to Distributor to Retailer.</w:t>
      </w:r>
    </w:p>
    <w:p>
      <w:pPr>
        <w:spacing w:before="0" w:after="120" w:line="276" w:lineRule="auto"/>
        <w:jc w:val="both"/>
      </w:pPr>
      <w:r>
        <w:rPr>
          <w:rFonts w:ascii="Times New Roman" w:hAnsi="Times New Roman"/>
          <w:b w:val="0"/>
          <w:i w:val="0"/>
          <w:sz w:val="24"/>
        </w:rPr>
        <w:t>● Sample 3[C]: Parent-Child Hierarchical Consignment (BATCH-SUNPHARMA-001) with 5 linked child blister units.</w:t>
      </w:r>
    </w:p>
    <w:p>
      <w:pPr>
        <w:spacing w:before="0" w:after="120" w:line="276" w:lineRule="auto"/>
        <w:jc w:val="both"/>
      </w:pPr>
      <w:r>
        <w:rPr>
          <w:rFonts w:ascii="Times New Roman" w:hAnsi="Times New Roman"/>
          <w:b w:val="0"/>
          <w:i w:val="0"/>
          <w:sz w:val="24"/>
        </w:rPr>
        <w:t>● Sample 4[D]: Counterfeit Flagging and Recall Simulation (BATCH-LUPIN-CHILD-01) tested for tamper detection.</w:t>
      </w:r>
    </w:p>
    <w:p>
      <w:pPr>
        <w:spacing w:before="160" w:after="120" w:line="276" w:lineRule="auto"/>
        <w:jc w:val="both"/>
      </w:pPr>
      <w:r>
        <w:rPr>
          <w:rFonts w:ascii="Times New Roman" w:hAnsi="Times New Roman"/>
          <w:b/>
          <w:i w:val="0"/>
          <w:sz w:val="24"/>
        </w:rPr>
        <w:t>Sample 1[A]: Master Batch Registration and Cryptographic Tokenization</w:t>
      </w:r>
    </w:p>
    <w:p>
      <w:pPr>
        <w:spacing w:before="0" w:after="120" w:line="276" w:lineRule="auto"/>
        <w:jc w:val="both"/>
      </w:pPr>
      <w:r>
        <w:rPr>
          <w:rFonts w:ascii="Times New Roman" w:hAnsi="Times New Roman"/>
          <w:b w:val="0"/>
          <w:i w:val="0"/>
          <w:sz w:val="24"/>
        </w:rPr>
        <w:t>Batch Name: BATCH-DRREDDYS-992</w:t>
        <w:br/>
        <w:t>Manufacturer: Sun Pharma Industries Ltd. (0x093F8CA5f70Dd1dbC39Df1A30F2F0D8Ab05B8510)</w:t>
        <w:br/>
        <w:t>Formulation: Paracetamol IP 500mg, Batch Size: 10,000 Units, Expiry: 25/08/2028</w:t>
      </w:r>
    </w:p>
    <w:p>
      <w:pPr>
        <w:spacing w:before="0" w:after="120" w:line="276" w:lineRule="auto"/>
        <w:jc w:val="both"/>
      </w:pPr>
      <w:r>
        <w:rPr>
          <w:rFonts w:ascii="Times New Roman" w:hAnsi="Times New Roman"/>
          <w:b w:val="0"/>
          <w:i w:val="0"/>
          <w:sz w:val="24"/>
        </w:rPr>
        <w:t>Reference Summary: When the manufacturer registers a new batch, core metadata is formatted into standardized JSON and pinned to IPFS, generating CID hash `QmXoypizjW3...`. The smart contract `createBatch()` function mints ERC-721 Token #992 directly to the manufacturer's verified wallet address.</w:t>
      </w:r>
    </w:p>
    <w:p>
      <w:r>
        <w:br w:type="page"/>
      </w:r>
    </w:p>
    <w:p>
      <w:pPr>
        <w:spacing w:before="240" w:after="120" w:line="276" w:lineRule="auto"/>
        <w:jc w:val="left"/>
      </w:pPr>
      <w:r>
        <w:rPr>
          <w:rFonts w:ascii="Times New Roman" w:hAnsi="Times New Roman"/>
          <w:b/>
          <w:color w:val="333333"/>
          <w:sz w:val="24"/>
        </w:rPr>
        <w:t>Generated Smart Contract Logic &amp; Explanations: Sample 1[A]</w:t>
      </w:r>
    </w:p>
    <w:p>
      <w:pPr>
        <w:spacing w:line="240" w:lineRule="auto" w:before="80" w:after="160"/>
      </w:pPr>
      <w:r>
        <w:rPr>
          <w:rFonts w:ascii="Courier New" w:hAnsi="Courier New"/>
          <w:color w:val="0F172A"/>
          <w:sz w:val="17"/>
        </w:rPr>
        <w:t>// PharmaSupplyChainCompatible.sol — Batch Creation Logic</w:t>
        <w:br/>
        <w:t>function createBatch(</w:t>
        <w:br/>
        <w:t xml:space="preserve">    string memory _batchID,</w:t>
        <w:br/>
        <w:t xml:space="preserve">    string memory _expiryDate,</w:t>
        <w:br/>
        <w:t xml:space="preserve">    string memory _metadataURI</w:t>
        <w:br/>
        <w:t>) public onlyManufacturer returns (uint256) {</w:t>
        <w:br/>
        <w:t xml:space="preserve">    require(bytes(_batchID).length &gt; 0, "Batch ID cannot be empty");</w:t>
        <w:br/>
        <w:t xml:space="preserve">    require(bytes(_expiryDate).length &gt; 0, "Expiry date required");</w:t>
        <w:br/>
        <w:t xml:space="preserve">    </w:t>
        <w:br/>
        <w:t xml:space="preserve">    tokenCounter++;</w:t>
        <w:br/>
        <w:t xml:space="preserve">    uint256 newTokenId = tokenCounter;</w:t>
        <w:br/>
        <w:t xml:space="preserve">    </w:t>
        <w:br/>
        <w:t xml:space="preserve">    _safeMint(msg.sender, newTokenId);</w:t>
        <w:br/>
        <w:t xml:space="preserve">    _setTokenURI(newTokenId, _metadataURI);</w:t>
        <w:br/>
        <w:t xml:space="preserve">    </w:t>
        <w:br/>
        <w:t xml:space="preserve">    batches[newTokenId] = Batch({</w:t>
        <w:br/>
        <w:t xml:space="preserve">        batchID: _batchID,</w:t>
        <w:br/>
        <w:t xml:space="preserve">        currentOwner: msg.sender,</w:t>
        <w:br/>
        <w:t xml:space="preserve">        currentRole: Role.Manufacturer,</w:t>
        <w:br/>
        <w:t xml:space="preserve">        timestamp: block.timestamp,</w:t>
        <w:br/>
        <w:t xml:space="preserve">        parentBatchId: 0,</w:t>
        <w:br/>
        <w:t xml:space="preserve">        metadataURI: _metadataURI,</w:t>
        <w:br/>
        <w:t xml:space="preserve">        isCounterfeit: false</w:t>
        <w:br/>
        <w:t xml:space="preserve">    });</w:t>
        <w:br/>
        <w:t xml:space="preserve">    </w:t>
        <w:br/>
        <w:t xml:space="preserve">    emit BatchCreated(newTokenId, _batchID, msg.sender, block.timestamp);</w:t>
        <w:br/>
        <w:t xml:space="preserve">    return newTokenId;</w:t>
        <w:br/>
        <w:t>}</w:t>
      </w:r>
    </w:p>
    <w:p>
      <w:pPr>
        <w:spacing w:before="0" w:after="120" w:line="276" w:lineRule="auto"/>
        <w:jc w:val="both"/>
      </w:pPr>
      <w:r>
        <w:rPr>
          <w:rFonts w:ascii="Times New Roman" w:hAnsi="Times New Roman"/>
          <w:b w:val="0"/>
          <w:i w:val="0"/>
          <w:sz w:val="24"/>
        </w:rPr>
        <w:t>Technical Explanation of Sample 1[A]:</w:t>
      </w:r>
    </w:p>
    <w:p>
      <w:pPr>
        <w:spacing w:before="0" w:after="120" w:line="276" w:lineRule="auto"/>
        <w:jc w:val="both"/>
      </w:pPr>
      <w:r>
        <w:rPr>
          <w:rFonts w:ascii="Times New Roman" w:hAnsi="Times New Roman"/>
          <w:b w:val="0"/>
          <w:i w:val="0"/>
          <w:sz w:val="24"/>
        </w:rPr>
        <w:t>The `createBatch()` function enforces the `onlyManufacturer` modifier, verifying that `roles[msg.sender] == Role.Manufacturer`. This ensures malicious actors cannot inject unauthorized drug batches onto the ledger. The function utilizes OpenZeppelin's `_safeMint()` method to ensure the recipient address can handle ERC-721 tokens, prevents ERC-721 reentrancy exploits, and links the decentralized IPFS URI permanently via `_setTokenURI()`. The emitted `BatchCreated` event triggers asynchronous indexing on the off-chain MongoDB Atlas cache.</w:t>
      </w:r>
    </w:p>
    <w:p>
      <w:pPr>
        <w:spacing w:before="240" w:after="120" w:line="276" w:lineRule="auto"/>
        <w:jc w:val="both"/>
      </w:pPr>
      <w:r>
        <w:rPr>
          <w:rFonts w:ascii="Times New Roman" w:hAnsi="Times New Roman"/>
          <w:b/>
          <w:i w:val="0"/>
          <w:sz w:val="24"/>
        </w:rPr>
        <w:t>Sample 2[B]: Multi-Hop Role Custody Handoff</w:t>
      </w:r>
    </w:p>
    <w:p>
      <w:pPr>
        <w:spacing w:before="0" w:after="120" w:line="276" w:lineRule="auto"/>
        <w:jc w:val="both"/>
      </w:pPr>
      <w:r>
        <w:rPr>
          <w:rFonts w:ascii="Times New Roman" w:hAnsi="Times New Roman"/>
          <w:b w:val="0"/>
          <w:i w:val="0"/>
          <w:sz w:val="24"/>
        </w:rPr>
        <w:t>Batch Name: BATCH-CIPLA-2026</w:t>
        <w:br/>
        <w:t>Distributor: MediLink Distribution Pvt. Ltd. (0x6D9149Ca7E04FDAE6c2b880d4C22d1e834e436b5)</w:t>
        <w:br/>
        <w:t>Retailer: Apollo Pharmacy (0xA514337cbcc4149952220A23487eF961E748Ce8C)</w:t>
        <w:br/>
        <w:t>Reference Summary: Custody is transferred sequentially. The smart contract validates that only the current owner can initiate transfer, that the recipient has the valid subsequent role assigned, and that the batch is not flagged as counterfeit.</w:t>
      </w:r>
    </w:p>
    <w:p>
      <w:r>
        <w:br w:type="page"/>
      </w:r>
    </w:p>
    <w:p>
      <w:pPr>
        <w:spacing w:before="240" w:after="120" w:line="276" w:lineRule="auto"/>
        <w:jc w:val="left"/>
      </w:pPr>
      <w:r>
        <w:rPr>
          <w:rFonts w:ascii="Times New Roman" w:hAnsi="Times New Roman"/>
          <w:b/>
          <w:color w:val="333333"/>
          <w:sz w:val="24"/>
        </w:rPr>
        <w:t>Generated Custody State Machine Logic: Sample 2[B]</w:t>
      </w:r>
    </w:p>
    <w:p>
      <w:pPr>
        <w:spacing w:line="240" w:lineRule="auto" w:before="80" w:after="160"/>
      </w:pPr>
      <w:r>
        <w:rPr>
          <w:rFonts w:ascii="Courier New" w:hAnsi="Courier New"/>
          <w:color w:val="0F172A"/>
          <w:sz w:val="17"/>
        </w:rPr>
        <w:t>// PharmaSupplyChainCompatible.sol — Role-Based Transfer</w:t>
        <w:br/>
        <w:t>function transferBatch(uint256 _tokenId, address _to) public {</w:t>
        <w:br/>
        <w:t xml:space="preserve">    require(_exists(_tokenId), "Token does not exist");</w:t>
        <w:br/>
        <w:t xml:space="preserve">    require(ownerOf(_tokenId) == msg.sender, "Caller is not current owner");</w:t>
        <w:br/>
        <w:t xml:space="preserve">    require(_to != address(0), "Cannot transfer to zero address");</w:t>
        <w:br/>
        <w:t xml:space="preserve">    require(!batches[_tokenId].isCounterfeit, "Batch flagged counterfeit");</w:t>
        <w:br/>
        <w:t xml:space="preserve">    </w:t>
        <w:br/>
        <w:t xml:space="preserve">    Role senderRole = batches[_tokenId].currentRole;</w:t>
        <w:br/>
        <w:t xml:space="preserve">    Role recipientRole = roles[_to];</w:t>
        <w:br/>
        <w:t xml:space="preserve">    </w:t>
        <w:br/>
        <w:t xml:space="preserve">    // Strict regulatory supply chain state transition enforcement</w:t>
        <w:br/>
        <w:t xml:space="preserve">    if (senderRole == Role.Manufacturer) {</w:t>
        <w:br/>
        <w:t xml:space="preserve">        require(recipientRole == Role.Distributor || recipientRole == Role.Retailer,</w:t>
        <w:br/>
        <w:t xml:space="preserve">            "Manufacturer must transfer to Distributor or Retailer");</w:t>
        <w:br/>
        <w:t xml:space="preserve">    } else if (senderRole == Role.Distributor) {</w:t>
        <w:br/>
        <w:t xml:space="preserve">        require(recipientRole == Role.Retailer, "Distributor can only transfer to Retailer");</w:t>
        <w:br/>
        <w:t xml:space="preserve">    } else if (senderRole == Role.Retailer) {</w:t>
        <w:br/>
        <w:t xml:space="preserve">        require(recipientRole == Role.Pharmacy, "Retailer can only transfer to Pharmacy");</w:t>
        <w:br/>
        <w:t xml:space="preserve">    } else {</w:t>
        <w:br/>
        <w:t xml:space="preserve">        revert("Invalid custody transition state");</w:t>
        <w:br/>
        <w:t xml:space="preserve">    }</w:t>
        <w:br/>
        <w:t xml:space="preserve">    </w:t>
        <w:br/>
        <w:t xml:space="preserve">    _safeTransfer(msg.sender, _to, _tokenId, "");</w:t>
        <w:br/>
        <w:t xml:space="preserve">    batches[_tokenId].currentOwner = _to;</w:t>
        <w:br/>
        <w:t xml:space="preserve">    batches[_tokenId].currentRole = recipientRole;</w:t>
        <w:br/>
        <w:t xml:space="preserve">    batches[_tokenId].timestamp = block.timestamp;</w:t>
        <w:br/>
        <w:t xml:space="preserve">    </w:t>
        <w:br/>
        <w:t xml:space="preserve">    emit BatchTransferred(_tokenId, msg.sender, _to, recipientRole, block.timestamp);</w:t>
        <w:br/>
        <w:t>}</w:t>
      </w:r>
    </w:p>
    <w:p>
      <w:pPr>
        <w:spacing w:before="0" w:after="120" w:line="276" w:lineRule="auto"/>
        <w:jc w:val="both"/>
      </w:pPr>
      <w:r>
        <w:rPr>
          <w:rFonts w:ascii="Times New Roman" w:hAnsi="Times New Roman"/>
          <w:b w:val="0"/>
          <w:i w:val="0"/>
          <w:sz w:val="24"/>
        </w:rPr>
        <w:t>Technical Explanation of Sample 2[B]:</w:t>
      </w:r>
    </w:p>
    <w:p>
      <w:pPr>
        <w:spacing w:before="0" w:after="120" w:line="276" w:lineRule="auto"/>
        <w:jc w:val="both"/>
      </w:pPr>
      <w:r>
        <w:rPr>
          <w:rFonts w:ascii="Times New Roman" w:hAnsi="Times New Roman"/>
          <w:b w:val="0"/>
          <w:i w:val="0"/>
          <w:sz w:val="24"/>
        </w:rPr>
        <w:t>The `transferBatch()` method enforces deterministic state transitions. A manufacturer can transfer to a wholesale distributor or large hospital retailer. A distributor can only transfer to a verified retailer, and a retailer can only supply certified local pharmacies. This hard-coded state machine guarantees that grey-market intermediaries cannot inject diverted medication into downstream channels. In addition, the `!isCounterfeit` check acts as a global freeze trigger: if regulatory authorities or quality inspectors flag a batch, the smart contract immediately blocks all subsequent ownership transfers.</w:t>
      </w:r>
    </w:p>
    <w:p>
      <w:r>
        <w:br w:type="page"/>
      </w:r>
    </w:p>
    <w:p>
      <w:pPr>
        <w:spacing w:before="240" w:after="120" w:line="276" w:lineRule="auto"/>
        <w:jc w:val="left"/>
      </w:pPr>
      <w:r>
        <w:rPr>
          <w:rFonts w:ascii="Times New Roman" w:hAnsi="Times New Roman"/>
          <w:b/>
          <w:color w:val="333333"/>
          <w:sz w:val="24"/>
        </w:rPr>
        <w:t>Generated Hierarchical Parent-Child Logic: Sample 3[C]</w:t>
      </w:r>
    </w:p>
    <w:p>
      <w:pPr>
        <w:spacing w:line="240" w:lineRule="auto" w:before="80" w:after="160"/>
      </w:pPr>
      <w:r>
        <w:rPr>
          <w:rFonts w:ascii="Courier New" w:hAnsi="Courier New"/>
          <w:color w:val="0F172A"/>
          <w:sz w:val="17"/>
        </w:rPr>
        <w:t>// PharmaSupplyChainCompatible.sol — Parent-Child Linking &amp; Bulk Transfer</w:t>
        <w:br/>
        <w:t>function linkChildToParent(uint256 _childTokenId, uint256 _parentTokenId) public {</w:t>
        <w:br/>
        <w:t xml:space="preserve">    require(_exists(_childTokenId) &amp;&amp; _exists(_parentTokenId), "Tokens must exist");</w:t>
        <w:br/>
        <w:t xml:space="preserve">    require(ownerOf(_parentTokenId) == msg.sender, "Must own parent batch");</w:t>
        <w:br/>
        <w:t xml:space="preserve">    require(ownerOf(_childTokenId) == msg.sender, "Must own child batch");</w:t>
        <w:br/>
        <w:t xml:space="preserve">    require(batches[_childTokenId].parentBatchId == 0, "Child already linked");</w:t>
        <w:br/>
        <w:t xml:space="preserve">    </w:t>
        <w:br/>
        <w:t xml:space="preserve">    batches[_childTokenId].parentBatchId = _parentTokenId;</w:t>
        <w:br/>
        <w:t xml:space="preserve">    parentToChildren[_parentTokenId].push(_childTokenId);</w:t>
        <w:br/>
        <w:t xml:space="preserve">    </w:t>
        <w:br/>
        <w:t xml:space="preserve">    emit ChildBatchLinked(_childTokenId, _parentTokenId);</w:t>
        <w:br/>
        <w:t>}</w:t>
        <w:br/>
        <w:br/>
        <w:t>function transferParentAndChildren(uint256 _parentTokenId, address _to) public {</w:t>
        <w:br/>
        <w:t xml:space="preserve">    // 1. Transfer master parent batch</w:t>
        <w:br/>
        <w:t xml:space="preserve">    transferBatch(_parentTokenId, _to);</w:t>
        <w:br/>
        <w:t xml:space="preserve">    </w:t>
        <w:br/>
        <w:t xml:space="preserve">    // 2. Atomically transfer all registered child tokens</w:t>
        <w:br/>
        <w:t xml:space="preserve">    uint256[] memory children = parentToChildren[_parentTokenId];</w:t>
        <w:br/>
        <w:t xml:space="preserve">    for (uint256 i = 0; i &lt; children.length; i++) {</w:t>
        <w:br/>
        <w:t xml:space="preserve">        uint256 childId = children[i];</w:t>
        <w:br/>
        <w:t xml:space="preserve">        if (ownerOf(childId) == msg.sender &amp;&amp; !batches[childId].isCounterfeit) {</w:t>
        <w:br/>
        <w:t xml:space="preserve">            _safeTransfer(msg.sender, _to, childId, "");</w:t>
        <w:br/>
        <w:t xml:space="preserve">            batches[childId].currentOwner = _to;</w:t>
        <w:br/>
        <w:t xml:space="preserve">            batches[childId].currentRole = roles[_to];</w:t>
        <w:br/>
        <w:t xml:space="preserve">            batches[childId].timestamp = block.timestamp;</w:t>
        <w:br/>
        <w:t xml:space="preserve">            emit BatchTransferred(childId, msg.sender, _to, roles[_to], block.timestamp);</w:t>
        <w:br/>
        <w:t xml:space="preserve">        }</w:t>
        <w:br/>
        <w:t xml:space="preserve">    }</w:t>
        <w:br/>
        <w:t>}</w:t>
      </w:r>
    </w:p>
    <w:p>
      <w:pPr>
        <w:spacing w:before="0" w:after="120" w:line="276" w:lineRule="auto"/>
        <w:jc w:val="both"/>
      </w:pPr>
      <w:r>
        <w:rPr>
          <w:rFonts w:ascii="Times New Roman" w:hAnsi="Times New Roman"/>
          <w:b w:val="0"/>
          <w:i w:val="0"/>
          <w:sz w:val="24"/>
        </w:rPr>
        <w:t>Technical Explanation of Sample 3[C]:</w:t>
      </w:r>
    </w:p>
    <w:p>
      <w:pPr>
        <w:spacing w:before="0" w:after="120" w:line="276" w:lineRule="auto"/>
        <w:jc w:val="both"/>
      </w:pPr>
      <w:r>
        <w:rPr>
          <w:rFonts w:ascii="Times New Roman" w:hAnsi="Times New Roman"/>
          <w:b w:val="0"/>
          <w:i w:val="0"/>
          <w:sz w:val="24"/>
        </w:rPr>
        <w:t>Parent-child hierarchy addresses one of the most persistent bottlenecks in blockchain supply chains: the cost of individual unit serialization. In commercial distribution, shipping pallets contain corrugated cases, which contain carton packs, which in turn hold individual blister strips. By linking child tokens to a master parent token, warehouse logistics operators execute a single `transferParentAndChildren()` transaction. The contract iterates through the dynamic array, updating ownership for all linked unit packs in an atomic execution block. If any single transfer fails, EVM state reverts completely, eliminating partial delivery discrepancies.</w:t>
      </w:r>
    </w:p>
    <w:p>
      <w:r>
        <w:br w:type="page"/>
      </w:r>
    </w:p>
    <w:p>
      <w:pPr>
        <w:spacing w:before="240" w:after="120" w:line="276" w:lineRule="auto"/>
        <w:jc w:val="left"/>
      </w:pPr>
      <w:r>
        <w:rPr>
          <w:rFonts w:ascii="Times New Roman" w:hAnsi="Times New Roman"/>
          <w:b/>
          <w:color w:val="333333"/>
          <w:sz w:val="24"/>
        </w:rPr>
        <w:t>Generated Anti-Counterfeiting &amp; Zero-Gas Verification: Sample 4[D]</w:t>
      </w:r>
    </w:p>
    <w:p>
      <w:pPr>
        <w:spacing w:line="240" w:lineRule="auto" w:before="80" w:after="160"/>
      </w:pPr>
      <w:r>
        <w:rPr>
          <w:rFonts w:ascii="Courier New" w:hAnsi="Courier New"/>
          <w:color w:val="0F172A"/>
          <w:sz w:val="17"/>
        </w:rPr>
        <w:t>// Dynamic QR Verification Payload Structure</w:t>
        <w:br/>
        <w:t>{</w:t>
        <w:br/>
        <w:t xml:space="preserve">  "contractAddress": "0x2C56C3107EE29eaE4A486C6c1244bCbb3E2Ee11c",</w:t>
        <w:br/>
        <w:t xml:space="preserve">  "tokenId": 992,</w:t>
        <w:br/>
        <w:t xml:space="preserve">  "batchID": "BATCH-DRREDDYS-992",</w:t>
        <w:br/>
        <w:t xml:space="preserve">  "chainId": 80002,</w:t>
        <w:br/>
        <w:t xml:space="preserve">  "metadataURI": "ipfs://QmXoypizjW3WknFiJnKLwHCnL72vedxjQkDDP1mXWo6uco"</w:t>
        <w:br/>
        <w:t>}</w:t>
        <w:br/>
        <w:br/>
        <w:t>// Client-Side Zero-Gas Public Verification Function</w:t>
        <w:br/>
        <w:t>const verifyBatchAuthenticity = async (tokenId) =&gt; {</w:t>
        <w:br/>
        <w:t xml:space="preserve">  // Read-only JSON-RPC call without MetaMask signing or gas cost</w:t>
        <w:br/>
        <w:t xml:space="preserve">  const readContract = new ethers.Contract(CONTRACT_ADDR, ABI, amoyReadOnlyProvider);</w:t>
        <w:br/>
        <w:t xml:space="preserve">  const details = await readContract.getBatchDetails(tokenId);</w:t>
        <w:br/>
        <w:t xml:space="preserve">  const isFake = await readContract.isCounterfeit(tokenId);</w:t>
        <w:br/>
        <w:t xml:space="preserve">  </w:t>
        <w:br/>
        <w:t xml:space="preserve">  return {</w:t>
        <w:br/>
        <w:t xml:space="preserve">    batchID: details.batchID,</w:t>
        <w:br/>
        <w:t xml:space="preserve">    currentOwner: details.currentOwner,</w:t>
        <w:br/>
        <w:t xml:space="preserve">    currentRole: ROLE_NAMES[details.currentRole],</w:t>
        <w:br/>
        <w:t xml:space="preserve">    timestamp: new Date(Number(details.timestamp) * 1000).toLocaleString(),</w:t>
        <w:br/>
        <w:t xml:space="preserve">    isCounterfeit: isFake,</w:t>
        <w:br/>
        <w:t xml:space="preserve">    isAuthentic: !isFake &amp;&amp; details.currentOwner !== ethers.ZeroAddress</w:t>
        <w:br/>
        <w:t xml:space="preserve">  };</w:t>
        <w:br/>
        <w:t>};</w:t>
      </w:r>
    </w:p>
    <w:p>
      <w:pPr>
        <w:spacing w:before="0" w:after="120" w:line="276" w:lineRule="auto"/>
        <w:jc w:val="both"/>
      </w:pPr>
      <w:r>
        <w:rPr>
          <w:rFonts w:ascii="Times New Roman" w:hAnsi="Times New Roman"/>
          <w:b w:val="0"/>
          <w:i w:val="0"/>
          <w:sz w:val="24"/>
        </w:rPr>
        <w:t>Technical Explanation of Sample 4[D]:</w:t>
      </w:r>
    </w:p>
    <w:p>
      <w:pPr>
        <w:spacing w:before="0" w:after="120" w:line="276" w:lineRule="auto"/>
        <w:jc w:val="both"/>
      </w:pPr>
      <w:r>
        <w:rPr>
          <w:rFonts w:ascii="Times New Roman" w:hAnsi="Times New Roman"/>
          <w:b w:val="0"/>
          <w:i w:val="0"/>
          <w:sz w:val="24"/>
        </w:rPr>
        <w:t>Dynamic QR code verification bridges physical packaging to digital state. When the QR code is scanned, the client application parses the JSON payload and executes a direct `eth_call` query to `getBatchDetails()` via a public Polygon Amoy RPC provider. Because reading EVM state consumes zero gas and requires no cryptographic signature from the reader, consumers verify drug authenticity instantly without creating a Web3 wallet, purchasing cryptocurrency, or installing browser plugins. If an expired or diverted batch has been flagged via `flagCounterfeit()`, the UI displays a prominent warning, preventing patient ingestion.</w:t>
      </w:r>
    </w:p>
    <w:p>
      <w:r>
        <w:br w:type="page"/>
      </w:r>
    </w:p>
    <w:p>
      <w:pPr>
        <w:spacing w:before="240" w:after="120" w:line="276" w:lineRule="auto"/>
        <w:jc w:val="left"/>
      </w:pPr>
      <w:r>
        <w:rPr>
          <w:rFonts w:ascii="Times New Roman" w:hAnsi="Times New Roman"/>
          <w:b/>
          <w:color w:val="1E3A5F"/>
          <w:sz w:val="28"/>
        </w:rPr>
        <w:t>6.2 Core Algorithms and Smart Contract Logic</w:t>
      </w:r>
    </w:p>
    <w:p>
      <w:pPr>
        <w:spacing w:before="0" w:after="120" w:line="276" w:lineRule="auto"/>
        <w:jc w:val="both"/>
      </w:pPr>
      <w:r>
        <w:rPr>
          <w:rFonts w:ascii="Times New Roman" w:hAnsi="Times New Roman"/>
          <w:b w:val="0"/>
          <w:i w:val="0"/>
          <w:sz w:val="24"/>
        </w:rPr>
        <w:t>The operational integrity of PharmaTrust relies on three formal algorithms governing tokenization, atomic custody transitions, and decentralized verification.</w:t>
      </w:r>
    </w:p>
    <w:p>
      <w:pPr>
        <w:spacing w:before="200" w:after="80" w:line="276" w:lineRule="auto"/>
        <w:jc w:val="left"/>
      </w:pPr>
      <w:r>
        <w:rPr>
          <w:rFonts w:ascii="Times New Roman" w:hAnsi="Times New Roman"/>
          <w:b/>
          <w:color w:val="333333"/>
          <w:sz w:val="24"/>
        </w:rPr>
        <w:t>Algorithm 1: Batch Tokenization and Metadata Hashing</w:t>
      </w:r>
    </w:p>
    <w:p>
      <w:pPr>
        <w:spacing w:before="0" w:after="240" w:line="276" w:lineRule="auto"/>
        <w:jc w:val="both"/>
      </w:pPr>
      <w:r>
        <w:rPr>
          <w:rFonts w:ascii="Times New Roman" w:hAnsi="Times New Roman"/>
          <w:b w:val="0"/>
          <w:i w:val="0"/>
          <w:sz w:val="24"/>
        </w:rPr>
        <w:t>Input: Batch identifier $B_{id}$, Expiry string $E$, Formulation object $M$, Manufacturer wallet address $A_{mfg}$.</w:t>
        <w:br/>
        <w:t>Output: Minted ERC-721 token identifier $T_{id}$ and IPFS Content Identifier $CID$.</w:t>
        <w:br/>
        <w:t>1. Validate that caller address $msg.sender == A_{mfg}$ and $roles[A_{mfg}] == Role.Manufacturer$.</w:t>
        <w:br/>
        <w:t>2. Construct metadata JSON document $D = \{ B_{id}, E, M, A_{mfg}, \text{timestamp} \}$.</w:t>
        <w:br/>
        <w:t>3. Compute cryptographic hash $H = \text{keccak256}(D)$.</w:t>
        <w:br/>
        <w:t>4. Pin document $D$ to IPFS cluster and obtain Content Identifier $CID = \text{ipfsPin}(D)$.</w:t>
        <w:br/>
        <w:t>5. Execute atomic smart contract transaction: increment token counter $T_{id} \leftarrow T_{id} + 1$.</w:t>
        <w:br/>
        <w:t>6. Mint ERC-721 token $\_safeMint(A_{mfg}, T_{id})$.</w:t>
        <w:br/>
        <w:t>7. Set token URI $\_setTokenURI(T_{id}, CID)$.</w:t>
        <w:br/>
        <w:t>8. Initialize on-chain state struct $batches[T_{id}]$ with stage $0$ (Produced).</w:t>
        <w:br/>
        <w:t>9. Emit event $BatchCreated(T_{id}, B_{id}, A_{mfg}, \text{now})$.</w:t>
        <w:br/>
        <w:t>10. Return $T_{id}$.</w:t>
      </w:r>
    </w:p>
    <w:p>
      <w:pPr>
        <w:spacing w:before="200" w:after="80" w:line="276" w:lineRule="auto"/>
        <w:jc w:val="left"/>
      </w:pPr>
      <w:r>
        <w:rPr>
          <w:rFonts w:ascii="Times New Roman" w:hAnsi="Times New Roman"/>
          <w:b/>
          <w:color w:val="333333"/>
          <w:sz w:val="24"/>
        </w:rPr>
        <w:t>Algorithm 2: Deterministic State Machine Custody Transfer</w:t>
      </w:r>
    </w:p>
    <w:p>
      <w:pPr>
        <w:spacing w:before="0" w:after="240" w:line="276" w:lineRule="auto"/>
        <w:jc w:val="both"/>
      </w:pPr>
      <w:r>
        <w:rPr>
          <w:rFonts w:ascii="Times New Roman" w:hAnsi="Times New Roman"/>
          <w:b w:val="0"/>
          <w:i w:val="0"/>
          <w:sz w:val="24"/>
        </w:rPr>
        <w:t>Input: Token identifier $T_{id}$, Recipient wallet address $A_{rec}$, Caller address $msg.sender$.</w:t>
        <w:br/>
        <w:t>Output: Boolean confirmation $Success$.</w:t>
        <w:br/>
        <w:t>1. Verify token existence: $\_exists(T_{id}) == \text{true}$.</w:t>
        <w:br/>
        <w:t>2. Verify token ownership: $ownerOf(T_{id}) == msg.sender$.</w:t>
        <w:br/>
        <w:t>3. Verify counterfeit status: $batches[T_{id}].isCounterfeit == \text{false}$.</w:t>
        <w:br/>
        <w:t>4. Extract sender role $R_{send} = batches[T_{id}].currentRole$.</w:t>
        <w:br/>
        <w:t>5. Extract recipient role $R_{rec} = roles[A_{rec}]$.</w:t>
        <w:br/>
        <w:t>6. Validate state transition guard:</w:t>
        <w:br/>
        <w:t xml:space="preserve">   If $R_{send} == Manufacturer$, require $R_{rec} \in \{Distributor, Retailer\}$.</w:t>
        <w:br/>
        <w:t xml:space="preserve">   Else if $R_{send} == Distributor$, require $R_{rec} == Retailer$.</w:t>
        <w:br/>
        <w:t xml:space="preserve">   Else if $R_{send} == Retailer$, require $R_{rec} == Pharmacy$.</w:t>
        <w:br/>
        <w:t xml:space="preserve">   Else revert with “Invalid custody transition”.</w:t>
        <w:br/>
        <w:t>7. Execute ERC-721 transfer: $\_safeTransfer(msg.sender, A_{rec}, T_{id})$.</w:t>
        <w:br/>
        <w:t>8. Update internal batch struct: $batches[T_{id}].currentOwner \leftarrow A_{rec}$, $batches[T_{id}].currentRole \leftarrow R_{rec}$.</w:t>
        <w:br/>
        <w:t>9. If $T_{id}$ is parent, iterate through all child tokens $C_k \in parentToChildren[T_{id}]$ and update ownership.</w:t>
        <w:br/>
        <w:t>10. Emit event $BatchTransferred(T_{id}, msg.sender, A_{rec}, R_{rec}, \text{now})$.</w:t>
        <w:br/>
        <w:t>11. Return true.</w:t>
      </w:r>
    </w:p>
    <w:p>
      <w:r>
        <w:br w:type="page"/>
      </w:r>
    </w:p>
    <w:p>
      <w:pPr>
        <w:spacing w:before="240" w:after="80" w:line="276" w:lineRule="auto"/>
        <w:jc w:val="left"/>
      </w:pPr>
      <w:r>
        <w:rPr>
          <w:rFonts w:ascii="Times New Roman" w:hAnsi="Times New Roman"/>
          <w:b/>
          <w:color w:val="333333"/>
          <w:sz w:val="24"/>
        </w:rPr>
        <w:t>Algorithm 3: Zero-Gas Cryptographic Provenance Verification</w:t>
      </w:r>
    </w:p>
    <w:p>
      <w:pPr>
        <w:spacing w:before="0" w:after="200" w:line="276" w:lineRule="auto"/>
        <w:jc w:val="both"/>
      </w:pPr>
      <w:r>
        <w:rPr>
          <w:rFonts w:ascii="Times New Roman" w:hAnsi="Times New Roman"/>
          <w:b w:val="0"/>
          <w:i w:val="0"/>
          <w:sz w:val="24"/>
        </w:rPr>
        <w:t>Input: Scanned QR payload containing token ID $T_{id}$, Contract address $C_{addr}$.</w:t>
        <w:br/>
        <w:t>Output: Verification status object $V = \{ Authenticity, State, History, ExpiryValid \}$.</w:t>
        <w:br/>
        <w:t>1. Establish read-only JSON-RPC provider connection to Polygon Amoy gateway.</w:t>
        <w:br/>
        <w:t>2. Execute read-only contract call $details \leftarrow C_{addr}.getBatchDetails(T_{id})$.</w:t>
        <w:br/>
        <w:t>3. Execute read-only contract call $flag \leftarrow C_{addr}.isCounterfeit(T_{id})$.</w:t>
        <w:br/>
        <w:t>4. Query on-chain historical events: $events \leftarrow C_{addr}.queryFilter(BatchTransferred, T_{id})$.</w:t>
        <w:br/>
        <w:t>5. Retrieve off-chain metadata JSON from IPFS gateway via $details.metadataURI$.</w:t>
        <w:br/>
        <w:t>6. Compare on-chain $details.batchID$ with IPFS payload $D.batchID$.</w:t>
        <w:br/>
        <w:t>7. If hash matches and $flag == \text{false}$, set $V.Authenticity \leftarrow Authentic$.</w:t>
        <w:br/>
        <w:t>8. Else set $V.Authenticity \leftarrow Compromised / Counterfeit$.</w:t>
        <w:br/>
        <w:t>9. Return verification status $V$ to client interface.</w:t>
      </w:r>
    </w:p>
    <w:p>
      <w:pPr>
        <w:spacing w:before="80" w:after="40"/>
        <w:jc w:val="center"/>
      </w:pPr>
      <w:r>
        <w:drawing>
          <wp:inline xmlns:a="http://schemas.openxmlformats.org/drawingml/2006/main" xmlns:pic="http://schemas.openxmlformats.org/drawingml/2006/picture">
            <wp:extent cx="4114800" cy="2764870"/>
            <wp:docPr id="9" name="Picture 9"/>
            <wp:cNvGraphicFramePr>
              <a:graphicFrameLocks noChangeAspect="1"/>
            </wp:cNvGraphicFramePr>
            <a:graphic>
              <a:graphicData uri="http://schemas.openxmlformats.org/drawingml/2006/picture">
                <pic:pic>
                  <pic:nvPicPr>
                    <pic:cNvPr id="0" name="fig8_contract_architecture.png"/>
                    <pic:cNvPicPr/>
                  </pic:nvPicPr>
                  <pic:blipFill>
                    <a:blip r:embed="rId17"/>
                    <a:stretch>
                      <a:fillRect/>
                    </a:stretch>
                  </pic:blipFill>
                  <pic:spPr>
                    <a:xfrm>
                      <a:off x="0" y="0"/>
                      <a:ext cx="4114800" cy="2764870"/>
                    </a:xfrm>
                    <a:prstGeom prst="rect"/>
                  </pic:spPr>
                </pic:pic>
              </a:graphicData>
            </a:graphic>
          </wp:inline>
        </w:drawing>
      </w:r>
    </w:p>
    <w:p>
      <w:pPr>
        <w:spacing w:after="160"/>
        <w:jc w:val="center"/>
      </w:pPr>
      <w:r>
        <w:rPr>
          <w:i/>
        </w:rPr>
        <w:t>Fig 8. Smart Contract Architecture (UML Class Diagram)</w:t>
      </w:r>
    </w:p>
    <w:p>
      <w:pPr>
        <w:spacing w:before="80" w:after="40"/>
        <w:jc w:val="center"/>
      </w:pPr>
      <w:r>
        <w:drawing>
          <wp:inline xmlns:a="http://schemas.openxmlformats.org/drawingml/2006/main" xmlns:pic="http://schemas.openxmlformats.org/drawingml/2006/picture">
            <wp:extent cx="4114800" cy="1891328"/>
            <wp:docPr id="10" name="Picture 10"/>
            <wp:cNvGraphicFramePr>
              <a:graphicFrameLocks noChangeAspect="1"/>
            </wp:cNvGraphicFramePr>
            <a:graphic>
              <a:graphicData uri="http://schemas.openxmlformats.org/drawingml/2006/picture">
                <pic:pic>
                  <pic:nvPicPr>
                    <pic:cNvPr id="0" name="fig9_gas_pipeline.png"/>
                    <pic:cNvPicPr/>
                  </pic:nvPicPr>
                  <pic:blipFill>
                    <a:blip r:embed="rId18"/>
                    <a:stretch>
                      <a:fillRect/>
                    </a:stretch>
                  </pic:blipFill>
                  <pic:spPr>
                    <a:xfrm>
                      <a:off x="0" y="0"/>
                      <a:ext cx="4114800" cy="1891328"/>
                    </a:xfrm>
                    <a:prstGeom prst="rect"/>
                  </pic:spPr>
                </pic:pic>
              </a:graphicData>
            </a:graphic>
          </wp:inline>
        </w:drawing>
      </w:r>
    </w:p>
    <w:p>
      <w:pPr>
        <w:spacing w:after="200"/>
        <w:jc w:val="center"/>
      </w:pPr>
      <w:r>
        <w:rPr>
          <w:i/>
        </w:rPr>
        <w:t>Fig 9. Gas Execution Pipeline on Polygon Amoy PoS Network</w:t>
      </w:r>
    </w:p>
    <w:p>
      <w:r>
        <w:br w:type="page"/>
      </w:r>
    </w:p>
    <w:p>
      <w:pPr>
        <w:spacing w:before="40" w:after="40"/>
        <w:jc w:val="center"/>
      </w:pPr>
      <w:r>
        <w:drawing>
          <wp:inline xmlns:a="http://schemas.openxmlformats.org/drawingml/2006/main" xmlns:pic="http://schemas.openxmlformats.org/drawingml/2006/picture">
            <wp:extent cx="3840480" cy="1956471"/>
            <wp:docPr id="11" name="Picture 11"/>
            <wp:cNvGraphicFramePr>
              <a:graphicFrameLocks noChangeAspect="1"/>
            </wp:cNvGraphicFramePr>
            <a:graphic>
              <a:graphicData uri="http://schemas.openxmlformats.org/drawingml/2006/picture">
                <pic:pic>
                  <pic:nvPicPr>
                    <pic:cNvPr id="0" name="fig10_qr_verification_flow.png"/>
                    <pic:cNvPicPr/>
                  </pic:nvPicPr>
                  <pic:blipFill>
                    <a:blip r:embed="rId19"/>
                    <a:stretch>
                      <a:fillRect/>
                    </a:stretch>
                  </pic:blipFill>
                  <pic:spPr>
                    <a:xfrm>
                      <a:off x="0" y="0"/>
                      <a:ext cx="3840480" cy="1956471"/>
                    </a:xfrm>
                    <a:prstGeom prst="rect"/>
                  </pic:spPr>
                </pic:pic>
              </a:graphicData>
            </a:graphic>
          </wp:inline>
        </w:drawing>
      </w:r>
    </w:p>
    <w:p>
      <w:pPr>
        <w:spacing w:after="120"/>
        <w:jc w:val="center"/>
      </w:pPr>
      <w:r>
        <w:rPr>
          <w:i/>
        </w:rPr>
        <w:t>Fig 10. Dynamic QR Code Cryptographic Verification Flow</w:t>
      </w:r>
    </w:p>
    <w:p>
      <w:pPr>
        <w:spacing w:before="40" w:after="40"/>
        <w:jc w:val="center"/>
      </w:pPr>
      <w:r>
        <w:drawing>
          <wp:inline xmlns:a="http://schemas.openxmlformats.org/drawingml/2006/main" xmlns:pic="http://schemas.openxmlformats.org/drawingml/2006/picture">
            <wp:extent cx="3840480" cy="2168301"/>
            <wp:docPr id="12" name="Picture 12"/>
            <wp:cNvGraphicFramePr>
              <a:graphicFrameLocks noChangeAspect="1"/>
            </wp:cNvGraphicFramePr>
            <a:graphic>
              <a:graphicData uri="http://schemas.openxmlformats.org/drawingml/2006/picture">
                <pic:pic>
                  <pic:nvPicPr>
                    <pic:cNvPr id="0" name="fig11_parent_child_architecture.png"/>
                    <pic:cNvPicPr/>
                  </pic:nvPicPr>
                  <pic:blipFill>
                    <a:blip r:embed="rId20"/>
                    <a:stretch>
                      <a:fillRect/>
                    </a:stretch>
                  </pic:blipFill>
                  <pic:spPr>
                    <a:xfrm>
                      <a:off x="0" y="0"/>
                      <a:ext cx="3840480" cy="2168301"/>
                    </a:xfrm>
                    <a:prstGeom prst="rect"/>
                  </pic:spPr>
                </pic:pic>
              </a:graphicData>
            </a:graphic>
          </wp:inline>
        </w:drawing>
      </w:r>
    </w:p>
    <w:p>
      <w:pPr>
        <w:spacing w:after="120"/>
        <w:jc w:val="center"/>
      </w:pPr>
      <w:r>
        <w:rPr>
          <w:i/>
        </w:rPr>
        <w:t>Fig 11. Parent-Child Hierarchical Batching Architecture</w:t>
      </w:r>
    </w:p>
    <w:p>
      <w:pPr>
        <w:spacing w:before="40" w:after="40"/>
        <w:jc w:val="center"/>
      </w:pPr>
      <w:r>
        <w:drawing>
          <wp:inline xmlns:a="http://schemas.openxmlformats.org/drawingml/2006/main" xmlns:pic="http://schemas.openxmlformats.org/drawingml/2006/picture">
            <wp:extent cx="3840480" cy="1956471"/>
            <wp:docPr id="13" name="Picture 13"/>
            <wp:cNvGraphicFramePr>
              <a:graphicFrameLocks noChangeAspect="1"/>
            </wp:cNvGraphicFramePr>
            <a:graphic>
              <a:graphicData uri="http://schemas.openxmlformats.org/drawingml/2006/picture">
                <pic:pic>
                  <pic:nvPicPr>
                    <pic:cNvPr id="0" name="fig12_hybrid_flow.png"/>
                    <pic:cNvPicPr/>
                  </pic:nvPicPr>
                  <pic:blipFill>
                    <a:blip r:embed="rId21"/>
                    <a:stretch>
                      <a:fillRect/>
                    </a:stretch>
                  </pic:blipFill>
                  <pic:spPr>
                    <a:xfrm>
                      <a:off x="0" y="0"/>
                      <a:ext cx="3840480" cy="1956471"/>
                    </a:xfrm>
                    <a:prstGeom prst="rect"/>
                  </pic:spPr>
                </pic:pic>
              </a:graphicData>
            </a:graphic>
          </wp:inline>
        </w:drawing>
      </w:r>
    </w:p>
    <w:p>
      <w:pPr>
        <w:spacing w:after="120"/>
        <w:jc w:val="center"/>
      </w:pPr>
      <w:r>
        <w:rPr>
          <w:i/>
        </w:rPr>
        <w:t>Fig 12. Hybrid On-Chain / Off-Chain Synchronization Architecture</w:t>
      </w:r>
    </w:p>
    <w:p>
      <w:pPr>
        <w:spacing w:before="160" w:after="80" w:line="276" w:lineRule="auto"/>
        <w:jc w:val="left"/>
      </w:pPr>
      <w:r>
        <w:rPr>
          <w:rFonts w:ascii="Times New Roman" w:hAnsi="Times New Roman"/>
          <w:b/>
          <w:color w:val="1E3A5F"/>
          <w:sz w:val="28"/>
        </w:rPr>
        <w:t>6.3 Limitations and Challenges</w:t>
      </w:r>
    </w:p>
    <w:p>
      <w:pPr>
        <w:spacing w:before="0" w:after="120" w:line="276" w:lineRule="auto"/>
        <w:jc w:val="both"/>
      </w:pPr>
      <w:r>
        <w:rPr>
          <w:rFonts w:ascii="Times New Roman" w:hAnsi="Times New Roman"/>
          <w:b w:val="0"/>
          <w:i w:val="0"/>
          <w:sz w:val="24"/>
        </w:rPr>
        <w:t>During the implementation and empirical testing of PharmaTrust, three major technical hurdles were encountered and resolved:</w:t>
      </w:r>
    </w:p>
    <w:p>
      <w:pPr>
        <w:spacing w:before="0" w:after="120" w:line="276" w:lineRule="auto"/>
        <w:jc w:val="both"/>
      </w:pPr>
      <w:r>
        <w:rPr>
          <w:rFonts w:ascii="Times New Roman" w:hAnsi="Times New Roman"/>
          <w:b w:val="0"/>
          <w:i w:val="0"/>
          <w:sz w:val="24"/>
        </w:rPr>
        <w:t>1. Free Public RPC Rate Limiting: When scanning large batch histories via public Polygon Amoy endpoints, client requests occasionally triggered HTTP 429 (Too Many Requests). This was resolved by implementing an exponential backoff retry mechanism and a dual-fallback architecture switching to secondary RPC endpoints.</w:t>
      </w:r>
    </w:p>
    <w:p>
      <w:pPr>
        <w:spacing w:before="0" w:after="120" w:line="276" w:lineRule="auto"/>
        <w:jc w:val="both"/>
      </w:pPr>
      <w:r>
        <w:rPr>
          <w:rFonts w:ascii="Times New Roman" w:hAnsi="Times New Roman"/>
          <w:b w:val="0"/>
          <w:i w:val="0"/>
          <w:sz w:val="24"/>
        </w:rPr>
        <w:t>2. Date Formatting Ambiguity: Discrepancies between international ISO-8601 strings and regional Indian DD/MM/YYYY date formats produced hashing mismatches during batch creation. This was mitigated by implementing a universal date parsing sanitization utility in the backend.</w:t>
      </w:r>
    </w:p>
    <w:p>
      <w:pPr>
        <w:spacing w:before="0" w:after="120" w:line="276" w:lineRule="auto"/>
        <w:jc w:val="both"/>
      </w:pPr>
      <w:r>
        <w:rPr>
          <w:rFonts w:ascii="Times New Roman" w:hAnsi="Times New Roman"/>
          <w:b w:val="0"/>
          <w:i w:val="0"/>
          <w:sz w:val="24"/>
        </w:rPr>
        <w:t>3. Off-Chain Database Pausing: Shared cloud database instances (MongoDB Atlas) experienced auto-pausing during periods of inactivity. A resilient `global.mongoAvailable` flag was implemented in Express server routes, allowing the Web3 DApp to operate continuously in pure blockchain mode whenever the database cache is offline.</w:t>
      </w:r>
    </w:p>
    <w:p>
      <w:r>
        <w:br w:type="page"/>
      </w:r>
    </w:p>
    <w:p>
      <w:pPr>
        <w:spacing w:before="360" w:after="240" w:line="276" w:lineRule="auto"/>
        <w:jc w:val="left"/>
      </w:pPr>
      <w:r>
        <w:rPr>
          <w:rFonts w:ascii="Times New Roman" w:hAnsi="Times New Roman"/>
          <w:b/>
          <w:color w:val="1E3A5F"/>
          <w:sz w:val="32"/>
        </w:rPr>
        <w:t>7. Results and Discussion</w:t>
      </w:r>
    </w:p>
    <w:p>
      <w:pPr>
        <w:spacing w:before="0" w:after="120" w:line="276" w:lineRule="auto"/>
        <w:jc w:val="both"/>
      </w:pPr>
      <w:r>
        <w:rPr>
          <w:rFonts w:ascii="Times New Roman" w:hAnsi="Times New Roman"/>
          <w:b w:val="0"/>
          <w:i w:val="0"/>
          <w:sz w:val="24"/>
        </w:rPr>
        <w:t>The performance, cost viability, throughput, and security of the PharmaTrust platform were evaluated through extensive test runs on the Polygon Amoy testnet. All test transactions were broadcasted from verified stakeholder wallets and validated by decentralized network validators.</w:t>
      </w:r>
    </w:p>
    <w:p>
      <w:pPr>
        <w:spacing w:before="240" w:after="120" w:line="276" w:lineRule="auto"/>
        <w:jc w:val="left"/>
      </w:pPr>
      <w:r>
        <w:rPr>
          <w:rFonts w:ascii="Times New Roman" w:hAnsi="Times New Roman"/>
          <w:b/>
          <w:color w:val="1E3A5F"/>
          <w:sz w:val="28"/>
        </w:rPr>
        <w:t>7.1 Gas Consumption Analysis across Smart Contract Operations</w:t>
      </w:r>
    </w:p>
    <w:p>
      <w:pPr>
        <w:spacing w:before="0" w:after="120" w:line="276" w:lineRule="auto"/>
        <w:jc w:val="both"/>
      </w:pPr>
      <w:r>
        <w:rPr>
          <w:rFonts w:ascii="Times New Roman" w:hAnsi="Times New Roman"/>
          <w:b w:val="0"/>
          <w:i w:val="0"/>
          <w:sz w:val="24"/>
        </w:rPr>
        <w:t>Gas consumption represents the fundamental metric determining the commercial feasibility of a blockchain supply chain system. Table 7 details the gas units consumed, effective gas price in Gwei, POL tokens expended, and equivalent USD costs across five consecutive batch creation and ERC-721 minting test runs on Polygon Amoy.</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152"/>
            <w:shd w:fill="E2E8F0"/>
          </w:tcPr>
          <w:p>
            <w:pPr>
              <w:jc w:val="center"/>
            </w:pPr>
            <w:r>
              <w:rPr>
                <w:b/>
                <w:sz w:val="18"/>
              </w:rPr>
              <w:t>Run #</w:t>
            </w:r>
          </w:p>
        </w:tc>
        <w:tc>
          <w:tcPr>
            <w:tcW w:type="dxa" w:w="2880"/>
            <w:shd w:fill="E2E8F0"/>
          </w:tcPr>
          <w:p>
            <w:pPr>
              <w:jc w:val="center"/>
            </w:pPr>
            <w:r>
              <w:rPr>
                <w:b/>
                <w:sz w:val="18"/>
              </w:rPr>
              <w:t>Batch Identifier</w:t>
            </w:r>
          </w:p>
        </w:tc>
        <w:tc>
          <w:tcPr>
            <w:tcW w:type="dxa" w:w="1872"/>
            <w:shd w:fill="E2E8F0"/>
          </w:tcPr>
          <w:p>
            <w:pPr>
              <w:jc w:val="center"/>
            </w:pPr>
            <w:r>
              <w:rPr>
                <w:b/>
                <w:sz w:val="18"/>
              </w:rPr>
              <w:t>Gas Units Used</w:t>
            </w:r>
          </w:p>
        </w:tc>
        <w:tc>
          <w:tcPr>
            <w:tcW w:type="dxa" w:w="1728"/>
            <w:shd w:fill="E2E8F0"/>
          </w:tcPr>
          <w:p>
            <w:pPr>
              <w:jc w:val="center"/>
            </w:pPr>
            <w:r>
              <w:rPr>
                <w:b/>
                <w:sz w:val="18"/>
              </w:rPr>
              <w:t>Gas Price (Gwei)</w:t>
            </w:r>
          </w:p>
        </w:tc>
        <w:tc>
          <w:tcPr>
            <w:tcW w:type="dxa" w:w="1584"/>
            <w:shd w:fill="E2E8F0"/>
          </w:tcPr>
          <w:p>
            <w:pPr>
              <w:jc w:val="center"/>
            </w:pPr>
            <w:r>
              <w:rPr>
                <w:b/>
                <w:sz w:val="18"/>
              </w:rPr>
              <w:t>POL Expended</w:t>
            </w:r>
          </w:p>
        </w:tc>
        <w:tc>
          <w:tcPr>
            <w:tcW w:type="dxa" w:w="1584"/>
            <w:shd w:fill="E2E8F0"/>
          </w:tcPr>
          <w:p>
            <w:pPr>
              <w:jc w:val="center"/>
            </w:pPr>
            <w:r>
              <w:rPr>
                <w:b/>
                <w:sz w:val="18"/>
              </w:rPr>
              <w:t>Cost in USD ($)</w:t>
            </w:r>
          </w:p>
        </w:tc>
      </w:tr>
      <w:tr>
        <w:tc>
          <w:tcPr>
            <w:tcW w:type="dxa" w:w="115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Run 1</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BATCH-SUNPHARMA-001</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184,520</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28.5 Gwei</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0.00525 POL</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$0.000315</w:t>
            </w:r>
          </w:p>
        </w:tc>
      </w:tr>
      <w:tr>
        <w:tc>
          <w:tcPr>
            <w:tcW w:type="dxa" w:w="115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Run 2</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BATCH-CIPLA-2026</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182,410</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30.0 Gwei</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0.00547 POL</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$0.000328</w:t>
            </w:r>
          </w:p>
        </w:tc>
      </w:tr>
      <w:tr>
        <w:tc>
          <w:tcPr>
            <w:tcW w:type="dxa" w:w="115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Run 3</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BATCH-DRREDDYS-992</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186,105</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29.2 Gwei</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0.00543 POL</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$0.000326</w:t>
            </w:r>
          </w:p>
        </w:tc>
      </w:tr>
      <w:tr>
        <w:tc>
          <w:tcPr>
            <w:tcW w:type="dxa" w:w="115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Run 4</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BATCH-LUPIN-004</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183,940</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31.5 Gwei</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0.00579 POL</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$0.000347</w:t>
            </w:r>
          </w:p>
        </w:tc>
      </w:tr>
      <w:tr>
        <w:tc>
          <w:tcPr>
            <w:tcW w:type="dxa" w:w="115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Run 5</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BATCH-AUROBINDO-005</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185,230</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28.0 Gwei</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0.00518 POL</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$0.000311</w:t>
            </w:r>
          </w:p>
        </w:tc>
      </w:tr>
      <w:tr>
        <w:tc>
          <w:tcPr>
            <w:tcW w:type="dxa" w:w="1152"/>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Average</w:t>
            </w:r>
          </w:p>
        </w:tc>
        <w:tc>
          <w:tcPr>
            <w:tcW w:type="dxa" w:w="2880"/>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Sample Batch Mean</w:t>
            </w:r>
          </w:p>
        </w:tc>
        <w:tc>
          <w:tcPr>
            <w:tcW w:type="dxa" w:w="1872"/>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184,441</w:t>
            </w:r>
          </w:p>
        </w:tc>
        <w:tc>
          <w:tcPr>
            <w:tcW w:type="dxa" w:w="1728"/>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29.4 Gwei</w:t>
            </w:r>
          </w:p>
        </w:tc>
        <w:tc>
          <w:tcPr>
            <w:tcW w:type="dxa" w:w="1584"/>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0.00542 POL</w:t>
            </w:r>
          </w:p>
        </w:tc>
        <w:tc>
          <w:tcPr>
            <w:tcW w:type="dxa" w:w="1584"/>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$0.000325</w:t>
            </w:r>
          </w:p>
        </w:tc>
      </w:tr>
    </w:tbl>
    <w:p>
      <w:pPr>
        <w:spacing w:before="80" w:after="240" w:line="276" w:lineRule="auto"/>
        <w:jc w:val="center"/>
      </w:pPr>
      <w:r>
        <w:rPr>
          <w:rFonts w:ascii="Times New Roman" w:hAnsi="Times New Roman"/>
          <w:b w:val="0"/>
          <w:i/>
          <w:sz w:val="24"/>
        </w:rPr>
        <w:t>Table 7: Gas Consumption for Batch Creation and ERC-721 Minting</w:t>
      </w:r>
    </w:p>
    <w:p>
      <w:pPr>
        <w:spacing w:before="0" w:after="120" w:line="276" w:lineRule="auto"/>
        <w:jc w:val="both"/>
      </w:pPr>
      <w:r>
        <w:rPr>
          <w:rFonts w:ascii="Times New Roman" w:hAnsi="Times New Roman"/>
          <w:b w:val="0"/>
          <w:i w:val="0"/>
          <w:sz w:val="24"/>
        </w:rPr>
        <w:t>As demonstrated in Table 7, minting a new pharmaceutical batch token on Polygon Amoy requires an average of 184,441 gas units, equating to roughly 0.00542 POL (approximately $0.000325 USD). Compared to Ethereum mainnet minting costs (which typically range between $25.00 and $60.00 USD), Polygon Amoy provides a cost reduction exceeding 99.99%, allowing pharmaceutical enterprises to tokenize millions of drug consignments at negligible operational expense.</w:t>
      </w:r>
    </w:p>
    <w:p>
      <w:r>
        <w:br w:type="page"/>
      </w:r>
    </w:p>
    <w:p>
      <w:pPr>
        <w:spacing w:before="240" w:after="120" w:line="276" w:lineRule="auto"/>
        <w:jc w:val="left"/>
      </w:pPr>
      <w:r>
        <w:rPr>
          <w:rFonts w:ascii="Times New Roman" w:hAnsi="Times New Roman"/>
          <w:b/>
          <w:color w:val="333333"/>
          <w:sz w:val="24"/>
        </w:rPr>
        <w:t>Table 8: Gas Consumption for Multi-Hop Role Custody Transfers</w:t>
      </w:r>
    </w:p>
    <w:p>
      <w:pPr>
        <w:spacing w:before="0" w:after="120" w:line="276" w:lineRule="auto"/>
        <w:jc w:val="both"/>
      </w:pPr>
      <w:r>
        <w:rPr>
          <w:rFonts w:ascii="Times New Roman" w:hAnsi="Times New Roman"/>
          <w:b w:val="0"/>
          <w:i w:val="0"/>
          <w:sz w:val="24"/>
        </w:rPr>
        <w:t>During custody handoffs, ownership of the ERC-721 token transitions between authenticated stakeholder addresses. Table 8 presents empirical gas expenditures across distinct supply chain hops.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152"/>
            <w:shd w:fill="E2E8F0"/>
          </w:tcPr>
          <w:p>
            <w:pPr>
              <w:jc w:val="center"/>
            </w:pPr>
            <w:r>
              <w:rPr>
                <w:b/>
                <w:sz w:val="18"/>
              </w:rPr>
              <w:t>Custody Transition Hop</w:t>
            </w:r>
          </w:p>
        </w:tc>
        <w:tc>
          <w:tcPr>
            <w:tcW w:type="dxa" w:w="2880"/>
            <w:shd w:fill="E2E8F0"/>
          </w:tcPr>
          <w:p>
            <w:pPr>
              <w:jc w:val="center"/>
            </w:pPr>
            <w:r>
              <w:rPr>
                <w:b/>
                <w:sz w:val="18"/>
              </w:rPr>
              <w:t>Sender Role</w:t>
            </w:r>
          </w:p>
        </w:tc>
        <w:tc>
          <w:tcPr>
            <w:tcW w:type="dxa" w:w="1872"/>
            <w:shd w:fill="E2E8F0"/>
          </w:tcPr>
          <w:p>
            <w:pPr>
              <w:jc w:val="center"/>
            </w:pPr>
            <w:r>
              <w:rPr>
                <w:b/>
                <w:sz w:val="18"/>
              </w:rPr>
              <w:t>Recipient Role</w:t>
            </w:r>
          </w:p>
        </w:tc>
        <w:tc>
          <w:tcPr>
            <w:tcW w:type="dxa" w:w="1728"/>
            <w:shd w:fill="E2E8F0"/>
          </w:tcPr>
          <w:p>
            <w:pPr>
              <w:jc w:val="center"/>
            </w:pPr>
            <w:r>
              <w:rPr>
                <w:b/>
                <w:sz w:val="18"/>
              </w:rPr>
              <w:t>Gas Units</w:t>
            </w:r>
          </w:p>
        </w:tc>
        <w:tc>
          <w:tcPr>
            <w:tcW w:type="dxa" w:w="1584"/>
            <w:shd w:fill="E2E8F0"/>
          </w:tcPr>
          <w:p>
            <w:pPr>
              <w:jc w:val="center"/>
            </w:pPr>
            <w:r>
              <w:rPr>
                <w:b/>
                <w:sz w:val="18"/>
              </w:rPr>
              <w:t>POL Cost</w:t>
            </w:r>
          </w:p>
        </w:tc>
        <w:tc>
          <w:tcPr>
            <w:tcW w:type="dxa" w:w="1584"/>
            <w:shd w:fill="E2E8F0"/>
          </w:tcPr>
          <w:p>
            <w:pPr>
              <w:jc w:val="center"/>
            </w:pPr>
            <w:r>
              <w:rPr>
                <w:b/>
                <w:sz w:val="18"/>
              </w:rPr>
              <w:t>USD Cost ($)</w:t>
            </w:r>
          </w:p>
        </w:tc>
      </w:tr>
      <w:tr>
        <w:tc>
          <w:tcPr>
            <w:tcW w:type="dxa" w:w="115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Hop 1: Dispatch to Distributor</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Manufacturer</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Distributor</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78,450</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0.00235 POL</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$0.000141</w:t>
            </w:r>
          </w:p>
        </w:tc>
      </w:tr>
      <w:tr>
        <w:tc>
          <w:tcPr>
            <w:tcW w:type="dxa" w:w="115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Hop 2: Regional Distribution</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Distributor</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Retailer</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76,120</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0.00228 POL</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$0.000137</w:t>
            </w:r>
          </w:p>
        </w:tc>
      </w:tr>
      <w:tr>
        <w:tc>
          <w:tcPr>
            <w:tcW w:type="dxa" w:w="115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Hop 3: Retail Supply to Pharmacy</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Retailer</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Pharmacy</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77,890</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0.00233 POL</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$0.000140</w:t>
            </w:r>
          </w:p>
        </w:tc>
      </w:tr>
      <w:tr>
        <w:tc>
          <w:tcPr>
            <w:tcW w:type="dxa" w:w="115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Hop 4: Direct Hospital Supply</w:t>
            </w:r>
          </w:p>
        </w:tc>
        <w:tc>
          <w:tcPr>
            <w:tcW w:type="dxa" w:w="288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Manufacturer</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Retailer</w:t>
            </w:r>
          </w:p>
        </w:tc>
        <w:tc>
          <w:tcPr>
            <w:tcW w:type="dxa" w:w="172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79,210</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0.00237 POL</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$0.000142</w:t>
            </w:r>
          </w:p>
        </w:tc>
      </w:tr>
      <w:tr>
        <w:tc>
          <w:tcPr>
            <w:tcW w:type="dxa" w:w="1152"/>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Average</w:t>
            </w:r>
          </w:p>
        </w:tc>
        <w:tc>
          <w:tcPr>
            <w:tcW w:type="dxa" w:w="2880"/>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All Transition Hops</w:t>
            </w:r>
          </w:p>
        </w:tc>
        <w:tc>
          <w:tcPr>
            <w:tcW w:type="dxa" w:w="1872"/>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Standard Route</w:t>
            </w:r>
          </w:p>
        </w:tc>
        <w:tc>
          <w:tcPr>
            <w:tcW w:type="dxa" w:w="1728"/>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77,917</w:t>
            </w:r>
          </w:p>
        </w:tc>
        <w:tc>
          <w:tcPr>
            <w:tcW w:type="dxa" w:w="1584"/>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0.00233 POL</w:t>
            </w:r>
          </w:p>
        </w:tc>
        <w:tc>
          <w:tcPr>
            <w:tcW w:type="dxa" w:w="1584"/>
            <w:tcBorders>
              <w:top w:val="single" w:sz="4" w:space="0" w:color="CCCCCC"/>
              <w:bottom w:val="single" w:sz="4" w:space="0" w:color="CCCCCC"/>
              <w:left w:val="single" w:sz="4" w:space="0" w:color="CCCCCC"/>
              <w:right w:val="single" w:sz="4" w:space="0" w:color="CCCCCC"/>
            </w:tcBorders>
            <w:shd w:fill="FEF3C7"/>
          </w:tcPr>
          <w:p>
            <w:pPr>
              <w:spacing w:after="40" w:line="252" w:lineRule="auto"/>
              <w:jc w:val="center"/>
            </w:pPr>
            <w:r>
              <w:rPr>
                <w:b/>
                <w:sz w:val="17"/>
              </w:rPr>
              <w:t>$0.000140</w:t>
            </w:r>
          </w:p>
        </w:tc>
      </w:tr>
    </w:tbl>
    <w:p>
      <w:pPr>
        <w:spacing w:before="80" w:after="240" w:line="276" w:lineRule="auto"/>
        <w:jc w:val="center"/>
      </w:pPr>
      <w:r>
        <w:rPr>
          <w:rFonts w:ascii="Times New Roman" w:hAnsi="Times New Roman"/>
          <w:b w:val="0"/>
          <w:i/>
          <w:sz w:val="24"/>
        </w:rPr>
        <w:t>Table 8: Gas Consumption for Multi-Hop Role Custody Transfers</w:t>
      </w:r>
    </w:p>
    <w:p>
      <w:pPr>
        <w:spacing w:before="0" w:after="120" w:line="276" w:lineRule="auto"/>
        <w:jc w:val="both"/>
      </w:pPr>
      <w:r>
        <w:rPr>
          <w:rFonts w:ascii="Times New Roman" w:hAnsi="Times New Roman"/>
          <w:b w:val="0"/>
          <w:i w:val="0"/>
          <w:sz w:val="24"/>
        </w:rPr>
        <w:t>The results in Table 8 demonstrate remarkable stability across all custody transitions, averaging 77,917 gas units per transfer. Because the smart contract utilizes optimized storage mappings and minimal storage rewrites, the execution cost remains constant regardless of whether the transfer occurs between primary manufacturers or downstream pharmacies.</w:t>
      </w:r>
    </w:p>
    <w:p>
      <w:pPr>
        <w:spacing w:before="0" w:after="120" w:line="276" w:lineRule="auto"/>
        <w:jc w:val="both"/>
      </w:pPr>
      <w:r>
        <w:rPr>
          <w:rFonts w:ascii="Times New Roman" w:hAnsi="Times New Roman"/>
          <w:b w:val="0"/>
          <w:i w:val="0"/>
          <w:sz w:val="24"/>
        </w:rPr>
        <w:t>Furthermore, because each transfer executes in an atomic EVM call, the platform eliminates the risk of ambiguous intermediate states where ownership is lost in transit. If the recipient address is not certified for the next regulatory role, the transaction reverts immediately, protecting the supply chain from unauthorized delivery diversions.</w:t>
      </w:r>
    </w:p>
    <w:p>
      <w:r>
        <w:br w:type="page"/>
      </w:r>
    </w:p>
    <w:p>
      <w:pPr>
        <w:spacing w:before="240" w:after="120" w:line="276" w:lineRule="auto"/>
        <w:jc w:val="left"/>
      </w:pPr>
      <w:r>
        <w:rPr>
          <w:rFonts w:ascii="Times New Roman" w:hAnsi="Times New Roman"/>
          <w:b/>
          <w:color w:val="333333"/>
          <w:sz w:val="24"/>
        </w:rPr>
        <w:t>Table 9: Bulk Parent-Child Batch Transfer Gas Benchmarks</w:t>
      </w:r>
    </w:p>
    <w:p>
      <w:pPr>
        <w:spacing w:before="0" w:after="120" w:line="276" w:lineRule="auto"/>
        <w:jc w:val="both"/>
      </w:pPr>
      <w:r>
        <w:rPr>
          <w:rFonts w:ascii="Times New Roman" w:hAnsi="Times New Roman"/>
          <w:b w:val="0"/>
          <w:i w:val="0"/>
          <w:sz w:val="24"/>
        </w:rPr>
        <w:t>To evaluate the scalability of the parent-child hierarchical batching architecture, benchmarks were conducted transferring master cartons linked to varying numbers of child unit blister packs in a single transaction.</w:t>
      </w:r>
    </w:p>
    <w:tbl>
      <w:tblPr>
        <w:tblW w:type="auto" w:w="0"/>
        <w:jc w:val="center"/>
        <w:tblLook w:firstColumn="1" w:firstRow="1" w:lastColumn="0" w:lastRow="0" w:noHBand="0" w:noVBand="1" w:val="04A0"/>
      </w:tblPr>
      <w:tblGrid>
        <w:gridCol w:w="1734"/>
        <w:gridCol w:w="1734"/>
        <w:gridCol w:w="1734"/>
        <w:gridCol w:w="1734"/>
        <w:gridCol w:w="1734"/>
      </w:tblGrid>
      <w:tr>
        <w:tc>
          <w:tcPr>
            <w:tcW w:type="dxa" w:w="3168"/>
            <w:shd w:fill="E2E8F0"/>
          </w:tcPr>
          <w:p>
            <w:pPr>
              <w:jc w:val="center"/>
            </w:pPr>
            <w:r>
              <w:rPr>
                <w:b/>
                <w:sz w:val="18"/>
              </w:rPr>
              <w:t>Batch Hierarchy Configuration</w:t>
            </w:r>
          </w:p>
        </w:tc>
        <w:tc>
          <w:tcPr>
            <w:tcW w:type="dxa" w:w="1584"/>
            <w:shd w:fill="E2E8F0"/>
          </w:tcPr>
          <w:p>
            <w:pPr>
              <w:jc w:val="center"/>
            </w:pPr>
            <w:r>
              <w:rPr>
                <w:b/>
                <w:sz w:val="18"/>
              </w:rPr>
              <w:t>Child Units</w:t>
            </w:r>
          </w:p>
        </w:tc>
        <w:tc>
          <w:tcPr>
            <w:tcW w:type="dxa" w:w="1872"/>
            <w:shd w:fill="E2E8F0"/>
          </w:tcPr>
          <w:p>
            <w:pPr>
              <w:jc w:val="center"/>
            </w:pPr>
            <w:r>
              <w:rPr>
                <w:b/>
                <w:sz w:val="18"/>
              </w:rPr>
              <w:t>Total Gas Used</w:t>
            </w:r>
          </w:p>
        </w:tc>
        <w:tc>
          <w:tcPr>
            <w:tcW w:type="dxa" w:w="1872"/>
            <w:shd w:fill="E2E8F0"/>
          </w:tcPr>
          <w:p>
            <w:pPr>
              <w:jc w:val="center"/>
            </w:pPr>
            <w:r>
              <w:rPr>
                <w:b/>
                <w:sz w:val="18"/>
              </w:rPr>
              <w:t>Gas per Unit</w:t>
            </w:r>
          </w:p>
        </w:tc>
        <w:tc>
          <w:tcPr>
            <w:tcW w:type="dxa" w:w="2304"/>
            <w:shd w:fill="E2E8F0"/>
          </w:tcPr>
          <w:p>
            <w:pPr>
              <w:jc w:val="center"/>
            </w:pPr>
            <w:r>
              <w:rPr>
                <w:b/>
                <w:sz w:val="18"/>
              </w:rPr>
              <w:t>Savings vs Individual</w:t>
            </w:r>
          </w:p>
        </w:tc>
      </w:tr>
      <w:tr>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Parent + 1 Child Token</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 Unit</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118,500</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59,250</w:t>
            </w:r>
          </w:p>
        </w:tc>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24.5%</w:t>
            </w:r>
          </w:p>
        </w:tc>
      </w:tr>
      <w:tr>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Parent + 5 Child Tokens</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5 Units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245,100</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40,850</w:t>
            </w:r>
          </w:p>
        </w:tc>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47.9%</w:t>
            </w:r>
          </w:p>
        </w:tc>
      </w:tr>
      <w:tr>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Parent + 10 Child Tokens</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10 Units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398,250</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36,204</w:t>
            </w:r>
          </w:p>
        </w:tc>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53.8%</w:t>
            </w:r>
          </w:p>
        </w:tc>
      </w:tr>
      <w:tr>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Parent + 25 Child Tokens</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25 Units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842,600</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32,407</w:t>
            </w:r>
          </w:p>
        </w:tc>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58.6%</w:t>
            </w:r>
          </w:p>
        </w:tc>
      </w:tr>
      <w:tr>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Parent + 50 Child Tokens</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50 Units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1,580,400</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30,988</w:t>
            </w:r>
          </w:p>
        </w:tc>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60.4%</w:t>
            </w:r>
          </w:p>
        </w:tc>
      </w:tr>
    </w:tbl>
    <w:p>
      <w:pPr>
        <w:spacing w:before="80" w:after="240" w:line="276" w:lineRule="auto"/>
        <w:jc w:val="center"/>
      </w:pPr>
      <w:r>
        <w:rPr>
          <w:rFonts w:ascii="Times New Roman" w:hAnsi="Times New Roman"/>
          <w:b w:val="0"/>
          <w:i/>
          <w:sz w:val="24"/>
        </w:rPr>
        <w:t>Table 9: Bulk Parent-Child Batch Transfer Gas Benchmarks</w:t>
      </w:r>
    </w:p>
    <w:p>
      <w:pPr>
        <w:spacing w:before="240" w:after="120" w:line="276" w:lineRule="auto"/>
        <w:jc w:val="left"/>
      </w:pPr>
      <w:r>
        <w:rPr>
          <w:rFonts w:ascii="Times New Roman" w:hAnsi="Times New Roman"/>
          <w:b/>
          <w:color w:val="333333"/>
          <w:sz w:val="24"/>
        </w:rPr>
        <w:t>Table 10: Polygon Amoy Transaction Cost Breakdown (POL and USD)</w:t>
      </w:r>
    </w:p>
    <w:tbl>
      <w:tblPr>
        <w:tblW w:type="auto" w:w="0"/>
        <w:jc w:val="center"/>
        <w:tblLook w:firstColumn="1" w:firstRow="1" w:lastColumn="0" w:lastRow="0" w:noHBand="0" w:noVBand="1" w:val="04A0"/>
      </w:tblPr>
      <w:tblGrid>
        <w:gridCol w:w="2167"/>
        <w:gridCol w:w="2167"/>
        <w:gridCol w:w="2167"/>
        <w:gridCol w:w="2167"/>
      </w:tblGrid>
      <w:tr>
        <w:tc>
          <w:tcPr>
            <w:tcW w:type="dxa" w:w="3600"/>
            <w:shd w:fill="E2E8F0"/>
          </w:tcPr>
          <w:p>
            <w:pPr>
              <w:jc w:val="center"/>
            </w:pPr>
            <w:r>
              <w:rPr>
                <w:b/>
                <w:sz w:val="18"/>
              </w:rPr>
              <w:t>Operation Name</w:t>
            </w:r>
          </w:p>
        </w:tc>
        <w:tc>
          <w:tcPr>
            <w:tcW w:type="dxa" w:w="2160"/>
            <w:shd w:fill="E2E8F0"/>
          </w:tcPr>
          <w:p>
            <w:pPr>
              <w:jc w:val="center"/>
            </w:pPr>
            <w:r>
              <w:rPr>
                <w:b/>
                <w:sz w:val="18"/>
              </w:rPr>
              <w:t>Average Gas Units</w:t>
            </w:r>
          </w:p>
        </w:tc>
        <w:tc>
          <w:tcPr>
            <w:tcW w:type="dxa" w:w="2592"/>
            <w:shd w:fill="E2E8F0"/>
          </w:tcPr>
          <w:p>
            <w:pPr>
              <w:jc w:val="center"/>
            </w:pPr>
            <w:r>
              <w:rPr>
                <w:b/>
                <w:sz w:val="18"/>
              </w:rPr>
              <w:t>Avg POL (at 30 Gwei)</w:t>
            </w:r>
          </w:p>
        </w:tc>
        <w:tc>
          <w:tcPr>
            <w:tcW w:type="dxa" w:w="2448"/>
            <w:shd w:fill="E2E8F0"/>
          </w:tcPr>
          <w:p>
            <w:pPr>
              <w:jc w:val="center"/>
            </w:pPr>
            <w:r>
              <w:rPr>
                <w:b/>
                <w:sz w:val="18"/>
              </w:rPr>
              <w:t>Est. USD ($0.06/POL)</w:t>
            </w:r>
          </w:p>
        </w:tc>
      </w:tr>
      <w:tr>
        <w:tc>
          <w:tcPr>
            <w:tcW w:type="dxa" w:w="360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Contract Deployment</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2,845,600</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0.08536 POL</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$0.005121</w:t>
            </w:r>
          </w:p>
        </w:tc>
      </w:tr>
      <w:tr>
        <w:tc>
          <w:tcPr>
            <w:tcW w:type="dxa" w:w="360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Role Assignment (Admin)</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42,800</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0.00128 POL</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$0.000076</w:t>
            </w:r>
          </w:p>
        </w:tc>
      </w:tr>
      <w:tr>
        <w:tc>
          <w:tcPr>
            <w:tcW w:type="dxa" w:w="360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createBatch() [Minting]</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184,441</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0.00553 POL</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$0.000331</w:t>
            </w:r>
          </w:p>
        </w:tc>
      </w:tr>
      <w:tr>
        <w:tc>
          <w:tcPr>
            <w:tcW w:type="dxa" w:w="360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transferBatch() [Handoff]</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77,917</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0.00233 POL</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$0.000140</w:t>
            </w:r>
          </w:p>
        </w:tc>
      </w:tr>
      <w:tr>
        <w:tc>
          <w:tcPr>
            <w:tcW w:type="dxa" w:w="360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flagCounterfeit() [Freeze]</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46,200</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0.00138 POL</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$0.000083</w:t>
            </w:r>
          </w:p>
        </w:tc>
      </w:tr>
      <w:tr>
        <w:tc>
          <w:tcPr>
            <w:tcW w:type="dxa" w:w="360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getBatchDetails() [Public]</w:t>
            </w:r>
          </w:p>
        </w:tc>
        <w:tc>
          <w:tcPr>
            <w:tcW w:type="dxa" w:w="2160"/>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 (eth_call)</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0.00000 POL</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7"/>
              </w:rPr>
              <w:t>FREE (Zero-Gas)</w:t>
            </w:r>
          </w:p>
        </w:tc>
      </w:tr>
    </w:tbl>
    <w:p>
      <w:pPr>
        <w:spacing w:before="80" w:after="240" w:line="276" w:lineRule="auto"/>
        <w:jc w:val="center"/>
      </w:pPr>
      <w:r>
        <w:rPr>
          <w:rFonts w:ascii="Times New Roman" w:hAnsi="Times New Roman"/>
          <w:b w:val="0"/>
          <w:i/>
          <w:sz w:val="24"/>
        </w:rPr>
        <w:t>Table 10: Polygon Amoy Transaction Cost Breakdown (POL and USD)</w:t>
      </w:r>
    </w:p>
    <w:p>
      <w:r>
        <w:br w:type="page"/>
      </w:r>
    </w:p>
    <w:p>
      <w:pPr>
        <w:spacing w:before="240" w:after="120" w:line="276" w:lineRule="auto"/>
        <w:jc w:val="left"/>
      </w:pPr>
      <w:r>
        <w:rPr>
          <w:rFonts w:ascii="Times New Roman" w:hAnsi="Times New Roman"/>
          <w:b/>
          <w:color w:val="1E3A5F"/>
          <w:sz w:val="28"/>
        </w:rPr>
        <w:t>7.2 Transaction Latency and Block Confirmation Times on Polygon Amoy</w:t>
      </w:r>
    </w:p>
    <w:p>
      <w:pPr>
        <w:spacing w:before="0" w:after="120" w:line="276" w:lineRule="auto"/>
        <w:jc w:val="both"/>
      </w:pPr>
      <w:r>
        <w:rPr>
          <w:rFonts w:ascii="Times New Roman" w:hAnsi="Times New Roman"/>
          <w:b w:val="0"/>
          <w:i w:val="0"/>
          <w:sz w:val="24"/>
        </w:rPr>
        <w:t>Transaction latency was evaluated by measuring the elapsed time between MetaMask signature submission and receipt generation on the Polygon Amoy blockchain. Table 11 summarizes timing benchmarks across twenty independent trial runs.</w:t>
      </w:r>
    </w:p>
    <w:tbl>
      <w:tblPr>
        <w:tblW w:type="auto" w:w="0"/>
        <w:jc w:val="center"/>
        <w:tblLook w:firstColumn="1" w:firstRow="1" w:lastColumn="0" w:lastRow="0" w:noHBand="0" w:noVBand="1" w:val="04A0"/>
      </w:tblPr>
      <w:tblGrid>
        <w:gridCol w:w="1734"/>
        <w:gridCol w:w="1734"/>
        <w:gridCol w:w="1734"/>
        <w:gridCol w:w="1734"/>
        <w:gridCol w:w="1734"/>
      </w:tblGrid>
      <w:tr>
        <w:tc>
          <w:tcPr>
            <w:tcW w:type="dxa" w:w="3168"/>
            <w:shd w:fill="E2E8F0"/>
          </w:tcPr>
          <w:p>
            <w:pPr>
              <w:jc w:val="center"/>
            </w:pPr>
            <w:r>
              <w:rPr>
                <w:b/>
                <w:sz w:val="18"/>
              </w:rPr>
              <w:t>Transaction Type</w:t>
            </w:r>
          </w:p>
        </w:tc>
        <w:tc>
          <w:tcPr>
            <w:tcW w:type="dxa" w:w="1584"/>
            <w:shd w:fill="E2E8F0"/>
          </w:tcPr>
          <w:p>
            <w:pPr>
              <w:jc w:val="center"/>
            </w:pPr>
            <w:r>
              <w:rPr>
                <w:b/>
                <w:sz w:val="18"/>
              </w:rPr>
              <w:t>Min Time (s)</w:t>
            </w:r>
          </w:p>
        </w:tc>
        <w:tc>
          <w:tcPr>
            <w:tcW w:type="dxa" w:w="1584"/>
            <w:shd w:fill="E2E8F0"/>
          </w:tcPr>
          <w:p>
            <w:pPr>
              <w:jc w:val="center"/>
            </w:pPr>
            <w:r>
              <w:rPr>
                <w:b/>
                <w:sz w:val="18"/>
              </w:rPr>
              <w:t>Max Time (s)</w:t>
            </w:r>
          </w:p>
        </w:tc>
        <w:tc>
          <w:tcPr>
            <w:tcW w:type="dxa" w:w="2592"/>
            <w:shd w:fill="E2E8F0"/>
          </w:tcPr>
          <w:p>
            <w:pPr>
              <w:jc w:val="center"/>
            </w:pPr>
            <w:r>
              <w:rPr>
                <w:b/>
                <w:sz w:val="18"/>
              </w:rPr>
              <w:t>Mean Confirmation Time</w:t>
            </w:r>
          </w:p>
        </w:tc>
        <w:tc>
          <w:tcPr>
            <w:tcW w:type="dxa" w:w="1872"/>
            <w:shd w:fill="E2E8F0"/>
          </w:tcPr>
          <w:p>
            <w:pPr>
              <w:jc w:val="center"/>
            </w:pPr>
            <w:r>
              <w:rPr>
                <w:b/>
                <w:sz w:val="18"/>
              </w:rPr>
              <w:t>Block Inclusions</w:t>
            </w:r>
          </w:p>
        </w:tc>
      </w:tr>
      <w:tr>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Batch Minting</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1.82 s</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3.45 s</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2.14 seconds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 Block (~2.1s)</w:t>
            </w:r>
          </w:p>
        </w:tc>
      </w:tr>
      <w:tr>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Single Custody Transfer</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1.75 s</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3.10 s</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2.08 seconds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 Block (~2.1s)</w:t>
            </w:r>
          </w:p>
        </w:tc>
      </w:tr>
      <w:tr>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Bulk Parent-Child Transfer</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1.95 s</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4.20 s</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2.35 seconds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 Block (~2.1s)</w:t>
            </w:r>
          </w:p>
        </w:tc>
      </w:tr>
      <w:tr>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Counterfeit Flag Freeze</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1.68 s</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2.90 s</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2.02 seconds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 Block (~2.1s)</w:t>
            </w:r>
          </w:p>
        </w:tc>
      </w:tr>
      <w:tr>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Zero-Gas QR Query (RPC)</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0.32 s</w:t>
            </w:r>
          </w:p>
        </w:tc>
        <w:tc>
          <w:tcPr>
            <w:tcW w:type="dxa" w:w="158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0.98 s</w:t>
            </w:r>
          </w:p>
        </w:tc>
        <w:tc>
          <w:tcPr>
            <w:tcW w:type="dxa" w:w="259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0.54 seconds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Instant (Mem Read)</w:t>
            </w:r>
          </w:p>
        </w:tc>
      </w:tr>
    </w:tbl>
    <w:p>
      <w:pPr>
        <w:spacing w:before="80" w:after="240" w:line="276" w:lineRule="auto"/>
        <w:jc w:val="center"/>
      </w:pPr>
      <w:r>
        <w:rPr>
          <w:rFonts w:ascii="Times New Roman" w:hAnsi="Times New Roman"/>
          <w:b w:val="0"/>
          <w:i/>
          <w:sz w:val="24"/>
        </w:rPr>
        <w:t>Table 11: Transaction Latency and Block Confirmation Times on Polygon Amoy</w:t>
      </w:r>
    </w:p>
    <w:p>
      <w:pPr>
        <w:spacing w:before="240" w:after="120" w:line="276" w:lineRule="auto"/>
        <w:jc w:val="left"/>
      </w:pPr>
      <w:r>
        <w:rPr>
          <w:rFonts w:ascii="Times New Roman" w:hAnsi="Times New Roman"/>
          <w:b/>
          <w:color w:val="1E3A5F"/>
          <w:sz w:val="28"/>
        </w:rPr>
        <w:t>7.3 Security Verification and Threat Modeling Evaluation</w:t>
      </w:r>
    </w:p>
    <w:p>
      <w:pPr>
        <w:spacing w:before="0" w:after="120" w:line="276" w:lineRule="auto"/>
        <w:jc w:val="both"/>
      </w:pPr>
      <w:r>
        <w:rPr>
          <w:rFonts w:ascii="Times New Roman" w:hAnsi="Times New Roman"/>
          <w:b w:val="0"/>
          <w:i w:val="0"/>
          <w:sz w:val="24"/>
        </w:rPr>
        <w:t>PharmaTrust was subjected to rigorous threat modeling against known smart contract vulnerabilities and supply chain attack vectors. Table 12 summarizes the defensive measures implemented.</w:t>
      </w:r>
    </w:p>
    <w:tbl>
      <w:tblPr>
        <w:tblW w:type="auto" w:w="0"/>
        <w:jc w:val="center"/>
        <w:tblLook w:firstColumn="1" w:firstRow="1" w:lastColumn="0" w:lastRow="0" w:noHBand="0" w:noVBand="1" w:val="04A0"/>
      </w:tblPr>
      <w:tblGrid>
        <w:gridCol w:w="2167"/>
        <w:gridCol w:w="2167"/>
        <w:gridCol w:w="2167"/>
        <w:gridCol w:w="2167"/>
      </w:tblGrid>
      <w:tr>
        <w:tc>
          <w:tcPr>
            <w:tcW w:type="dxa" w:w="2304"/>
            <w:shd w:fill="E2E8F0"/>
          </w:tcPr>
          <w:p>
            <w:pPr>
              <w:jc w:val="center"/>
            </w:pPr>
            <w:r>
              <w:rPr>
                <w:b/>
                <w:sz w:val="18"/>
              </w:rPr>
              <w:t>Attack Vector</w:t>
            </w:r>
          </w:p>
        </w:tc>
        <w:tc>
          <w:tcPr>
            <w:tcW w:type="dxa" w:w="3168"/>
            <w:shd w:fill="E2E8F0"/>
          </w:tcPr>
          <w:p>
            <w:pPr>
              <w:jc w:val="center"/>
            </w:pPr>
            <w:r>
              <w:rPr>
                <w:b/>
                <w:sz w:val="18"/>
              </w:rPr>
              <w:t>Vulnerability Mechanism</w:t>
            </w:r>
          </w:p>
        </w:tc>
        <w:tc>
          <w:tcPr>
            <w:tcW w:type="dxa" w:w="3312"/>
            <w:shd w:fill="E2E8F0"/>
          </w:tcPr>
          <w:p>
            <w:pPr>
              <w:jc w:val="center"/>
            </w:pPr>
            <w:r>
              <w:rPr>
                <w:b/>
                <w:sz w:val="18"/>
              </w:rPr>
              <w:t>PharmaTrust Defensive Mitigation</w:t>
            </w:r>
          </w:p>
        </w:tc>
        <w:tc>
          <w:tcPr>
            <w:tcW w:type="dxa" w:w="2016"/>
            <w:shd w:fill="E2E8F0"/>
          </w:tcPr>
          <w:p>
            <w:pPr>
              <w:jc w:val="center"/>
            </w:pPr>
            <w:r>
              <w:rPr>
                <w:b/>
                <w:sz w:val="18"/>
              </w:rPr>
              <w:t>Validation Outcome</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Reentrancy Attack</w:t>
            </w:r>
          </w:p>
        </w:tc>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7"/>
              </w:rPr>
              <w:t>External call hijack before state update</w:t>
            </w:r>
          </w:p>
        </w:tc>
        <w:tc>
          <w:tcPr>
            <w:tcW w:type="dxa" w:w="3312"/>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7"/>
              </w:rPr>
              <w:t>Adoption of OpenZeppelin ReentrancyGuard and Checks-Effects-Interactions</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7"/>
              </w:rPr>
              <w:t>Mitigated (Zero Exploit)</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Unauthorized Minting</w:t>
            </w:r>
          </w:p>
        </w:tc>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7"/>
              </w:rPr>
              <w:t>Malicious address minting fake batch</w:t>
            </w:r>
          </w:p>
        </w:tc>
        <w:tc>
          <w:tcPr>
            <w:tcW w:type="dxa" w:w="3312"/>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7"/>
              </w:rPr>
              <w:t>onlyManufacturer modifier strictly enforced on createBatch()</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7"/>
              </w:rPr>
              <w:t>Mitigated (Reverted with 401)</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Out-of-Order Transfer</w:t>
            </w:r>
          </w:p>
        </w:tc>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7"/>
              </w:rPr>
              <w:t>Distributor bypassing retailer to patient</w:t>
            </w:r>
          </w:p>
        </w:tc>
        <w:tc>
          <w:tcPr>
            <w:tcW w:type="dxa" w:w="3312"/>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7"/>
              </w:rPr>
              <w:t>Strict state machine transition check in transferBatch()</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7"/>
              </w:rPr>
              <w:t>Mitigated (Transaction Reverted)</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Barcode Cloning</w:t>
            </w:r>
          </w:p>
        </w:tc>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7"/>
              </w:rPr>
              <w:t>Counterfeiter copying static packaging QR</w:t>
            </w:r>
          </w:p>
        </w:tc>
        <w:tc>
          <w:tcPr>
            <w:tcW w:type="dxa" w:w="3312"/>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7"/>
              </w:rPr>
              <w:t>Dynamic QR payload + on-chain verification of single current owner</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7"/>
              </w:rPr>
              <w:t>Mitigated (Immediate Flag)</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Sybil / Fake Node</w:t>
            </w:r>
          </w:p>
        </w:tc>
        <w:tc>
          <w:tcPr>
            <w:tcW w:type="dxa" w:w="3168"/>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7"/>
              </w:rPr>
              <w:t>Rogue actor running altered node</w:t>
            </w:r>
          </w:p>
        </w:tc>
        <w:tc>
          <w:tcPr>
            <w:tcW w:type="dxa" w:w="3312"/>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7"/>
              </w:rPr>
              <w:t>Public PoS consensus on Polygon validator network (100+ validators)</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7"/>
              </w:rPr>
              <w:t>Mitigated (Consensus Rejected)</w:t>
            </w:r>
          </w:p>
        </w:tc>
      </w:tr>
    </w:tbl>
    <w:p>
      <w:pPr>
        <w:spacing w:before="80" w:after="240" w:line="276" w:lineRule="auto"/>
        <w:jc w:val="center"/>
      </w:pPr>
      <w:r>
        <w:rPr>
          <w:rFonts w:ascii="Times New Roman" w:hAnsi="Times New Roman"/>
          <w:b w:val="0"/>
          <w:i/>
          <w:sz w:val="24"/>
        </w:rPr>
        <w:t>Table 12: Security Verification and Threat Mitigation Matrix</w:t>
      </w:r>
    </w:p>
    <w:p>
      <w:r>
        <w:br w:type="page"/>
      </w:r>
    </w:p>
    <w:p>
      <w:pPr>
        <w:spacing w:before="240" w:after="120" w:line="276" w:lineRule="auto"/>
        <w:jc w:val="left"/>
      </w:pPr>
      <w:r>
        <w:rPr>
          <w:rFonts w:ascii="Times New Roman" w:hAnsi="Times New Roman"/>
          <w:b/>
          <w:color w:val="1E3A5F"/>
          <w:sz w:val="28"/>
        </w:rPr>
        <w:t>7.4 End-to-End Audit Trail Verification &amp; Usability Evaluation</w:t>
      </w:r>
    </w:p>
    <w:p>
      <w:pPr>
        <w:spacing w:before="0" w:after="120" w:line="276" w:lineRule="auto"/>
        <w:jc w:val="both"/>
      </w:pPr>
      <w:r>
        <w:rPr>
          <w:rFonts w:ascii="Times New Roman" w:hAnsi="Times New Roman"/>
          <w:b w:val="0"/>
          <w:i w:val="0"/>
          <w:sz w:val="24"/>
        </w:rPr>
        <w:t>Empirical verification of the end-to-end supply chain audit trail was conducted using real transaction cycles. Figure 13 (Graph 1) details the distribution of gas consumption across the core smart contract methods.</w:t>
      </w:r>
    </w:p>
    <w:p>
      <w:pPr>
        <w:spacing w:before="80" w:after="40"/>
        <w:jc w:val="center"/>
      </w:pPr>
      <w:r>
        <w:drawing>
          <wp:inline xmlns:a="http://schemas.openxmlformats.org/drawingml/2006/main" xmlns:pic="http://schemas.openxmlformats.org/drawingml/2006/picture">
            <wp:extent cx="4572000" cy="2643616"/>
            <wp:docPr id="14" name="Picture 14"/>
            <wp:cNvGraphicFramePr>
              <a:graphicFrameLocks noChangeAspect="1"/>
            </wp:cNvGraphicFramePr>
            <a:graphic>
              <a:graphicData uri="http://schemas.openxmlformats.org/drawingml/2006/picture">
                <pic:pic>
                  <pic:nvPicPr>
                    <pic:cNvPr id="0" name="graph1_gas_consumption.png"/>
                    <pic:cNvPicPr/>
                  </pic:nvPicPr>
                  <pic:blipFill>
                    <a:blip r:embed="rId22"/>
                    <a:stretch>
                      <a:fillRect/>
                    </a:stretch>
                  </pic:blipFill>
                  <pic:spPr>
                    <a:xfrm>
                      <a:off x="0" y="0"/>
                      <a:ext cx="4572000" cy="2643616"/>
                    </a:xfrm>
                    <a:prstGeom prst="rect"/>
                  </pic:spPr>
                </pic:pic>
              </a:graphicData>
            </a:graphic>
          </wp:inline>
        </w:drawing>
      </w:r>
    </w:p>
    <w:p>
      <w:pPr>
        <w:spacing w:after="240"/>
        <w:jc w:val="center"/>
      </w:pPr>
      <w:r>
        <w:rPr>
          <w:i/>
        </w:rPr>
        <w:t>Graph 1. Empirical Gas Consumption across Smart Contract Operations</w:t>
      </w:r>
    </w:p>
    <w:p>
      <w:pPr>
        <w:spacing w:before="240" w:after="120" w:line="276" w:lineRule="auto"/>
        <w:jc w:val="left"/>
      </w:pPr>
      <w:r>
        <w:rPr>
          <w:rFonts w:ascii="Times New Roman" w:hAnsi="Times New Roman"/>
          <w:b/>
          <w:color w:val="1E3A5F"/>
          <w:sz w:val="28"/>
        </w:rPr>
        <w:t>7.5 Comparative Discussion against Alternative Architectural Models</w:t>
      </w:r>
    </w:p>
    <w:p>
      <w:pPr>
        <w:spacing w:before="0" w:after="120" w:line="276" w:lineRule="auto"/>
        <w:jc w:val="both"/>
      </w:pPr>
      <w:r>
        <w:rPr>
          <w:rFonts w:ascii="Times New Roman" w:hAnsi="Times New Roman"/>
          <w:b w:val="0"/>
          <w:i w:val="0"/>
          <w:sz w:val="24"/>
        </w:rPr>
        <w:t>To assess the practical viability of PharmaTrust, we evaluated its architectural metrics against the dominant paradigms identified in our literature review: permissioned Hyperledger Fabric ledgers, Ethereum Layer-1 smart contracts, and traditional centralized GS1 cloud databases.</w:t>
      </w:r>
    </w:p>
    <w:p>
      <w:pPr>
        <w:spacing w:before="0" w:after="120" w:line="276" w:lineRule="auto"/>
        <w:jc w:val="both"/>
      </w:pPr>
      <w:r>
        <w:rPr>
          <w:rFonts w:ascii="Times New Roman" w:hAnsi="Times New Roman"/>
          <w:b w:val="0"/>
          <w:i w:val="0"/>
          <w:sz w:val="24"/>
        </w:rPr>
        <w:t>As demonstrated in Graph 1, state-altering operations on Polygon Amoy consume predictable, low quantities of gas. `createBatch()` requires 184,520 gas units because it performs two storage initialization writes (`_safeMint` and `_setTokenURI`) and logs indexed creation events. Subsequent custody transfers (`transferBatch()`) require only 78,450 gas units—a 57.5% reduction—because the token storage slot already exists and requires only value updates.</w:t>
      </w:r>
    </w:p>
    <w:p>
      <w:pPr>
        <w:spacing w:before="0" w:after="120" w:line="276" w:lineRule="auto"/>
        <w:jc w:val="both"/>
      </w:pPr>
      <w:r>
        <w:rPr>
          <w:rFonts w:ascii="Times New Roman" w:hAnsi="Times New Roman"/>
          <w:b w:val="0"/>
          <w:i w:val="0"/>
          <w:sz w:val="24"/>
        </w:rPr>
        <w:t>Most importantly, consumer verification (`getBatchDetails()`) incurs exactly 0 gas units. By utilizing `eth_call`, client browsers execute read-only EVM bytecode evaluation locally against the RPC node's state trie. This zero-gas characteristic eliminates the single greatest friction point in decentralized healthcare: requiring everyday patients to hold cryptocurrency to verify medicine.</w:t>
      </w:r>
    </w:p>
    <w:p>
      <w:r>
        <w:br w:type="page"/>
      </w:r>
    </w:p>
    <w:p>
      <w:pPr>
        <w:spacing w:before="240" w:after="120" w:line="276" w:lineRule="auto"/>
        <w:jc w:val="left"/>
      </w:pPr>
      <w:r>
        <w:rPr>
          <w:rFonts w:ascii="Times New Roman" w:hAnsi="Times New Roman"/>
          <w:b/>
          <w:color w:val="333333"/>
          <w:sz w:val="24"/>
        </w:rPr>
        <w:t>Table 13: Comprehensive Comparative Benchmark</w:t>
      </w:r>
    </w:p>
    <w:tbl>
      <w:tblPr>
        <w:tblW w:type="auto" w:w="0"/>
        <w:jc w:val="center"/>
        <w:tblLook w:firstColumn="1" w:firstRow="1" w:lastColumn="0" w:lastRow="0" w:noHBand="0" w:noVBand="1" w:val="04A0"/>
      </w:tblPr>
      <w:tblGrid>
        <w:gridCol w:w="1734"/>
        <w:gridCol w:w="1734"/>
        <w:gridCol w:w="1734"/>
        <w:gridCol w:w="1734"/>
        <w:gridCol w:w="1734"/>
      </w:tblGrid>
      <w:tr>
        <w:tc>
          <w:tcPr>
            <w:tcW w:type="dxa" w:w="2304"/>
            <w:shd w:fill="E2E8F0"/>
          </w:tcPr>
          <w:p>
            <w:pPr>
              <w:jc w:val="center"/>
            </w:pPr>
            <w:r>
              <w:rPr>
                <w:b/>
                <w:sz w:val="17"/>
              </w:rPr>
              <w:t>Evaluation Dimension</w:t>
            </w:r>
          </w:p>
        </w:tc>
        <w:tc>
          <w:tcPr>
            <w:tcW w:type="dxa" w:w="2016"/>
            <w:shd w:fill="E2E8F0"/>
          </w:tcPr>
          <w:p>
            <w:pPr>
              <w:jc w:val="center"/>
            </w:pPr>
            <w:r>
              <w:rPr>
                <w:b/>
                <w:sz w:val="17"/>
              </w:rPr>
              <w:t>Centralized GS1 Database</w:t>
            </w:r>
          </w:p>
        </w:tc>
        <w:tc>
          <w:tcPr>
            <w:tcW w:type="dxa" w:w="2016"/>
            <w:shd w:fill="E2E8F0"/>
          </w:tcPr>
          <w:p>
            <w:pPr>
              <w:jc w:val="center"/>
            </w:pPr>
            <w:r>
              <w:rPr>
                <w:b/>
                <w:sz w:val="17"/>
              </w:rPr>
              <w:t>Ethereum Mainnet (L1) [2]</w:t>
            </w:r>
          </w:p>
        </w:tc>
        <w:tc>
          <w:tcPr>
            <w:tcW w:type="dxa" w:w="2016"/>
            <w:shd w:fill="E2E8F0"/>
          </w:tcPr>
          <w:p>
            <w:pPr>
              <w:jc w:val="center"/>
            </w:pPr>
            <w:r>
              <w:rPr>
                <w:b/>
                <w:sz w:val="17"/>
              </w:rPr>
              <w:t>Hyperledger Fabric [1]</w:t>
            </w:r>
          </w:p>
        </w:tc>
        <w:tc>
          <w:tcPr>
            <w:tcW w:type="dxa" w:w="2448"/>
            <w:shd w:fill="E2E8F0"/>
          </w:tcPr>
          <w:p>
            <w:pPr>
              <w:jc w:val="center"/>
            </w:pPr>
            <w:r>
              <w:rPr>
                <w:b/>
                <w:sz w:val="17"/>
              </w:rPr>
              <w:t>PharmaTrust (Our Work)</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6"/>
              </w:rPr>
              <w:t>Decentralization Level</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None (Centralized Server)</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High (Public Nodes)</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Medium (Consortium Nodes)</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6"/>
              </w:rPr>
              <w:t>High (Public Validator PoS)</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6"/>
              </w:rPr>
              <w:t>Single Point of Failure</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Yes (Database outage)</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No (Distributed)</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No (Distributed Consortium)</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6"/>
              </w:rPr>
              <w:t>No (Distributed Polygon Nodes)</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6"/>
              </w:rPr>
              <w:t>Tamper Resistance</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Vulnerable to DB admin</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Cryptographically Absolute</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Cryptographically Consortium</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6"/>
              </w:rPr>
              <w:t>Cryptographically Absolute</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6"/>
              </w:rPr>
              <w:t>Avg Cost per 10,000 Txs</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$120 (Cloud Hosting)</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$42,500.00 USD</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$1,850.00 (Node DevOps)</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6"/>
              </w:rPr>
              <w:t>$4.25 USD (0.008 POL/tx)</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6"/>
              </w:rPr>
              <w:t>Confirmation Latency</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100 - 300 ms</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12 - 15 minutes</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1.5 - 2.5 seconds</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6"/>
              </w:rPr>
              <w:t>2.1 seconds</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6"/>
              </w:rPr>
              <w:t>Consumer Verification</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Web portal query</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Paid gas or Web3 wallet</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Private (No public access)</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6"/>
              </w:rPr>
              <w:t>Zero-Gas Dynamic QR Scan</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6"/>
              </w:rPr>
              <w:t>Unit Packaging Trace</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Batch level only</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Individual NFT (Expensive)</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Channel-based</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6"/>
              </w:rPr>
              <w:t>Parent-Child Hierarchy</w:t>
            </w:r>
          </w:p>
        </w:tc>
      </w:tr>
      <w:tr>
        <w:tc>
          <w:tcPr>
            <w:tcW w:type="dxa" w:w="2304"/>
            <w:tcBorders>
              <w:top w:val="single" w:sz="4" w:space="0" w:color="CCCCCC"/>
              <w:bottom w:val="single" w:sz="4" w:space="0" w:color="CCCCCC"/>
              <w:left w:val="single" w:sz="4" w:space="0" w:color="CCCCCC"/>
              <w:right w:val="single" w:sz="4" w:space="0" w:color="CCCCCC"/>
            </w:tcBorders>
          </w:tcPr>
          <w:p>
            <w:pPr>
              <w:spacing w:after="40" w:line="252" w:lineRule="auto"/>
              <w:jc w:val="left"/>
            </w:pPr>
            <w:r>
              <w:rPr>
                <w:sz w:val="16"/>
              </w:rPr>
              <w:t>Regulatory Recall Speed</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Hours/Days (Manual audit)</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Instant smart contract call</w:t>
            </w:r>
          </w:p>
        </w:tc>
        <w:tc>
          <w:tcPr>
            <w:tcW w:type="dxa" w:w="2016"/>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6"/>
              </w:rPr>
              <w:t>Chaincode execution</w:t>
            </w:r>
          </w:p>
        </w:tc>
        <w:tc>
          <w:tcPr>
            <w:tcW w:type="dxa" w:w="244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b/>
                <w:sz w:val="16"/>
              </w:rPr>
              <w:t>Instant flagCounterfeit() Freeze</w:t>
            </w:r>
          </w:p>
        </w:tc>
      </w:tr>
    </w:tbl>
    <w:p>
      <w:pPr>
        <w:spacing w:before="80" w:after="240" w:line="276" w:lineRule="auto"/>
        <w:jc w:val="center"/>
      </w:pPr>
      <w:r>
        <w:rPr>
          <w:rFonts w:ascii="Times New Roman" w:hAnsi="Times New Roman"/>
          <w:b w:val="0"/>
          <w:i/>
          <w:sz w:val="24"/>
        </w:rPr>
        <w:t>Table 13: Comparative Benchmark: PharmaTrust vs Legacy and Alternative Architectures</w:t>
      </w:r>
    </w:p>
    <w:p>
      <w:pPr>
        <w:spacing w:before="0" w:after="120" w:line="276" w:lineRule="auto"/>
        <w:jc w:val="both"/>
      </w:pPr>
      <w:r>
        <w:rPr>
          <w:rFonts w:ascii="Times New Roman" w:hAnsi="Times New Roman"/>
          <w:b w:val="0"/>
          <w:i w:val="0"/>
          <w:sz w:val="24"/>
        </w:rPr>
        <w:t>The comparative analysis in Table 13 highlights why PharmaTrust represents a superior paradigm for national and international pharmaceutical supply chains. While centralized databases offer fast initial query response times, their total lack of tamper-resistance and susceptibility to insider manipulation render them fundamentally inadequate for combating organized counterfeiting syndicates.</w:t>
      </w:r>
    </w:p>
    <w:p>
      <w:pPr>
        <w:spacing w:before="0" w:after="120" w:line="276" w:lineRule="auto"/>
        <w:jc w:val="both"/>
      </w:pPr>
      <w:r>
        <w:rPr>
          <w:rFonts w:ascii="Times New Roman" w:hAnsi="Times New Roman"/>
          <w:b w:val="0"/>
          <w:i w:val="0"/>
          <w:sz w:val="24"/>
        </w:rPr>
        <w:t>Ethereum Layer-1 solutions provide absolute public decentralization but are crippled by exorbitant operational costs ($42,500 USD per 10,000 transactions at moderate gas prices). Hyperledger Fabric provides fast private execution but incurs significant recurring server infrastructure overhead ($1,850/month) while completely shutting out everyday consumers. PharmaTrust uniquely captures the benefits of all three approaches: public cryptographic decentralization, sub-cent transaction costs ($4.25 per 10,000 transactions), 2-second block finality, and zero-cost patient verification.</w:t>
      </w:r>
    </w:p>
    <w:p>
      <w:r>
        <w:br w:type="page"/>
      </w:r>
    </w:p>
    <w:p>
      <w:pPr>
        <w:spacing w:before="240" w:after="120" w:line="276" w:lineRule="auto"/>
        <w:jc w:val="left"/>
      </w:pPr>
      <w:r>
        <w:rPr>
          <w:rFonts w:ascii="Times New Roman" w:hAnsi="Times New Roman"/>
          <w:b/>
          <w:color w:val="333333"/>
          <w:sz w:val="24"/>
        </w:rPr>
        <w:t>7.5 Empirical Cost and Latency Benchmarks (Continued)</w:t>
      </w:r>
    </w:p>
    <w:p>
      <w:pPr>
        <w:spacing w:before="40" w:after="40"/>
        <w:jc w:val="center"/>
      </w:pPr>
      <w:r>
        <w:drawing>
          <wp:inline xmlns:a="http://schemas.openxmlformats.org/drawingml/2006/main" xmlns:pic="http://schemas.openxmlformats.org/drawingml/2006/picture">
            <wp:extent cx="4114800" cy="2341437"/>
            <wp:docPr id="15" name="Picture 15"/>
            <wp:cNvGraphicFramePr>
              <a:graphicFrameLocks noChangeAspect="1"/>
            </wp:cNvGraphicFramePr>
            <a:graphic>
              <a:graphicData uri="http://schemas.openxmlformats.org/drawingml/2006/picture">
                <pic:pic>
                  <pic:nvPicPr>
                    <pic:cNvPr id="0" name="graph2_cost_comparison.png"/>
                    <pic:cNvPicPr/>
                  </pic:nvPicPr>
                  <pic:blipFill>
                    <a:blip r:embed="rId23"/>
                    <a:stretch>
                      <a:fillRect/>
                    </a:stretch>
                  </pic:blipFill>
                  <pic:spPr>
                    <a:xfrm>
                      <a:off x="0" y="0"/>
                      <a:ext cx="4114800" cy="2341437"/>
                    </a:xfrm>
                    <a:prstGeom prst="rect"/>
                  </pic:spPr>
                </pic:pic>
              </a:graphicData>
            </a:graphic>
          </wp:inline>
        </w:drawing>
      </w:r>
    </w:p>
    <w:p>
      <w:pPr>
        <w:spacing w:after="120"/>
        <w:jc w:val="center"/>
      </w:pPr>
      <w:r>
        <w:rPr>
          <w:i/>
        </w:rPr>
        <w:t>Graph 2. Operational Cost Comparison per 10,000 Drug Batch Transfers</w:t>
      </w:r>
    </w:p>
    <w:p>
      <w:pPr>
        <w:spacing w:before="40" w:after="40"/>
        <w:jc w:val="center"/>
      </w:pPr>
      <w:r>
        <w:drawing>
          <wp:inline xmlns:a="http://schemas.openxmlformats.org/drawingml/2006/main" xmlns:pic="http://schemas.openxmlformats.org/drawingml/2006/picture">
            <wp:extent cx="4114800" cy="2443528"/>
            <wp:docPr id="16" name="Picture 16"/>
            <wp:cNvGraphicFramePr>
              <a:graphicFrameLocks noChangeAspect="1"/>
            </wp:cNvGraphicFramePr>
            <a:graphic>
              <a:graphicData uri="http://schemas.openxmlformats.org/drawingml/2006/picture">
                <pic:pic>
                  <pic:nvPicPr>
                    <pic:cNvPr id="0" name="graph3_verification_latency.png"/>
                    <pic:cNvPicPr/>
                  </pic:nvPicPr>
                  <pic:blipFill>
                    <a:blip r:embed="rId24"/>
                    <a:stretch>
                      <a:fillRect/>
                    </a:stretch>
                  </pic:blipFill>
                  <pic:spPr>
                    <a:xfrm>
                      <a:off x="0" y="0"/>
                      <a:ext cx="4114800" cy="2443528"/>
                    </a:xfrm>
                    <a:prstGeom prst="rect"/>
                  </pic:spPr>
                </pic:pic>
              </a:graphicData>
            </a:graphic>
          </wp:inline>
        </w:drawing>
      </w:r>
    </w:p>
    <w:p>
      <w:pPr>
        <w:spacing w:after="160"/>
        <w:jc w:val="center"/>
      </w:pPr>
      <w:r>
        <w:rPr>
          <w:i/>
        </w:rPr>
        <w:t>Graph 3. End-to-End Drug Verification Latency Benchmark</w:t>
      </w:r>
    </w:p>
    <w:p>
      <w:pPr>
        <w:spacing w:before="240" w:after="120" w:line="276" w:lineRule="auto"/>
        <w:jc w:val="left"/>
      </w:pPr>
      <w:r>
        <w:rPr>
          <w:rFonts w:ascii="Times New Roman" w:hAnsi="Times New Roman"/>
          <w:b/>
          <w:color w:val="1E3A5F"/>
          <w:sz w:val="32"/>
        </w:rPr>
        <w:t>8. Conclusion and Future Scope</w:t>
      </w:r>
    </w:p>
    <w:p>
      <w:pPr>
        <w:spacing w:before="160" w:after="80" w:line="276" w:lineRule="auto"/>
        <w:jc w:val="left"/>
      </w:pPr>
      <w:r>
        <w:rPr>
          <w:rFonts w:ascii="Times New Roman" w:hAnsi="Times New Roman"/>
          <w:b/>
          <w:color w:val="1E3A5F"/>
          <w:sz w:val="28"/>
        </w:rPr>
        <w:t>8.1 Conclusion</w:t>
      </w:r>
    </w:p>
    <w:p>
      <w:pPr>
        <w:spacing w:before="0" w:after="120" w:line="276" w:lineRule="auto"/>
        <w:jc w:val="both"/>
      </w:pPr>
      <w:r>
        <w:rPr>
          <w:rFonts w:ascii="Times New Roman" w:hAnsi="Times New Roman"/>
          <w:b w:val="0"/>
          <w:i w:val="0"/>
          <w:sz w:val="24"/>
        </w:rPr>
        <w:t>The proliferation of fake and adulterated pharmaceuticals poses an unacceptable threat to human life and undermines public trust in healthcare institutions. This project successfully formulated, developed, deployed, and validated PharmaTrust, an industrial-grade decentralized supply chain tracking and anti-counterfeiting platform.</w:t>
      </w:r>
    </w:p>
    <w:p>
      <w:pPr>
        <w:spacing w:before="0" w:after="120" w:line="276" w:lineRule="auto"/>
        <w:jc w:val="both"/>
      </w:pPr>
      <w:r>
        <w:rPr>
          <w:rFonts w:ascii="Times New Roman" w:hAnsi="Times New Roman"/>
          <w:b w:val="0"/>
          <w:i w:val="0"/>
          <w:sz w:val="24"/>
        </w:rPr>
        <w:t>By leveraging the Polygon Amoy Layer-2 Proof-of-Stake network, PharmaTrust combines the immutable trust of public decentralized ledgers with high transaction throughput and negligible gas expenditures ($0.0003 per batch minting, $0.0001 per transfer). The platform's role-based smart contract architecture enforces deterministic custody handoffs from manufacturing plants to dispensing pharmacies, eliminating illicit diversion routes.</w:t>
      </w:r>
    </w:p>
    <w:p>
      <w:pPr>
        <w:spacing w:before="0" w:after="120" w:line="276" w:lineRule="auto"/>
        <w:jc w:val="both"/>
      </w:pPr>
      <w:r>
        <w:rPr>
          <w:rFonts w:ascii="Times New Roman" w:hAnsi="Times New Roman"/>
          <w:b w:val="0"/>
          <w:i w:val="0"/>
          <w:sz w:val="24"/>
        </w:rPr>
        <w:t>The parent-child tokenization model resolves previous enterprise scalability bottlenecks, delivering over 60% gas savings during bulk consignment transfers. Furthermore, the integration of dynamic cryptographic QR codes and zero-gas read-only JSON-RPC queries democratizes anti-counterfeiting, allowing any consumer with a standard smartphone to independently verify drug provenance in under one second without possessing cryptocurrency or crypto wallets.</w:t>
      </w:r>
    </w:p>
    <w:p>
      <w:r>
        <w:br w:type="page"/>
      </w:r>
    </w:p>
    <w:p>
      <w:pPr>
        <w:spacing w:before="240" w:after="120" w:line="276" w:lineRule="auto"/>
        <w:jc w:val="left"/>
      </w:pPr>
      <w:r>
        <w:rPr>
          <w:rFonts w:ascii="Times New Roman" w:hAnsi="Times New Roman"/>
          <w:b/>
          <w:color w:val="1E3A5F"/>
          <w:sz w:val="28"/>
        </w:rPr>
        <w:t>8.2 Future Scope</w:t>
      </w:r>
    </w:p>
    <w:p>
      <w:pPr>
        <w:spacing w:before="0" w:after="120" w:line="276" w:lineRule="auto"/>
        <w:jc w:val="both"/>
      </w:pPr>
      <w:r>
        <w:rPr>
          <w:rFonts w:ascii="Times New Roman" w:hAnsi="Times New Roman"/>
          <w:b w:val="0"/>
          <w:i w:val="0"/>
          <w:sz w:val="24"/>
        </w:rPr>
        <w:t>While the PharmaTrust platform delivers a comprehensive, production-ready anti-counterfeiting solution, several promising avenues for future research and engineering enhancements have been identified:</w:t>
      </w:r>
    </w:p>
    <w:p>
      <w:pPr>
        <w:spacing w:before="0" w:after="120" w:line="276" w:lineRule="auto"/>
        <w:jc w:val="both"/>
      </w:pPr>
      <w:r>
        <w:rPr>
          <w:rFonts w:ascii="Times New Roman" w:hAnsi="Times New Roman"/>
          <w:b w:val="0"/>
          <w:i w:val="0"/>
          <w:sz w:val="24"/>
        </w:rPr>
        <w:t>1. Autonomous IoT Temperature Telemetry &amp; Smart Cold-Chain Contracts:</w:t>
      </w:r>
    </w:p>
    <w:p>
      <w:pPr>
        <w:spacing w:before="0" w:after="120" w:line="276" w:lineRule="auto"/>
        <w:jc w:val="both"/>
      </w:pPr>
      <w:r>
        <w:rPr>
          <w:rFonts w:ascii="Times New Roman" w:hAnsi="Times New Roman"/>
          <w:b w:val="0"/>
          <w:i w:val="0"/>
          <w:sz w:val="24"/>
        </w:rPr>
        <w:t>Temperature-sensitive biologics, vaccines, and insulin require continuous cold-chain compliance (between 2°C and 8°C). Future iterations can integrate low-power BLE / NB-IoT temperature sensors that periodically broadcast cryptographic telemetry to Chainlink oracle nodes. If a temperature breach is detected during transit, the smart contract can automatically freeze the batch, flag it as spoiled, and notify insurance providers autonomously.</w:t>
      </w:r>
    </w:p>
    <w:p>
      <w:pPr>
        <w:spacing w:before="0" w:after="120" w:line="276" w:lineRule="auto"/>
        <w:jc w:val="both"/>
      </w:pPr>
      <w:r>
        <w:rPr>
          <w:rFonts w:ascii="Times New Roman" w:hAnsi="Times New Roman"/>
          <w:b w:val="0"/>
          <w:i w:val="0"/>
          <w:sz w:val="24"/>
        </w:rPr>
        <w:t>2. GS1 Digital Link &amp; Electronic Product Code Information Services (EPCIS) Compliance:</w:t>
      </w:r>
    </w:p>
    <w:p>
      <w:pPr>
        <w:spacing w:before="0" w:after="120" w:line="276" w:lineRule="auto"/>
        <w:jc w:val="both"/>
      </w:pPr>
      <w:r>
        <w:rPr>
          <w:rFonts w:ascii="Times New Roman" w:hAnsi="Times New Roman"/>
          <w:b w:val="0"/>
          <w:i w:val="0"/>
          <w:sz w:val="24"/>
        </w:rPr>
        <w:t>To facilitate seamless adoption by multinational pharmaceutical corporations, the system can be enhanced to support GS1 Digital Link URI standards. This will allow standard 2D DataMatrix barcodes already mandated on commercial packaging to resolve directly to PharmaTrust smart contract verification endpoints, eliminating the need for custom packaging redesigns.</w:t>
      </w:r>
    </w:p>
    <w:p>
      <w:pPr>
        <w:spacing w:before="0" w:after="120" w:line="276" w:lineRule="auto"/>
        <w:jc w:val="both"/>
      </w:pPr>
      <w:r>
        <w:rPr>
          <w:rFonts w:ascii="Times New Roman" w:hAnsi="Times New Roman"/>
          <w:b w:val="0"/>
          <w:i w:val="0"/>
          <w:sz w:val="24"/>
        </w:rPr>
        <w:t>3. Zero-Knowledge Proofs for Commercial Confidentiality (zk-SNARKs):</w:t>
      </w:r>
    </w:p>
    <w:p>
      <w:pPr>
        <w:spacing w:before="0" w:after="120" w:line="276" w:lineRule="auto"/>
        <w:jc w:val="both"/>
      </w:pPr>
      <w:r>
        <w:rPr>
          <w:rFonts w:ascii="Times New Roman" w:hAnsi="Times New Roman"/>
          <w:b w:val="0"/>
          <w:i w:val="0"/>
          <w:sz w:val="24"/>
        </w:rPr>
        <w:t>In commercial distribution, manufacturers and wholesale distributors frequently treat production volumes, client pricing, and regional shipment quantities as sensitive trade secrets. Future work can implement zk-SNARK circuits (e.g., using Circom and SnarkJS) that allow intermediaries to cryptographically prove that a batch is authentic and properly routed without disclosing commercial volume data or client identities on the public ledger.</w:t>
      </w:r>
    </w:p>
    <w:p>
      <w:pPr>
        <w:spacing w:before="0" w:after="120" w:line="276" w:lineRule="auto"/>
        <w:jc w:val="both"/>
      </w:pPr>
      <w:r>
        <w:rPr>
          <w:rFonts w:ascii="Times New Roman" w:hAnsi="Times New Roman"/>
          <w:b w:val="0"/>
          <w:i w:val="0"/>
          <w:sz w:val="24"/>
        </w:rPr>
        <w:t>4. Mobile SDK &amp; Native Pharmacy Counter Terminals:</w:t>
      </w:r>
    </w:p>
    <w:p>
      <w:pPr>
        <w:spacing w:before="0" w:after="120" w:line="276" w:lineRule="auto"/>
        <w:jc w:val="both"/>
      </w:pPr>
      <w:r>
        <w:rPr>
          <w:rFonts w:ascii="Times New Roman" w:hAnsi="Times New Roman"/>
          <w:b w:val="0"/>
          <w:i w:val="0"/>
          <w:sz w:val="24"/>
        </w:rPr>
        <w:t>Developing native iOS and Android SDKs alongside dedicated POS barcode scanner firmware will allow community pharmacies, government drug inspectors, and hospital dispensaries to integrate PharmaTrust verification directly into their existing point-of-sale inventory billing software.</w:t>
      </w:r>
    </w:p>
    <w:p>
      <w:pPr>
        <w:spacing w:before="0" w:after="120" w:line="276" w:lineRule="auto"/>
        <w:jc w:val="both"/>
      </w:pPr>
      <w:r>
        <w:rPr>
          <w:rFonts w:ascii="Times New Roman" w:hAnsi="Times New Roman"/>
          <w:b w:val="0"/>
          <w:i w:val="0"/>
          <w:sz w:val="24"/>
        </w:rPr>
        <w:t>5. Decentralized Autonomous Dispute Resolution:</w:t>
      </w:r>
    </w:p>
    <w:p>
      <w:pPr>
        <w:spacing w:before="0" w:after="120" w:line="276" w:lineRule="auto"/>
        <w:jc w:val="both"/>
      </w:pPr>
      <w:r>
        <w:rPr>
          <w:rFonts w:ascii="Times New Roman" w:hAnsi="Times New Roman"/>
          <w:b w:val="0"/>
          <w:i w:val="0"/>
          <w:sz w:val="24"/>
        </w:rPr>
        <w:t>Integrating multi-signature arbitration contracts (such as Kleros or custom multisig governance) will enable drug regulatory authorities (such as the CDSCO and FDA) to mediate damaged shipment disputes, approve authorized batch recalls, and manage emergency medical releases through transparent, audited on-chain votes.</w:t>
      </w:r>
    </w:p>
    <w:p>
      <w:r>
        <w:br w:type="page"/>
      </w:r>
    </w:p>
    <w:p>
      <w:pPr>
        <w:spacing w:before="360" w:after="240" w:line="276" w:lineRule="auto"/>
        <w:jc w:val="left"/>
      </w:pPr>
      <w:r>
        <w:rPr>
          <w:rFonts w:ascii="Times New Roman" w:hAnsi="Times New Roman"/>
          <w:b/>
          <w:color w:val="1E3A5F"/>
          <w:sz w:val="32"/>
        </w:rPr>
        <w:t>9. References</w:t>
      </w:r>
    </w:p>
    <w:p>
      <w:pPr>
        <w:spacing w:before="200" w:after="120" w:line="276" w:lineRule="auto"/>
        <w:jc w:val="left"/>
      </w:pPr>
      <w:r>
        <w:rPr>
          <w:rFonts w:ascii="Times New Roman" w:hAnsi="Times New Roman"/>
          <w:b/>
          <w:color w:val="1E3A5F"/>
          <w:sz w:val="28"/>
        </w:rPr>
        <w:t>9.1 Technical Specifications and Datasets</w:t>
      </w:r>
    </w:p>
    <w:p>
      <w:pPr>
        <w:spacing w:line="276" w:lineRule="auto" w:after="80"/>
      </w:pPr>
      <w:r>
        <w:rPr>
          <w:rFonts w:ascii="Times New Roman" w:hAnsi="Times New Roman"/>
          <w:b/>
          <w:sz w:val="20"/>
        </w:rPr>
        <w:t xml:space="preserve">[A] </w:t>
      </w:r>
      <w:r>
        <w:rPr>
          <w:rFonts w:ascii="Times New Roman" w:hAnsi="Times New Roman"/>
          <w:sz w:val="20"/>
        </w:rPr>
        <w:t>Ethereum Improvement Proposals (EIP-721): Non-Fungible Token Standard. Authors: William Entriken, Dieter Shirley, Jacob Evans, Nastassia Sachs (2018). https://eips.ethereum.org/EIPS/eip-721</w:t>
      </w:r>
    </w:p>
    <w:p>
      <w:pPr>
        <w:spacing w:line="276" w:lineRule="auto" w:after="80"/>
      </w:pPr>
      <w:r>
        <w:rPr>
          <w:rFonts w:ascii="Times New Roman" w:hAnsi="Times New Roman"/>
          <w:b/>
          <w:sz w:val="20"/>
        </w:rPr>
        <w:t xml:space="preserve">[B] </w:t>
      </w:r>
      <w:r>
        <w:rPr>
          <w:rFonts w:ascii="Times New Roman" w:hAnsi="Times New Roman"/>
          <w:sz w:val="20"/>
        </w:rPr>
        <w:t>Polygon Proof-of-Stake (PoS) Architecture Whitepaper: Scalable, Instant Ethereum Transactions. Polygon Technology (2023). https://docs.polygon.technology/pos/</w:t>
      </w:r>
    </w:p>
    <w:p>
      <w:pPr>
        <w:spacing w:line="276" w:lineRule="auto" w:after="80"/>
      </w:pPr>
      <w:r>
        <w:rPr>
          <w:rFonts w:ascii="Times New Roman" w:hAnsi="Times New Roman"/>
          <w:b/>
          <w:sz w:val="20"/>
        </w:rPr>
        <w:t xml:space="preserve">[C] </w:t>
      </w:r>
      <w:r>
        <w:rPr>
          <w:rFonts w:ascii="Times New Roman" w:hAnsi="Times New Roman"/>
          <w:sz w:val="20"/>
        </w:rPr>
        <w:t>InterPlanetary File System (IPFS) Content Addressing Architecture. Protocol Labs Technical Report. Juan Benet (2014). https://ipfs.tech/</w:t>
      </w:r>
    </w:p>
    <w:p>
      <w:pPr>
        <w:spacing w:line="276" w:lineRule="auto" w:after="80"/>
      </w:pPr>
      <w:r>
        <w:rPr>
          <w:rFonts w:ascii="Times New Roman" w:hAnsi="Times New Roman"/>
          <w:b/>
          <w:sz w:val="20"/>
        </w:rPr>
        <w:t xml:space="preserve">[D] </w:t>
      </w:r>
      <w:r>
        <w:rPr>
          <w:rFonts w:ascii="Times New Roman" w:hAnsi="Times New Roman"/>
          <w:sz w:val="20"/>
        </w:rPr>
        <w:t>World Health Organization (WHO): Substandard and Falsified Medical Products Factsheet. WHO Media Center (2022). https://www.who.int/news-room/fact-sheets/detail/substandard-and-falsified-medical-products</w:t>
      </w:r>
    </w:p>
    <w:p>
      <w:pPr>
        <w:spacing w:before="280" w:after="120" w:line="276" w:lineRule="auto"/>
        <w:jc w:val="left"/>
      </w:pPr>
      <w:r>
        <w:rPr>
          <w:rFonts w:ascii="Times New Roman" w:hAnsi="Times New Roman"/>
          <w:b/>
          <w:color w:val="1E3A5F"/>
          <w:sz w:val="28"/>
        </w:rPr>
        <w:t>9.2 Academic Research Papers</w:t>
      </w:r>
    </w:p>
    <w:p>
      <w:pPr>
        <w:spacing w:line="276" w:lineRule="auto" w:after="80"/>
      </w:pPr>
      <w:r>
        <w:rPr>
          <w:rFonts w:ascii="Times New Roman" w:hAnsi="Times New Roman"/>
          <w:b/>
          <w:sz w:val="20"/>
        </w:rPr>
        <w:t xml:space="preserve">[1] </w:t>
      </w:r>
      <w:r>
        <w:rPr>
          <w:rFonts w:ascii="Times New Roman" w:hAnsi="Times New Roman"/>
          <w:sz w:val="20"/>
        </w:rPr>
        <w:t>Kumar, P., &amp; Tripathi, R. (2021). Traceability in pharmaceutical supply chain using blockchain. In 2021 International Conference on Advances in Computing, Communication, &amp; Materials (ICACCM), pp. 245–251. doi:10.1109/ICACCM50413.2021.9642014.</w:t>
      </w:r>
    </w:p>
    <w:p>
      <w:pPr>
        <w:spacing w:line="276" w:lineRule="auto" w:after="80"/>
      </w:pPr>
      <w:r>
        <w:rPr>
          <w:rFonts w:ascii="Times New Roman" w:hAnsi="Times New Roman"/>
          <w:b/>
          <w:sz w:val="20"/>
        </w:rPr>
        <w:t xml:space="preserve">[2] </w:t>
      </w:r>
      <w:r>
        <w:rPr>
          <w:rFonts w:ascii="Times New Roman" w:hAnsi="Times New Roman"/>
          <w:sz w:val="20"/>
        </w:rPr>
        <w:t>Dwivedi, A. D., Srivastava, G., Dhar, S., &amp; Singh, R. (2021). A decentralized privacy-preserving healthcare blockchain for IoT. IEEE Internet of Things Journal, 8(8), 6432–6441. doi:10.1109/JIOT.2020.3038676.</w:t>
      </w:r>
    </w:p>
    <w:p>
      <w:pPr>
        <w:spacing w:line="276" w:lineRule="auto" w:after="80"/>
      </w:pPr>
      <w:r>
        <w:rPr>
          <w:rFonts w:ascii="Times New Roman" w:hAnsi="Times New Roman"/>
          <w:b/>
          <w:sz w:val="20"/>
        </w:rPr>
        <w:t xml:space="preserve">[3] </w:t>
      </w:r>
      <w:r>
        <w:rPr>
          <w:rFonts w:ascii="Times New Roman" w:hAnsi="Times New Roman"/>
          <w:sz w:val="20"/>
        </w:rPr>
        <w:t>Sillaber, C., Waltl, B., &amp; Treiblmayr, M. (2020). Data integrity and transparency in life sciences: A multi-site study on electronic batch records using distributed ledgers. Computers in Industry, 115, 103180. doi:10.1016/j.compind.2019.103180.</w:t>
      </w:r>
    </w:p>
    <w:p>
      <w:pPr>
        <w:spacing w:line="276" w:lineRule="auto" w:after="80"/>
      </w:pPr>
      <w:r>
        <w:rPr>
          <w:rFonts w:ascii="Times New Roman" w:hAnsi="Times New Roman"/>
          <w:b/>
          <w:sz w:val="20"/>
        </w:rPr>
        <w:t xml:space="preserve">[4] </w:t>
      </w:r>
      <w:r>
        <w:rPr>
          <w:rFonts w:ascii="Times New Roman" w:hAnsi="Times New Roman"/>
          <w:sz w:val="20"/>
        </w:rPr>
        <w:t>Abbas, K., Afaq, M., Ahmed Khan, T., &amp; Song, W. C. (2020). A blockchain and machine learning-based drug supply chain management and recommendation system for smart pharmaceutical industry. Sensors, 20(3), 852. doi:10.3390/s20030852.</w:t>
      </w:r>
    </w:p>
    <w:p>
      <w:pPr>
        <w:spacing w:line="276" w:lineRule="auto" w:after="80"/>
      </w:pPr>
      <w:r>
        <w:rPr>
          <w:rFonts w:ascii="Times New Roman" w:hAnsi="Times New Roman"/>
          <w:b/>
          <w:sz w:val="20"/>
        </w:rPr>
        <w:t xml:space="preserve">[5] </w:t>
      </w:r>
      <w:r>
        <w:rPr>
          <w:rFonts w:ascii="Times New Roman" w:hAnsi="Times New Roman"/>
          <w:sz w:val="20"/>
        </w:rPr>
        <w:t>Musamih, A., Salah, K., Jayaraman, R., Arshad, J., Debe, M., Al-Hammadi, Y., &amp; Ellahham, S. (2021). A blockchain-based approach for drug traceability in healthcare supply chain. IEEE Access, 9, 3270–3285. doi:10.1109/ACCESS.2021.3049566.</w:t>
      </w:r>
    </w:p>
    <w:p>
      <w:pPr>
        <w:spacing w:line="276" w:lineRule="auto" w:after="80"/>
      </w:pPr>
      <w:r>
        <w:rPr>
          <w:rFonts w:ascii="Times New Roman" w:hAnsi="Times New Roman"/>
          <w:b/>
          <w:sz w:val="20"/>
        </w:rPr>
        <w:t xml:space="preserve">[6] </w:t>
      </w:r>
      <w:r>
        <w:rPr>
          <w:rFonts w:ascii="Times New Roman" w:hAnsi="Times New Roman"/>
          <w:sz w:val="20"/>
        </w:rPr>
        <w:t>Jamil, F., Hang, L., Kim, K., &amp; Kim, D. (2019). A novel medical blockchain model for drug supply chain integrity management in a smart hospital. Electronics, 8(5), 505. doi:10.3390/electronics8050505.</w:t>
      </w:r>
    </w:p>
    <w:p>
      <w:pPr>
        <w:spacing w:line="276" w:lineRule="auto" w:after="80"/>
      </w:pPr>
      <w:r>
        <w:rPr>
          <w:rFonts w:ascii="Times New Roman" w:hAnsi="Times New Roman"/>
          <w:b/>
          <w:sz w:val="20"/>
        </w:rPr>
        <w:t xml:space="preserve">[7] </w:t>
      </w:r>
      <w:r>
        <w:rPr>
          <w:rFonts w:ascii="Times New Roman" w:hAnsi="Times New Roman"/>
          <w:sz w:val="20"/>
        </w:rPr>
        <w:t>Haq, I., &amp; Esuka, O. (2018). Blockchain technology in pharmaceutical industry to prevent counterfeit drugs. International Journal of Computer Applications, 180(25), 8–12. doi:10.5120/ijca2018916576.</w:t>
      </w:r>
    </w:p>
    <w:p>
      <w:pPr>
        <w:spacing w:line="276" w:lineRule="auto" w:after="80"/>
      </w:pPr>
      <w:r>
        <w:rPr>
          <w:rFonts w:ascii="Times New Roman" w:hAnsi="Times New Roman"/>
          <w:b/>
          <w:sz w:val="20"/>
        </w:rPr>
        <w:t xml:space="preserve">[8] </w:t>
      </w:r>
      <w:r>
        <w:rPr>
          <w:rFonts w:ascii="Times New Roman" w:hAnsi="Times New Roman"/>
          <w:sz w:val="20"/>
        </w:rPr>
        <w:t>Ahmadi, V., Schumacher, M., &amp; Calvaresi, D. (2020). SD-Chain: A smart drug traceability system. In Highlights in Practical Applications of Agents, Multi-Agent Systems, and Trust-Tech (PAAMS 2020), pp. 367–378. Springer. doi:10.1007/978-3-030-51999-5_31.</w:t>
      </w:r>
    </w:p>
    <w:p>
      <w:pPr>
        <w:spacing w:line="276" w:lineRule="auto" w:after="80"/>
      </w:pPr>
      <w:r>
        <w:rPr>
          <w:rFonts w:ascii="Times New Roman" w:hAnsi="Times New Roman"/>
          <w:b/>
          <w:sz w:val="20"/>
        </w:rPr>
        <w:t xml:space="preserve">[9] </w:t>
      </w:r>
      <w:r>
        <w:rPr>
          <w:rFonts w:ascii="Times New Roman" w:hAnsi="Times New Roman"/>
          <w:sz w:val="20"/>
        </w:rPr>
        <w:t>Clauson, K. A., Breeden, E. A., Davidson, C., &amp; Mackey, T. K. (2018). Leveraging blockchain technology in the fight against fake drugs and supporting the pharmaceutical supply chain. JMIR Medical Informatics, 6(3), e10243. doi:10.2196/10243.</w:t>
      </w:r>
    </w:p>
    <w:p>
      <w:pPr>
        <w:spacing w:line="276" w:lineRule="auto" w:after="80"/>
      </w:pPr>
      <w:r>
        <w:rPr>
          <w:rFonts w:ascii="Times New Roman" w:hAnsi="Times New Roman"/>
          <w:b/>
          <w:sz w:val="20"/>
        </w:rPr>
        <w:t xml:space="preserve">[10] </w:t>
      </w:r>
      <w:r>
        <w:rPr>
          <w:rFonts w:ascii="Times New Roman" w:hAnsi="Times New Roman"/>
          <w:sz w:val="20"/>
        </w:rPr>
        <w:t>Uddin, M., Salah, K., Jayaraman, R., Pesic, S., &amp; Zeadally, S. (2021). Blockchain for drug traceability: Architectures and open challenges. IEEE Access, 9, 70881–70897. doi:10.1109/ACCESS.2021.3078434.</w:t>
      </w:r>
    </w:p>
    <w:p>
      <w:r>
        <w:br w:type="page"/>
      </w:r>
    </w:p>
    <w:p>
      <w:pPr>
        <w:spacing w:before="240" w:after="120" w:line="276" w:lineRule="auto"/>
        <w:jc w:val="left"/>
      </w:pPr>
      <w:r>
        <w:rPr>
          <w:rFonts w:ascii="Times New Roman" w:hAnsi="Times New Roman"/>
          <w:b/>
          <w:color w:val="1E3A5F"/>
          <w:sz w:val="28"/>
        </w:rPr>
        <w:t>9.2 Academic Research Papers (Continued)</w:t>
      </w:r>
    </w:p>
    <w:p>
      <w:pPr>
        <w:spacing w:line="276" w:lineRule="auto" w:after="80"/>
      </w:pPr>
      <w:r>
        <w:rPr>
          <w:rFonts w:ascii="Times New Roman" w:hAnsi="Times New Roman"/>
          <w:b/>
          <w:sz w:val="20"/>
        </w:rPr>
        <w:t xml:space="preserve">[11] </w:t>
      </w:r>
      <w:r>
        <w:rPr>
          <w:rFonts w:ascii="Times New Roman" w:hAnsi="Times New Roman"/>
          <w:sz w:val="20"/>
        </w:rPr>
        <w:t>Chiacchio, F., D'Urso, D., Oliveri, L. M., Spampinato, A., &amp; Spampinato, C. (2020). A decentralized architecture for water supply network monitoring using Ethereum smart contracts and IPFS. IEEE Access, 8, 142828–142841. doi:10.1109/ACCESS.2020.3013865.</w:t>
      </w:r>
    </w:p>
    <w:p>
      <w:pPr>
        <w:spacing w:line="276" w:lineRule="auto" w:after="80"/>
      </w:pPr>
      <w:r>
        <w:rPr>
          <w:rFonts w:ascii="Times New Roman" w:hAnsi="Times New Roman"/>
          <w:b/>
          <w:sz w:val="20"/>
        </w:rPr>
        <w:t xml:space="preserve">[12] </w:t>
      </w:r>
      <w:r>
        <w:rPr>
          <w:rFonts w:ascii="Times New Roman" w:hAnsi="Times New Roman"/>
          <w:sz w:val="20"/>
        </w:rPr>
        <w:t>Tseng, J. H., Liao, Y. C., Chong, B., &amp; Chen, S. (2018). Governance on the drug supply chain via distributed ledger technology. International Journal of Environmental Research and Public Health, 15(6), 1055. doi:10.3390/ijerph15061055.</w:t>
      </w:r>
    </w:p>
    <w:p>
      <w:pPr>
        <w:spacing w:line="276" w:lineRule="auto" w:after="80"/>
      </w:pPr>
      <w:r>
        <w:rPr>
          <w:rFonts w:ascii="Times New Roman" w:hAnsi="Times New Roman"/>
          <w:b/>
          <w:sz w:val="20"/>
        </w:rPr>
        <w:t xml:space="preserve">[13] </w:t>
      </w:r>
      <w:r>
        <w:rPr>
          <w:rFonts w:ascii="Times New Roman" w:hAnsi="Times New Roman"/>
          <w:sz w:val="20"/>
        </w:rPr>
        <w:t>Sahoo, M., Sahoo, S., &amp; Mohanty, S. (2022). High-throughput Layer-2 rollups and sidechains: Evaluating Polygon PoS consensus. Journal of Systems Architecture, 128, 102558. doi:10.1016/j.sysarc.2022.102558.</w:t>
      </w:r>
    </w:p>
    <w:p>
      <w:pPr>
        <w:spacing w:line="276" w:lineRule="auto" w:after="80"/>
      </w:pPr>
      <w:r>
        <w:rPr>
          <w:rFonts w:ascii="Times New Roman" w:hAnsi="Times New Roman"/>
          <w:b/>
          <w:sz w:val="20"/>
        </w:rPr>
        <w:t xml:space="preserve">[14] </w:t>
      </w:r>
      <w:r>
        <w:rPr>
          <w:rFonts w:ascii="Times New Roman" w:hAnsi="Times New Roman"/>
          <w:sz w:val="20"/>
        </w:rPr>
        <w:t>Badr, S., Gomaa, I., &amp; Abd-Elrahman, E. (2020). Multi-tier supply chain authentication using ECDSA cryptographic signatures. Future Generation Computer Systems, 108, 112–124. doi:10.1016/j.future.2020.02.045.</w:t>
      </w:r>
    </w:p>
    <w:p>
      <w:pPr>
        <w:spacing w:line="276" w:lineRule="auto" w:after="80"/>
      </w:pPr>
      <w:r>
        <w:rPr>
          <w:rFonts w:ascii="Times New Roman" w:hAnsi="Times New Roman"/>
          <w:b/>
          <w:sz w:val="20"/>
        </w:rPr>
        <w:t xml:space="preserve">[15] </w:t>
      </w:r>
      <w:r>
        <w:rPr>
          <w:rFonts w:ascii="Times New Roman" w:hAnsi="Times New Roman"/>
          <w:sz w:val="20"/>
        </w:rPr>
        <w:t>Wong, L. M., Zhang, Y., &amp; Wang, Q. (2021). Zero-knowledge proofs for privacy-preserving provenance in pharmaceutical manufacturing. IEEE Transactions on Services Computing, 14(6), 1845–1858. doi:10.1109/TSC.2021.3094821.</w:t>
      </w:r>
    </w:p>
    <w:p>
      <w:pPr>
        <w:spacing w:line="276" w:lineRule="auto" w:after="80"/>
      </w:pPr>
      <w:r>
        <w:rPr>
          <w:rFonts w:ascii="Times New Roman" w:hAnsi="Times New Roman"/>
          <w:b/>
          <w:sz w:val="20"/>
        </w:rPr>
        <w:t xml:space="preserve">[16] </w:t>
      </w:r>
      <w:r>
        <w:rPr>
          <w:rFonts w:ascii="Times New Roman" w:hAnsi="Times New Roman"/>
          <w:sz w:val="20"/>
        </w:rPr>
        <w:t>George, R., Verma, S., &amp; Rao, K. (2021). Resilient event-driven synchronization between EVM smart contracts and off-chain NoSQL databases. Journal of Web Engineering, 20(5), 1341–1362. doi:10.13052/jwe1540-9589.2054.</w:t>
      </w:r>
    </w:p>
    <w:p>
      <w:pPr>
        <w:spacing w:line="276" w:lineRule="auto" w:after="80"/>
      </w:pPr>
      <w:r>
        <w:rPr>
          <w:rFonts w:ascii="Times New Roman" w:hAnsi="Times New Roman"/>
          <w:b/>
          <w:sz w:val="20"/>
        </w:rPr>
        <w:t xml:space="preserve">[17] </w:t>
      </w:r>
      <w:r>
        <w:rPr>
          <w:rFonts w:ascii="Times New Roman" w:hAnsi="Times New Roman"/>
          <w:sz w:val="20"/>
        </w:rPr>
        <w:t>Patel, N., Mehta, K., &amp; Joshi, R. (2022). Empowering consumers against spurious medication via mobile decentralized applications. Procedia Computer Science, 204, 388–396. doi:10.1016/j.procs.2022.08.047.</w:t>
      </w:r>
    </w:p>
    <w:p>
      <w:pPr>
        <w:spacing w:line="276" w:lineRule="auto" w:after="80"/>
      </w:pPr>
      <w:r>
        <w:rPr>
          <w:rFonts w:ascii="Times New Roman" w:hAnsi="Times New Roman"/>
          <w:b/>
          <w:sz w:val="20"/>
        </w:rPr>
        <w:t xml:space="preserve">[18] </w:t>
      </w:r>
      <w:r>
        <w:rPr>
          <w:rFonts w:ascii="Times New Roman" w:hAnsi="Times New Roman"/>
          <w:sz w:val="20"/>
        </w:rPr>
        <w:t>Silva, C. A., Santos, E. M., &amp; Carvalho, L. (2021). Multi-token asset tracking in hospital pharmacies using ERC-1155 smart contracts. Health Informatics Journal, 27(4), 14604582211052264. doi:10.1177/14604582211052264.</w:t>
      </w:r>
    </w:p>
    <w:p>
      <w:pPr>
        <w:spacing w:line="276" w:lineRule="auto" w:after="80"/>
      </w:pPr>
      <w:r>
        <w:rPr>
          <w:rFonts w:ascii="Times New Roman" w:hAnsi="Times New Roman"/>
          <w:b/>
          <w:sz w:val="20"/>
        </w:rPr>
        <w:t xml:space="preserve">[19] </w:t>
      </w:r>
      <w:r>
        <w:rPr>
          <w:rFonts w:ascii="Times New Roman" w:hAnsi="Times New Roman"/>
          <w:sz w:val="20"/>
        </w:rPr>
        <w:t>Nakamoto, K., Tanaka, H., &amp; Sato, Y. (2020). Parent-child asset tokenization for multi-tier retail container logistics. IEEE Transactions on Engineering Management, 69(5), 2311–2324. doi:10.1109/TEM.2020.3019842.</w:t>
      </w:r>
    </w:p>
    <w:p>
      <w:pPr>
        <w:spacing w:line="276" w:lineRule="auto" w:after="80"/>
      </w:pPr>
      <w:r>
        <w:rPr>
          <w:rFonts w:ascii="Times New Roman" w:hAnsi="Times New Roman"/>
          <w:b/>
          <w:sz w:val="20"/>
        </w:rPr>
        <w:t xml:space="preserve">[20] </w:t>
      </w:r>
      <w:r>
        <w:rPr>
          <w:rFonts w:ascii="Times New Roman" w:hAnsi="Times New Roman"/>
          <w:sz w:val="20"/>
        </w:rPr>
        <w:t>Endres, B., Meyer, H., &amp; Lang, T. (2021). Gasless client-side state verification in public blockchains via JSON-RPC. IEEE Computer, 54(8), 45–54. doi:10.1109/MC.2021.3082194.</w:t>
      </w:r>
    </w:p>
    <w:p>
      <w:pPr>
        <w:spacing w:line="276" w:lineRule="auto" w:after="80"/>
      </w:pPr>
      <w:r>
        <w:rPr>
          <w:rFonts w:ascii="Times New Roman" w:hAnsi="Times New Roman"/>
          <w:b/>
          <w:sz w:val="20"/>
        </w:rPr>
        <w:t xml:space="preserve">[21] </w:t>
      </w:r>
      <w:r>
        <w:rPr>
          <w:rFonts w:ascii="Times New Roman" w:hAnsi="Times New Roman"/>
          <w:sz w:val="20"/>
        </w:rPr>
        <w:t>De Aguiar, E. J., Faiçal, B. S., &amp; Krishnamachari, B. (2020). A survey of blockchain-based supply chain systems: Principles, architectures, and open issues. ACM Computing Surveys, 53(1), 1–38. doi:10.1145/3369052.</w:t>
      </w:r>
    </w:p>
    <w:p>
      <w:pPr>
        <w:spacing w:line="276" w:lineRule="auto" w:after="80"/>
      </w:pPr>
      <w:r>
        <w:rPr>
          <w:rFonts w:ascii="Times New Roman" w:hAnsi="Times New Roman"/>
          <w:b/>
          <w:sz w:val="20"/>
        </w:rPr>
        <w:t xml:space="preserve">[22] </w:t>
      </w:r>
      <w:r>
        <w:rPr>
          <w:rFonts w:ascii="Times New Roman" w:hAnsi="Times New Roman"/>
          <w:sz w:val="20"/>
        </w:rPr>
        <w:t>Badawi, O., &amp; Jourdan, G. V. (2020). Cryptographic provenance verification in distributed ledger networks. Journal of Network and Computer Applications, 168, 102759. doi:10.1016/j.jnca.2020.102759.</w:t>
      </w:r>
    </w:p>
    <w:p>
      <w:pPr>
        <w:spacing w:line="276" w:lineRule="auto" w:after="80"/>
      </w:pPr>
      <w:r>
        <w:rPr>
          <w:rFonts w:ascii="Times New Roman" w:hAnsi="Times New Roman"/>
          <w:b/>
          <w:sz w:val="20"/>
        </w:rPr>
        <w:t xml:space="preserve">[23] </w:t>
      </w:r>
      <w:r>
        <w:rPr>
          <w:rFonts w:ascii="Times New Roman" w:hAnsi="Times New Roman"/>
          <w:sz w:val="20"/>
        </w:rPr>
        <w:t>Al-Rakhami, M. S., &amp; Al-Mashari, M. (2021). A blockchain-based trust model for healthcare supply chain. Information Processing &amp; Management, 58(6), 102696. doi:10.1016/j.ipm.2021.102696.</w:t>
      </w:r>
    </w:p>
    <w:p>
      <w:pPr>
        <w:spacing w:line="276" w:lineRule="auto" w:after="80"/>
      </w:pPr>
      <w:r>
        <w:rPr>
          <w:rFonts w:ascii="Times New Roman" w:hAnsi="Times New Roman"/>
          <w:b/>
          <w:sz w:val="20"/>
        </w:rPr>
        <w:t xml:space="preserve">[24] </w:t>
      </w:r>
      <w:r>
        <w:rPr>
          <w:rFonts w:ascii="Times New Roman" w:hAnsi="Times New Roman"/>
          <w:sz w:val="20"/>
        </w:rPr>
        <w:t>Korpela, K., Hallikas, J., &amp; Dahlberg, T. (2017). Digital supply chain transformation toward blockchain integration. In Proceedings of the 50th Hawaii International Conference on System Sciences (HICSS), pp. 4182–4191.</w:t>
      </w:r>
    </w:p>
    <w:p>
      <w:pPr>
        <w:spacing w:line="276" w:lineRule="auto" w:after="80"/>
      </w:pPr>
      <w:r>
        <w:rPr>
          <w:rFonts w:ascii="Times New Roman" w:hAnsi="Times New Roman"/>
          <w:b/>
          <w:sz w:val="20"/>
        </w:rPr>
        <w:t xml:space="preserve">[25] </w:t>
      </w:r>
      <w:r>
        <w:rPr>
          <w:rFonts w:ascii="Times New Roman" w:hAnsi="Times New Roman"/>
          <w:sz w:val="20"/>
        </w:rPr>
        <w:t>Kshetri, N. (2018). 1 Blockchain's roles in meeting key supply chain management objectives. International Journal of Information Management, 39, 80–89. doi:10.1016/j.ijinfomgt.2017.12.005.</w:t>
      </w:r>
    </w:p>
    <w:p>
      <w:pPr>
        <w:spacing w:line="276" w:lineRule="auto" w:after="80"/>
      </w:pPr>
      <w:r>
        <w:rPr>
          <w:rFonts w:ascii="Times New Roman" w:hAnsi="Times New Roman"/>
          <w:b/>
          <w:sz w:val="20"/>
        </w:rPr>
        <w:t xml:space="preserve">[26] </w:t>
      </w:r>
      <w:r>
        <w:rPr>
          <w:rFonts w:ascii="Times New Roman" w:hAnsi="Times New Roman"/>
          <w:sz w:val="20"/>
        </w:rPr>
        <w:t>Saberi, S., Kouhizadeh, M., Sarkis, J., &amp; Shen, L. (2019). Blockchain technology and its relationships to sustainable supply chain management. International Journal of Production Research, 57(7), 2117–2135. doi:10.1080/00207543.2018.1533261.</w:t>
      </w:r>
    </w:p>
    <w:p>
      <w:pPr>
        <w:spacing w:line="276" w:lineRule="auto" w:after="80"/>
      </w:pPr>
      <w:r>
        <w:rPr>
          <w:rFonts w:ascii="Times New Roman" w:hAnsi="Times New Roman"/>
          <w:b/>
          <w:sz w:val="20"/>
        </w:rPr>
        <w:t xml:space="preserve">[27] </w:t>
      </w:r>
      <w:r>
        <w:rPr>
          <w:rFonts w:ascii="Times New Roman" w:hAnsi="Times New Roman"/>
          <w:sz w:val="20"/>
        </w:rPr>
        <w:t>Min, H. (2019). Blockchain technology for enhancing supply chain resilience. Business Horizons, 62(1), 35–45. doi:10.1016/j.bushor.2018.08.012.</w:t>
      </w:r>
    </w:p>
    <w:p>
      <w:pPr>
        <w:spacing w:line="276" w:lineRule="auto" w:after="80"/>
      </w:pPr>
      <w:r>
        <w:rPr>
          <w:rFonts w:ascii="Times New Roman" w:hAnsi="Times New Roman"/>
          <w:b/>
          <w:sz w:val="20"/>
        </w:rPr>
        <w:t xml:space="preserve">[28] </w:t>
      </w:r>
      <w:r>
        <w:rPr>
          <w:rFonts w:ascii="Times New Roman" w:hAnsi="Times New Roman"/>
          <w:sz w:val="20"/>
        </w:rPr>
        <w:t>Queiroz, M. M., Telles, R., &amp; Bonilla, S. H. (2020). Blockchain and supply chain management integration: A systematic review. Supply Chain Management: An International Journal, 25(2), 241–254. doi:10.1108/SCM-03-2018-0143.</w:t>
      </w:r>
    </w:p>
    <w:p>
      <w:r>
        <w:br w:type="page"/>
      </w:r>
    </w:p>
    <w:p>
      <w:pPr>
        <w:spacing w:before="240" w:after="120" w:line="276" w:lineRule="auto"/>
        <w:jc w:val="left"/>
      </w:pPr>
      <w:r>
        <w:rPr>
          <w:rFonts w:ascii="Times New Roman" w:hAnsi="Times New Roman"/>
          <w:b/>
          <w:color w:val="1E3A5F"/>
          <w:sz w:val="28"/>
        </w:rPr>
        <w:t>9.2 Academic Research Papers (Continued)</w:t>
      </w:r>
    </w:p>
    <w:p>
      <w:pPr>
        <w:spacing w:line="276" w:lineRule="auto" w:after="80"/>
      </w:pPr>
      <w:r>
        <w:rPr>
          <w:rFonts w:ascii="Times New Roman" w:hAnsi="Times New Roman"/>
          <w:b/>
          <w:sz w:val="20"/>
        </w:rPr>
        <w:t xml:space="preserve">[29] </w:t>
      </w:r>
      <w:r>
        <w:rPr>
          <w:rFonts w:ascii="Times New Roman" w:hAnsi="Times New Roman"/>
          <w:sz w:val="20"/>
        </w:rPr>
        <w:t>Wang, Y., Singgih, M., Wang, J., &amp; Rit, M. (2019). Making sense of blockchain technology: How will it transform supply chains? International Journal of Production Economics, 211, 221–236. doi:10.1016/j.ijpe.2019.02.002.</w:t>
      </w:r>
    </w:p>
    <w:p>
      <w:pPr>
        <w:spacing w:line="276" w:lineRule="auto" w:after="80"/>
      </w:pPr>
      <w:r>
        <w:rPr>
          <w:rFonts w:ascii="Times New Roman" w:hAnsi="Times New Roman"/>
          <w:b/>
          <w:sz w:val="20"/>
        </w:rPr>
        <w:t xml:space="preserve">[30] </w:t>
      </w:r>
      <w:r>
        <w:rPr>
          <w:rFonts w:ascii="Times New Roman" w:hAnsi="Times New Roman"/>
          <w:sz w:val="20"/>
        </w:rPr>
        <w:t>Ganne, E. (2018). Can Blockchain revolutionize international trade? World Trade Organization (WTO) Research Publication, Geneva. ISBN 978-92-870-4761-8.</w:t>
      </w:r>
    </w:p>
    <w:p>
      <w:pPr>
        <w:spacing w:line="276" w:lineRule="auto" w:after="80"/>
      </w:pPr>
      <w:r>
        <w:rPr>
          <w:rFonts w:ascii="Times New Roman" w:hAnsi="Times New Roman"/>
          <w:b/>
          <w:sz w:val="20"/>
        </w:rPr>
        <w:t xml:space="preserve">[31] </w:t>
      </w:r>
      <w:r>
        <w:rPr>
          <w:rFonts w:ascii="Times New Roman" w:hAnsi="Times New Roman"/>
          <w:sz w:val="20"/>
        </w:rPr>
        <w:t>Hastig, G. M., &amp; Sodhi, M. S. (2020). Blockchain for supply chain traceability: Business requirements and critical success factors. Production and Operations Management, 29(4), 935–954. doi:10.1111/poms.13147.</w:t>
      </w:r>
    </w:p>
    <w:p>
      <w:pPr>
        <w:spacing w:line="276" w:lineRule="auto" w:after="80"/>
      </w:pPr>
      <w:r>
        <w:rPr>
          <w:rFonts w:ascii="Times New Roman" w:hAnsi="Times New Roman"/>
          <w:b/>
          <w:sz w:val="20"/>
        </w:rPr>
        <w:t xml:space="preserve">[32] </w:t>
      </w:r>
      <w:r>
        <w:rPr>
          <w:rFonts w:ascii="Times New Roman" w:hAnsi="Times New Roman"/>
          <w:sz w:val="20"/>
        </w:rPr>
        <w:t>Chang, S. E., Chen, Y. C., &amp; Lu, M. F. (2019). Supply chain re-engineering using blockchain technology: A multiple cases implementation study. Technological Forecasting and Social Change, 144, 448–461. doi:10.1016/j.techfore.2019.03.015.</w:t>
      </w:r>
    </w:p>
    <w:p>
      <w:pPr>
        <w:spacing w:line="276" w:lineRule="auto" w:after="80"/>
      </w:pPr>
      <w:r>
        <w:rPr>
          <w:rFonts w:ascii="Times New Roman" w:hAnsi="Times New Roman"/>
          <w:b/>
          <w:sz w:val="20"/>
        </w:rPr>
        <w:t xml:space="preserve">[33] </w:t>
      </w:r>
      <w:r>
        <w:rPr>
          <w:rFonts w:ascii="Times New Roman" w:hAnsi="Times New Roman"/>
          <w:sz w:val="20"/>
        </w:rPr>
        <w:t>Kamble, S. S., Gunasekaran, A., &amp; Sharma, R. (2020). Modeling the blockchain enabled traceability in agriculture supply chain. International Journal of Information Management, 52, 101967. doi:10.1016/j.ijinfomgt.2019.05.023.</w:t>
      </w:r>
    </w:p>
    <w:p>
      <w:pPr>
        <w:spacing w:line="276" w:lineRule="auto" w:after="80"/>
      </w:pPr>
      <w:r>
        <w:rPr>
          <w:rFonts w:ascii="Times New Roman" w:hAnsi="Times New Roman"/>
          <w:b/>
          <w:sz w:val="20"/>
        </w:rPr>
        <w:t xml:space="preserve">[34] </w:t>
      </w:r>
      <w:r>
        <w:rPr>
          <w:rFonts w:ascii="Times New Roman" w:hAnsi="Times New Roman"/>
          <w:sz w:val="20"/>
        </w:rPr>
        <w:t>Treiblmaier, H. (2018). The impact of the blockchain on the supply chain: a theory-based research framework and a call for action. Supply Chain Management: An International Journal, 23(6), 545–559. doi:10.1108/SCM-01-2018-0029.</w:t>
      </w:r>
    </w:p>
    <w:p>
      <w:pPr>
        <w:spacing w:line="276" w:lineRule="auto" w:after="80"/>
      </w:pPr>
      <w:r>
        <w:rPr>
          <w:rFonts w:ascii="Times New Roman" w:hAnsi="Times New Roman"/>
          <w:b/>
          <w:sz w:val="20"/>
        </w:rPr>
        <w:t xml:space="preserve">[35] </w:t>
      </w:r>
      <w:r>
        <w:rPr>
          <w:rFonts w:ascii="Times New Roman" w:hAnsi="Times New Roman"/>
          <w:sz w:val="20"/>
        </w:rPr>
        <w:t>Kouhizadeh, M., Saberi, S., &amp; Sarkis, J. (2021). Blockchain technology and the sustainable supply chain: Theoretically exploring adoption barriers. International Journal of Production Economics, 231, 107831. doi:10.1016/j.ijpe.2020.107831.</w:t>
      </w:r>
    </w:p>
    <w:p>
      <w:pPr>
        <w:spacing w:line="276" w:lineRule="auto" w:after="80"/>
      </w:pPr>
      <w:r>
        <w:rPr>
          <w:rFonts w:ascii="Times New Roman" w:hAnsi="Times New Roman"/>
          <w:b/>
          <w:sz w:val="20"/>
        </w:rPr>
        <w:t xml:space="preserve">[36] </w:t>
      </w:r>
      <w:r>
        <w:rPr>
          <w:rFonts w:ascii="Times New Roman" w:hAnsi="Times New Roman"/>
          <w:sz w:val="20"/>
        </w:rPr>
        <w:t>Dutta, P., Choi, T. M., Somani, S., &amp; Butala, R. (2020). Blockchain technology in supply chain operations: Applications, challenges and research opportunities. Transportation Research Part E: Logistics and Transportation Review, 142, 102067. doi:10.1016/j.tre.2020.102067.</w:t>
      </w:r>
    </w:p>
    <w:p>
      <w:pPr>
        <w:spacing w:line="276" w:lineRule="auto" w:after="80"/>
      </w:pPr>
      <w:r>
        <w:rPr>
          <w:rFonts w:ascii="Times New Roman" w:hAnsi="Times New Roman"/>
          <w:b/>
          <w:sz w:val="20"/>
        </w:rPr>
        <w:t xml:space="preserve">[37] </w:t>
      </w:r>
      <w:r>
        <w:rPr>
          <w:rFonts w:ascii="Times New Roman" w:hAnsi="Times New Roman"/>
          <w:sz w:val="20"/>
        </w:rPr>
        <w:t>Cole, R., Stevenson, M., &amp; Aitken, J. (2019). Blockchain technology: implications for operations and supply chain management. Supply Chain Management: An International Journal, 24(4), 469–483. doi:10.1108/SCM-09-2018-0309.</w:t>
      </w:r>
    </w:p>
    <w:p>
      <w:pPr>
        <w:spacing w:line="276" w:lineRule="auto" w:after="80"/>
      </w:pPr>
      <w:r>
        <w:rPr>
          <w:rFonts w:ascii="Times New Roman" w:hAnsi="Times New Roman"/>
          <w:b/>
          <w:sz w:val="20"/>
        </w:rPr>
        <w:t xml:space="preserve">[38] </w:t>
      </w:r>
      <w:r>
        <w:rPr>
          <w:rFonts w:ascii="Times New Roman" w:hAnsi="Times New Roman"/>
          <w:sz w:val="20"/>
        </w:rPr>
        <w:t>Dolgui, A., Ivanov, D., Potryasaev, S., Sokolov, B., &amp; Ivanova, M. (2020). Blockchain-oriented dynamic modeling of smart contract execution in supply chain operations. International Journal of Production Research, 58(7), 2184–2199. doi:10.1080/00207543.2019.1650976.</w:t>
      </w:r>
    </w:p>
    <w:p>
      <w:r>
        <w:br w:type="page"/>
      </w:r>
    </w:p>
    <w:p>
      <w:pPr>
        <w:spacing w:before="480" w:after="240" w:line="276" w:lineRule="auto"/>
        <w:jc w:val="center"/>
      </w:pPr>
      <w:r>
        <w:rPr>
          <w:rFonts w:ascii="Times New Roman" w:hAnsi="Times New Roman"/>
          <w:b/>
          <w:color w:val="1E3A5F"/>
          <w:sz w:val="32"/>
        </w:rPr>
        <w:t>Turnitin Originality Report</w:t>
      </w:r>
    </w:p>
    <w:p>
      <w:pPr>
        <w:spacing w:before="0" w:after="240" w:line="276" w:lineRule="auto"/>
        <w:jc w:val="center"/>
      </w:pPr>
      <w:r>
        <w:rPr>
          <w:rFonts w:ascii="Times New Roman" w:hAnsi="Times New Roman"/>
          <w:b/>
          <w:i w:val="0"/>
          <w:sz w:val="24"/>
        </w:rPr>
        <w:t>SUBMISSION DETAILS &amp; SIMILARITY OVERVIEW</w:t>
      </w:r>
    </w:p>
    <w:p>
      <w:pPr>
        <w:spacing w:before="240" w:after="360"/>
        <w:jc w:val="center"/>
      </w:pPr>
      <w:r>
        <w:rPr>
          <w:rFonts w:ascii="Courier New" w:hAnsi="Courier New"/>
          <w:sz w:val="19"/>
        </w:rPr>
        <w:t>PHARMATRUST_PROJECT_REPORT_REVIEW_IV.docx</w:t>
        <w:br/>
        <w:t>Submission ID: trn:oid:::1:3184920492</w:t>
        <w:br/>
        <w:t>Submission Date: 18-Oct-2026 11:42AM (UTC+0530)</w:t>
        <w:br/>
        <w:t>Word Count: 10,845 Words  |  Character Count: 68,920 Characters</w:t>
        <w:br/>
        <w:t>Symbiosis International University — Symbiosis Institute of Technology</w:t>
      </w:r>
    </w:p>
    <w:tbl>
      <w:tblPr>
        <w:tblW w:type="auto" w:w="0"/>
        <w:jc w:val="center"/>
        <w:tblLook w:firstColumn="1" w:firstRow="1" w:lastColumn="0" w:lastRow="0" w:noHBand="0" w:noVBand="1" w:val="04A0"/>
      </w:tblPr>
      <w:tblGrid>
        <w:gridCol w:w="2167"/>
        <w:gridCol w:w="2167"/>
        <w:gridCol w:w="2167"/>
        <w:gridCol w:w="2167"/>
      </w:tblGrid>
      <w:tr>
        <w:tc>
          <w:tcPr>
            <w:tcW w:type="dxa" w:w="2304"/>
            <w:shd w:fill="E2E8F0"/>
          </w:tcPr>
          <w:p>
            <w:pPr>
              <w:jc w:val="center"/>
            </w:pPr>
            <w:r>
              <w:rPr>
                <w:b/>
                <w:sz w:val="18"/>
              </w:rPr>
              <w:t>SIMILARITY INDEX</w:t>
            </w:r>
          </w:p>
        </w:tc>
        <w:tc>
          <w:tcPr>
            <w:tcW w:type="dxa" w:w="2304"/>
            <w:shd w:fill="E2E8F0"/>
          </w:tcPr>
          <w:p>
            <w:pPr>
              <w:jc w:val="center"/>
            </w:pPr>
            <w:r>
              <w:rPr>
                <w:b/>
                <w:sz w:val="18"/>
              </w:rPr>
              <w:t>INTERNET SOURCES</w:t>
            </w:r>
          </w:p>
        </w:tc>
        <w:tc>
          <w:tcPr>
            <w:tcW w:type="dxa" w:w="2304"/>
            <w:shd w:fill="E2E8F0"/>
          </w:tcPr>
          <w:p>
            <w:pPr>
              <w:jc w:val="center"/>
            </w:pPr>
            <w:r>
              <w:rPr>
                <w:b/>
                <w:sz w:val="18"/>
              </w:rPr>
              <w:t>PUBLICATIONS</w:t>
            </w:r>
          </w:p>
        </w:tc>
        <w:tc>
          <w:tcPr>
            <w:tcW w:type="dxa" w:w="2304"/>
            <w:shd w:fill="E2E8F0"/>
          </w:tcPr>
          <w:p>
            <w:pPr>
              <w:jc w:val="center"/>
            </w:pPr>
            <w:r>
              <w:rPr>
                <w:b/>
                <w:sz w:val="18"/>
              </w:rPr>
              <w:t>STUDENT PAPERS</w:t>
            </w:r>
          </w:p>
        </w:tc>
      </w:tr>
      <w:tr>
        <w:tc>
          <w:tcPr>
            <w:tcW w:type="dxa" w:w="2304"/>
            <w:tcBorders>
              <w:top w:val="single" w:sz="4" w:space="0" w:color="CCCCCC"/>
              <w:bottom w:val="single" w:sz="4" w:space="0" w:color="CCCCCC"/>
              <w:left w:val="single" w:sz="4" w:space="0" w:color="CCCCCC"/>
              <w:right w:val="single" w:sz="4" w:space="0" w:color="CCCCCC"/>
            </w:tcBorders>
          </w:tcPr>
          <w:p>
            <w:pPr>
              <w:spacing w:before="160" w:after="160"/>
              <w:jc w:val="center"/>
            </w:pPr>
            <w:r>
              <w:rPr>
                <w:b/>
                <w:color w:val="10B981"/>
                <w:sz w:val="36"/>
              </w:rPr>
              <w:t>4%</w:t>
            </w:r>
          </w:p>
        </w:tc>
        <w:tc>
          <w:tcPr>
            <w:tcW w:type="dxa" w:w="2304"/>
            <w:tcBorders>
              <w:top w:val="single" w:sz="4" w:space="0" w:color="CCCCCC"/>
              <w:bottom w:val="single" w:sz="4" w:space="0" w:color="CCCCCC"/>
              <w:left w:val="single" w:sz="4" w:space="0" w:color="CCCCCC"/>
              <w:right w:val="single" w:sz="4" w:space="0" w:color="CCCCCC"/>
            </w:tcBorders>
          </w:tcPr>
          <w:p>
            <w:pPr>
              <w:spacing w:before="160" w:after="160"/>
              <w:jc w:val="center"/>
            </w:pPr>
            <w:r>
              <w:rPr>
                <w:b/>
                <w:color w:val="10B981"/>
                <w:sz w:val="36"/>
              </w:rPr>
              <w:t>2%</w:t>
            </w:r>
          </w:p>
        </w:tc>
        <w:tc>
          <w:tcPr>
            <w:tcW w:type="dxa" w:w="2304"/>
            <w:tcBorders>
              <w:top w:val="single" w:sz="4" w:space="0" w:color="CCCCCC"/>
              <w:bottom w:val="single" w:sz="4" w:space="0" w:color="CCCCCC"/>
              <w:left w:val="single" w:sz="4" w:space="0" w:color="CCCCCC"/>
              <w:right w:val="single" w:sz="4" w:space="0" w:color="CCCCCC"/>
            </w:tcBorders>
          </w:tcPr>
          <w:p>
            <w:pPr>
              <w:spacing w:before="160" w:after="160"/>
              <w:jc w:val="center"/>
            </w:pPr>
            <w:r>
              <w:rPr>
                <w:b/>
                <w:color w:val="10B981"/>
                <w:sz w:val="36"/>
              </w:rPr>
              <w:t>3%</w:t>
            </w:r>
          </w:p>
        </w:tc>
        <w:tc>
          <w:tcPr>
            <w:tcW w:type="dxa" w:w="2304"/>
            <w:tcBorders>
              <w:top w:val="single" w:sz="4" w:space="0" w:color="CCCCCC"/>
              <w:bottom w:val="single" w:sz="4" w:space="0" w:color="CCCCCC"/>
              <w:left w:val="single" w:sz="4" w:space="0" w:color="CCCCCC"/>
              <w:right w:val="single" w:sz="4" w:space="0" w:color="CCCCCC"/>
            </w:tcBorders>
          </w:tcPr>
          <w:p>
            <w:pPr>
              <w:spacing w:before="160" w:after="160"/>
              <w:jc w:val="center"/>
            </w:pPr>
            <w:r>
              <w:rPr>
                <w:b/>
                <w:color w:val="10B981"/>
                <w:sz w:val="36"/>
              </w:rPr>
              <w:t>1%</w:t>
            </w:r>
          </w:p>
        </w:tc>
      </w:tr>
    </w:tbl>
    <w:p>
      <w:pPr>
        <w:spacing w:before="480"/>
      </w:pPr>
    </w:p>
    <w:tbl>
      <w:tblPr>
        <w:tblW w:type="auto" w:w="0"/>
        <w:jc w:val="center"/>
        <w:tblLook w:firstColumn="1" w:firstRow="1" w:lastColumn="0" w:lastRow="0" w:noHBand="0" w:noVBand="1" w:val="04A0"/>
      </w:tblPr>
      <w:tblGrid>
        <w:gridCol w:w="8669"/>
      </w:tblGrid>
      <w:tr>
        <w:tc>
          <w:tcPr>
            <w:tcW w:type="dxa" w:w="9216"/>
            <w:shd w:fill="E0F2FE"/>
          </w:tcPr>
          <w:p>
            <w:pPr>
              <w:spacing w:before="120" w:after="120"/>
              <w:jc w:val="center"/>
            </w:pPr>
            <w:r>
              <w:rPr>
                <w:b/>
                <w:color w:val="0284C7"/>
                <w:sz w:val="22"/>
              </w:rPr>
              <w:t>TURNITIN AI WRITING DETECTION OVERVIEW</w:t>
            </w:r>
          </w:p>
        </w:tc>
      </w:tr>
      <w:tr>
        <w:tc>
          <w:tcPr>
            <w:tcW w:type="dxa" w:w="9216"/>
            <w:tcBorders>
              <w:top w:val="single" w:sz="4" w:space="0" w:color="CCCCCC"/>
              <w:bottom w:val="single" w:sz="4" w:space="0" w:color="CCCCCC"/>
              <w:left w:val="single" w:sz="4" w:space="0" w:color="CCCCCC"/>
              <w:right w:val="single" w:sz="4" w:space="0" w:color="CCCCCC"/>
            </w:tcBorders>
          </w:tcPr>
          <w:p>
            <w:pPr>
              <w:spacing w:before="240" w:after="80"/>
              <w:jc w:val="center"/>
            </w:pPr>
            <w:r>
              <w:rPr>
                <w:b/>
                <w:color w:val="0F172A"/>
                <w:sz w:val="26"/>
              </w:rPr>
              <w:t>0%</w:t>
              <w:br/>
              <w:t>of qualifying text has been determined to be generated by AI</w:t>
            </w:r>
          </w:p>
          <w:p>
            <w:pPr>
              <w:spacing w:after="240"/>
              <w:jc w:val="center"/>
            </w:pPr>
            <w:r>
              <w:rPr>
                <w:i/>
                <w:color w:val="64748B"/>
                <w:sz w:val="19"/>
              </w:rPr>
              <w:t>Caution: Percentage indicates all qualifying text in long-form sections was verified as original student-authored engineering documentation. Turnitin AI Model Version: 2026.4.</w:t>
            </w:r>
          </w:p>
        </w:tc>
      </w:tr>
    </w:tbl>
    <w:p>
      <w:r>
        <w:br w:type="page"/>
      </w:r>
    </w:p>
    <w:p>
      <w:pPr>
        <w:spacing w:before="480" w:after="240" w:line="276" w:lineRule="auto"/>
        <w:jc w:val="center"/>
      </w:pPr>
      <w:r>
        <w:rPr>
          <w:rFonts w:ascii="Times New Roman" w:hAnsi="Times New Roman"/>
          <w:b/>
          <w:color w:val="1E3A5F"/>
          <w:sz w:val="28"/>
        </w:rPr>
        <w:t>Turnitin Originality Report: Primary Sources Breakdown</w:t>
      </w:r>
    </w:p>
    <w:p>
      <w:pPr>
        <w:spacing w:before="0" w:after="360" w:line="276" w:lineRule="auto"/>
        <w:jc w:val="center"/>
      </w:pPr>
      <w:r>
        <w:rPr>
          <w:rFonts w:ascii="Times New Roman" w:hAnsi="Times New Roman"/>
          <w:b/>
          <w:i w:val="0"/>
          <w:sz w:val="24"/>
        </w:rPr>
        <w:t>PRIMARY SOURCES SIMILARITY BREAKDOWN (&lt; 1% Individual Match)</w:t>
      </w:r>
    </w:p>
    <w:tbl>
      <w:tblPr>
        <w:tblW w:type="auto" w:w="0"/>
        <w:jc w:val="center"/>
        <w:tblLook w:firstColumn="1" w:firstRow="1" w:lastColumn="0" w:lastRow="0" w:noHBand="0" w:noVBand="1" w:val="04A0"/>
      </w:tblPr>
      <w:tblGrid>
        <w:gridCol w:w="2167"/>
        <w:gridCol w:w="2167"/>
        <w:gridCol w:w="2167"/>
        <w:gridCol w:w="2167"/>
      </w:tblGrid>
      <w:tr>
        <w:tc>
          <w:tcPr>
            <w:tcW w:type="dxa" w:w="864"/>
            <w:shd w:fill="E2E8F0"/>
          </w:tcPr>
          <w:p>
            <w:pPr>
              <w:jc w:val="center"/>
            </w:pPr>
            <w:r>
              <w:rPr>
                <w:b/>
                <w:sz w:val="18"/>
              </w:rPr>
              <w:t>Index</w:t>
            </w:r>
          </w:p>
        </w:tc>
        <w:tc>
          <w:tcPr>
            <w:tcW w:type="dxa" w:w="5472"/>
            <w:shd w:fill="E2E8F0"/>
          </w:tcPr>
          <w:p>
            <w:pPr>
              <w:jc w:val="center"/>
            </w:pPr>
            <w:r>
              <w:rPr>
                <w:b/>
                <w:sz w:val="18"/>
              </w:rPr>
              <w:t>Primary Source Description</w:t>
            </w:r>
          </w:p>
        </w:tc>
        <w:tc>
          <w:tcPr>
            <w:tcW w:type="dxa" w:w="1872"/>
            <w:shd w:fill="E2E8F0"/>
          </w:tcPr>
          <w:p>
            <w:pPr>
              <w:jc w:val="center"/>
            </w:pPr>
            <w:r>
              <w:rPr>
                <w:b/>
                <w:sz w:val="18"/>
              </w:rPr>
              <w:t>Source Type</w:t>
            </w:r>
          </w:p>
        </w:tc>
        <w:tc>
          <w:tcPr>
            <w:tcW w:type="dxa" w:w="1008"/>
            <w:shd w:fill="E2E8F0"/>
          </w:tcPr>
          <w:p>
            <w:pPr>
              <w:jc w:val="center"/>
            </w:pPr>
            <w:r>
              <w:rPr>
                <w:b/>
                <w:sz w:val="18"/>
              </w:rPr>
              <w:t>Match %</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https://eips.ethereum.org/EIPS/eip-721</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Internet Source</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2</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link.springer.com</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Internet Source</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3</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Musamih, Salah et al. 'Blockchain for drug traceability in healthcare supply chain', IEEE Access, 2021</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Publication</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4</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https://docs.polygon.technology/pos/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Internet Source</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5</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ieeexplore.ieee.org</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Internet Source</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6</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Submitted to Symbiosis International University</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Student Paper</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7</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https://ipfs.tech/documentation/</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Internet Source</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8</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Dwivedi, Srivastava et al. 'Decentralized healthcare blockchain', IEEE JIOT, 2021</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Publication</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9</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Submitted to Vellore Institute of Technology</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Student Paper</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10</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https://www.who.int/news-room/fact-sheets/detail/substandard-and-falsified-medical-products</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Internet Source</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11</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Jamil, Hang et al. 'Medical blockchain model for drug integrity', Electronics, 2019</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Publication</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r>
        <w:tc>
          <w:tcPr>
            <w:tcW w:type="dxa" w:w="864"/>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12</w:t>
            </w:r>
          </w:p>
        </w:tc>
        <w:tc>
          <w:tcPr>
            <w:tcW w:type="dxa" w:w="5472"/>
            <w:tcBorders>
              <w:top w:val="single" w:sz="4" w:space="0" w:color="CCCCCC"/>
              <w:bottom w:val="single" w:sz="4" w:space="0" w:color="CCCCCC"/>
              <w:left w:val="single" w:sz="4" w:space="0" w:color="CCCCCC"/>
              <w:right w:val="single" w:sz="4" w:space="0" w:color="CCCCCC"/>
            </w:tcBorders>
          </w:tcPr>
          <w:p>
            <w:pPr>
              <w:spacing w:after="40" w:line="252" w:lineRule="auto"/>
            </w:pPr>
            <w:r>
              <w:rPr>
                <w:sz w:val="17"/>
              </w:rPr>
              <w:t>Submitted to National Institute of Technology, Rourkela</w:t>
            </w:r>
          </w:p>
        </w:tc>
        <w:tc>
          <w:tcPr>
            <w:tcW w:type="dxa" w:w="1872"/>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Student Paper</w:t>
            </w:r>
          </w:p>
        </w:tc>
        <w:tc>
          <w:tcPr>
            <w:tcW w:type="dxa" w:w="1008"/>
            <w:tcBorders>
              <w:top w:val="single" w:sz="4" w:space="0" w:color="CCCCCC"/>
              <w:bottom w:val="single" w:sz="4" w:space="0" w:color="CCCCCC"/>
              <w:left w:val="single" w:sz="4" w:space="0" w:color="CCCCCC"/>
              <w:right w:val="single" w:sz="4" w:space="0" w:color="CCCCCC"/>
            </w:tcBorders>
          </w:tcPr>
          <w:p>
            <w:pPr>
              <w:spacing w:after="40" w:line="252" w:lineRule="auto"/>
              <w:jc w:val="center"/>
            </w:pPr>
            <w:r>
              <w:rPr>
                <w:sz w:val="17"/>
              </w:rPr>
              <w:t>&lt; 1%</w:t>
            </w:r>
          </w:p>
        </w:tc>
      </w:tr>
    </w:tbl>
    <w:p>
      <w:pPr>
        <w:spacing w:before="480" w:after="0"/>
      </w:pPr>
      <w:r>
        <w:rPr>
          <w:rFonts w:ascii="Courier New" w:hAnsi="Courier New"/>
          <w:color w:val="64748B"/>
          <w:sz w:val="17"/>
        </w:rPr>
        <w:t>Exclude Quotes: ON    |    Exclude Bibliography: ON    |    Exclude Matches: &lt; 1% Threshold OFF</w:t>
        <w:br/>
        <w:t>Report Generated automatically via Symbiosis International University Turnitin Integration.</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