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2203A"/>
          <w:sz w:val="44"/>
          <w:szCs w:val="44"/>
        </w:rPr>
        <w:t xml:space="preserve">Week 4 Project</w:t>
      </w:r>
    </w:p>
    <w:p>
      <w:pPr>
        <w:spacing w:after="60"/>
      </w:pPr>
      <w:r>
        <w:rPr>
          <w:color w:val="5B6B87"/>
          <w:sz w:val="26"/>
          <w:szCs w:val="26"/>
        </w:rPr>
        <w:t xml:space="preserve">Business Dashboard &amp; Stakeholder Insights Summary</w:t>
      </w:r>
    </w:p>
    <w:p>
      <w:pPr>
        <w:spacing w:after="320"/>
      </w:pPr>
      <w:r>
        <w:rPr>
          <w:i/>
          <w:iCs/>
          <w:color w:val="5B6B87"/>
          <w:sz w:val="20"/>
          <w:szCs w:val="20"/>
        </w:rPr>
        <w:t xml:space="preserve">Tableau / Power BI Fundamentals — Dashboards, Filters &amp; Calculated Fields  |  Storytelling with Data</w:t>
      </w:r>
    </w:p>
    <w:p>
      <w:pPr>
        <w:pBdr>
          <w:bottom w:val="single" w:color="E3E7ED" w:sz="6" w:space="1"/>
        </w:pBdr>
        <w:spacing w:after="260"/>
      </w:pPr>
    </w:p>
    <w:p>
      <w:pPr>
        <w:pStyle w:val="Heading1"/>
        <w:spacing w:after="140" w:before="280"/>
      </w:pPr>
      <w:r>
        <w:t xml:space="preserve">1. Project Overview</w:t>
      </w:r>
    </w:p>
    <w:p>
      <w:pPr>
        <w:spacing w:after="140"/>
        <w:jc w:val="left"/>
      </w:pPr>
      <w:r>
        <w:t xml:space="preserve">This project builds an interactive business dashboard from the Financial Sample dataset (700 transaction-level records covering 5 customer segments, 5 countries, and 6 products across FY2013–2014) and summarizes the key findings for a stakeholder audience.</w:t>
      </w:r>
    </w:p>
    <w:p>
      <w:pPr>
        <w:spacing w:after="140"/>
        <w:jc w:val="left"/>
      </w:pPr>
      <w:r>
        <w:t xml:space="preserve">Because a native Power BI / Tableau file (.pbix / .twbx) can't be opened outside those desktop applications, the dashboard was built as a browser-based interactive app with equivalent functionality: live filters, a calculated field, and linked charts that update together. A link to the live, interactive version is included at the end of this document; static snapshots of each view are included below for reference.</w:t>
      </w:r>
    </w:p>
    <w:p>
      <w:pPr>
        <w:pStyle w:val="Heading1"/>
        <w:spacing w:after="140" w:before="280"/>
      </w:pPr>
      <w:r>
        <w:t xml:space="preserve">2. Key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pct" w:w="25%"/>
            <w:shd w:fill="F4F5F7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r>
              <w:rPr>
                <w:b/>
                <w:bCs/>
                <w:color w:val="5B6B87"/>
                <w:sz w:val="16"/>
                <w:szCs w:val="16"/>
              </w:rPr>
              <w:t xml:space="preserve">TOTAL SALES</w:t>
            </w:r>
          </w:p>
          <w:p>
            <w:pPr>
              <w:spacing w:before="60"/>
            </w:pPr>
            <w:r>
              <w:rPr>
                <w:b/>
                <w:bCs/>
                <w:color w:val="12203A"/>
                <w:sz w:val="32"/>
                <w:szCs w:val="32"/>
              </w:rPr>
              <w:t xml:space="preserve">$118.73M</w:t>
            </w:r>
          </w:p>
          <w:p>
            <w:pPr>
              <w:spacing w:before="40"/>
            </w:pPr>
            <w:r>
              <w:rPr>
                <w:color w:val="5B6B87"/>
                <w:sz w:val="16"/>
                <w:szCs w:val="16"/>
              </w:rPr>
              <w:t xml:space="preserve">700 line items</w:t>
            </w:r>
          </w:p>
        </w:tc>
        <w:tc>
          <w:tcPr>
            <w:tcW w:type="pct" w:w="25%"/>
            <w:shd w:fill="F4F5F7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r>
              <w:rPr>
                <w:b/>
                <w:bCs/>
                <w:color w:val="5B6B87"/>
                <w:sz w:val="16"/>
                <w:szCs w:val="16"/>
              </w:rPr>
              <w:t xml:space="preserve">TOTAL PROFIT</w:t>
            </w:r>
          </w:p>
          <w:p>
            <w:pPr>
              <w:spacing w:before="60"/>
            </w:pPr>
            <w:r>
              <w:rPr>
                <w:b/>
                <w:bCs/>
                <w:color w:val="12203A"/>
                <w:sz w:val="32"/>
                <w:szCs w:val="32"/>
              </w:rPr>
              <w:t xml:space="preserve">$16.89M</w:t>
            </w:r>
          </w:p>
          <w:p>
            <w:pPr>
              <w:spacing w:before="40"/>
            </w:pPr>
            <w:r>
              <w:rPr>
                <w:color w:val="5B6B87"/>
                <w:sz w:val="16"/>
                <w:szCs w:val="16"/>
              </w:rPr>
              <w:t xml:space="preserve">Profitable</w:t>
            </w:r>
          </w:p>
        </w:tc>
        <w:tc>
          <w:tcPr>
            <w:tcW w:type="pct" w:w="25%"/>
            <w:shd w:fill="F4F5F7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r>
              <w:rPr>
                <w:b/>
                <w:bCs/>
                <w:color w:val="5B6B87"/>
                <w:sz w:val="16"/>
                <w:szCs w:val="16"/>
              </w:rPr>
              <w:t xml:space="preserve">PROFIT MARGIN</w:t>
            </w:r>
          </w:p>
          <w:p>
            <w:pPr>
              <w:spacing w:before="60"/>
            </w:pPr>
            <w:r>
              <w:rPr>
                <w:b/>
                <w:bCs/>
                <w:color w:val="12203A"/>
                <w:sz w:val="32"/>
                <w:szCs w:val="32"/>
              </w:rPr>
              <w:t xml:space="preserve">14.2%</w:t>
            </w:r>
          </w:p>
          <w:p>
            <w:pPr>
              <w:spacing w:before="40"/>
            </w:pPr>
            <w:r>
              <w:rPr>
                <w:color w:val="5B6B87"/>
                <w:sz w:val="16"/>
                <w:szCs w:val="16"/>
              </w:rPr>
              <w:t xml:space="preserve">Profit ÷ Sales</w:t>
            </w:r>
          </w:p>
        </w:tc>
        <w:tc>
          <w:tcPr>
            <w:tcW w:type="pct" w:w="25%"/>
            <w:shd w:fill="F4F5F7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r>
              <w:rPr>
                <w:b/>
                <w:bCs/>
                <w:color w:val="5B6B87"/>
                <w:sz w:val="16"/>
                <w:szCs w:val="16"/>
              </w:rPr>
              <w:t xml:space="preserve">UNITS SOLD</w:t>
            </w:r>
          </w:p>
          <w:p>
            <w:pPr>
              <w:spacing w:before="60"/>
            </w:pPr>
            <w:r>
              <w:rPr>
                <w:b/>
                <w:bCs/>
                <w:color w:val="12203A"/>
                <w:sz w:val="32"/>
                <w:szCs w:val="32"/>
              </w:rPr>
              <w:t xml:space="preserve">1.13M</w:t>
            </w:r>
          </w:p>
          <w:p>
            <w:pPr>
              <w:spacing w:before="40"/>
            </w:pPr>
            <w:r>
              <w:rPr>
                <w:color w:val="5B6B87"/>
                <w:sz w:val="16"/>
                <w:szCs w:val="16"/>
              </w:rPr>
              <w:t xml:space="preserve">across FY13–14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t xml:space="preserve">3. Dashboard Views</w:t>
      </w:r>
    </w:p>
    <w:p>
      <w:pPr>
        <w:pStyle w:val="Heading2"/>
        <w:spacing w:after="110" w:before="220"/>
      </w:pPr>
      <w:r>
        <w:t xml:space="preserve">3.1 Monthly Sales vs. Profit Trend</w:t>
      </w:r>
    </w:p>
    <w:p>
      <w:pPr>
        <w:spacing w:after="6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B6B87"/>
          <w:sz w:val="18"/>
          <w:szCs w:val="18"/>
        </w:rPr>
        <w:t xml:space="preserve">Sales and profit summed by calendar month across both fiscal years.</w:t>
      </w:r>
    </w:p>
    <w:p>
      <w:pPr>
        <w:pStyle w:val="Heading2"/>
        <w:spacing w:after="110" w:before="220"/>
      </w:pPr>
      <w:r>
        <w:t xml:space="preserve">3.2 Sales Mix by Segment</w:t>
      </w:r>
    </w:p>
    <w:p>
      <w:pPr>
        <w:spacing w:after="60"/>
        <w:jc w:val="center"/>
      </w:pPr>
      <w:r>
        <w:drawing>
          <wp:inline distT="0" distB="0" distL="0" distR="0">
            <wp:extent cx="3619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B6B87"/>
          <w:sz w:val="18"/>
          <w:szCs w:val="18"/>
        </w:rPr>
        <w:t xml:space="preserve">Share of total sales contributed by each customer segment.</w:t>
      </w:r>
    </w:p>
    <w:p>
      <w:pPr>
        <w:pStyle w:val="Heading2"/>
        <w:spacing w:after="110" w:before="220"/>
      </w:pPr>
      <w:r>
        <w:t xml:space="preserve">3.3 Sales by Country</w:t>
      </w:r>
    </w:p>
    <w:p>
      <w:pPr>
        <w:spacing w:after="6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B6B87"/>
          <w:sz w:val="18"/>
          <w:szCs w:val="18"/>
        </w:rPr>
        <w:t xml:space="preserve">Total sales ranked by country.</w:t>
      </w:r>
    </w:p>
    <w:p>
      <w:pPr>
        <w:pStyle w:val="Heading2"/>
        <w:spacing w:after="110" w:before="220"/>
      </w:pPr>
      <w:r>
        <w:t xml:space="preserve">3.4 Profit Margin by Product (Calculated Field)</w:t>
      </w:r>
    </w:p>
    <w:p>
      <w:pPr>
        <w:spacing w:after="6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B6B87"/>
          <w:sz w:val="18"/>
          <w:szCs w:val="18"/>
        </w:rPr>
        <w:t xml:space="preserve">Calculated field — Profit Margin = SUM(Profit) / SUM(Sales) — computed per product.</w:t>
      </w:r>
    </w:p>
    <w:p>
      <w:pPr>
        <w:pStyle w:val="Heading1"/>
        <w:spacing w:after="140" w:before="280"/>
      </w:pPr>
      <w:r>
        <w:t xml:space="preserve">4. Stakeholder Insights Summary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Government is the leading segment, generating $52.50M in sales — 44.2% of total revenue, more than double any other segment.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Enterprise is the one segment running at a loss overall ($-614.5K), despite solid sales volume — its pricing or cost structure needs review.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Country performance is well balanced: the top market (United States of America, $25.03M) and the smallest (Mexico, $20.95M) are within about 20% of each other, so growth isn't overly dependent on one region.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Amarilla carries the healthiest margin (15.9%), while Velo runs thinnest (12.6%) — a candidate for a pricing or cost review.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58 of 700 orders (8.3%) lost money, concentrated in the "High" discount band — tightening discount approval on large orders is the clearest lever to improve profitability.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Sales are seasonal, peaking sharply in October and December each year — useful for planning inventory and staffing ahead of year-end.</w:t>
      </w:r>
    </w:p>
    <w:p>
      <w:pPr>
        <w:pStyle w:val="Heading1"/>
        <w:spacing w:after="140" w:before="280"/>
      </w:pPr>
      <w:r>
        <w:t xml:space="preserve">5. Recommendations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Review pricing and cost allocation for the Enterprise segment to close the profitability gap.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Audit discount approvals in the High discount band, where the large majority of loss-making orders originate.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Investigate why Velo's margin lags the portfolio — either a cost or a pricing issue.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Use the Oct/Dec seasonal peak to plan procurement and staffing 6–8 weeks ahead.</w:t>
      </w:r>
    </w:p>
    <w:p>
      <w:pPr>
        <w:pStyle w:val="Heading1"/>
        <w:spacing w:after="140" w:before="280"/>
      </w:pPr>
      <w:r>
        <w:t xml:space="preserve">6. Interactive Dashboard</w:t>
      </w:r>
    </w:p>
    <w:p>
      <w:pPr>
        <w:spacing w:after="140"/>
        <w:jc w:val="left"/>
      </w:pPr>
      <w:r>
        <w:t xml:space="preserve">The live version of this dashboard — with working Segment, Country, Product, and Year filters, and a self-recalculating insights panel — is available here:</w:t>
      </w:r>
    </w:p>
    <w:p>
      <w:pPr>
        <w:spacing w:after="200"/>
      </w:pPr>
      <w:r>
        <w:rPr>
          <w:color w:val="2C8C89"/>
          <w:u w:val="single"/>
        </w:rPr>
        <w:t xml:space="preserve">https://claude.ai/artifact/5Zh2Yy8jN3pjs8UCN52G6H</w:t>
      </w:r>
    </w:p>
    <w:p>
      <w:pPr>
        <w:spacing w:after="140"/>
        <w:jc w:val="left"/>
      </w:pPr>
      <w:r>
        <w:rPr>
          <w:i/>
          <w:iCs/>
          <w:color w:val="5B6B87"/>
          <w:sz w:val="18"/>
          <w:szCs w:val="18"/>
        </w:rPr>
        <w:t xml:space="preserve">Data source: Sample_data (1).xlsx — Financial Sample dataset.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1e53546cae68fc968eead7ba40e199c85a24544.png"/><Relationship Id="rId8" Type="http://schemas.openxmlformats.org/officeDocument/2006/relationships/image" Target="media/de8c27c3454bc007fb54fe2b2ce79d26cc50908e.png"/><Relationship Id="rId9" Type="http://schemas.openxmlformats.org/officeDocument/2006/relationships/image" Target="media/a23421462d31f38414f7a0bf6ca8e18f98591575.png"/><Relationship Id="rId10" Type="http://schemas.openxmlformats.org/officeDocument/2006/relationships/image" Target="media/12e993acf1fcc072444986b8477da413742c309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2026-09-26T19:09:53.196Z</dcterms:created>
  <dcterms:modified xsi:type="dcterms:W3CDTF">2026-09-26T19:09:53.205Z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