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595959"/>
          <w:sz w:val="19"/>
          <w:szCs w:val="19"/>
        </w:rPr>
        <w:t xml:space="preserve">SERS SEPSIS BIOMARKER PROJECT — BULK SPECTRAL LIBRARY</w:t>
      </w:r>
    </w:p>
    <w:p>
      <w:pPr>
        <w:spacing w:after="40"/>
      </w:pPr>
      <w:r>
        <w:rPr>
          <w:rFonts w:ascii="Arial" w:cs="Arial" w:eastAsia="Arial" w:hAnsi="Arial"/>
          <w:b/>
          <w:bCs/>
          <w:sz w:val="34"/>
          <w:szCs w:val="34"/>
        </w:rPr>
        <w:t xml:space="preserve">NAM Bulk-Powder Raman Validation Session (24 Sep 2026)</w:t>
      </w:r>
    </w:p>
    <w:p>
      <w:pPr>
        <w:spacing w:after="160"/>
      </w:pPr>
      <w:r>
        <w:rPr>
          <w:rFonts w:ascii="Arial" w:cs="Arial" w:eastAsia="Arial" w:hAnsi="Arial"/>
          <w:color w:val="1F4E79"/>
          <w:sz w:val="23"/>
          <w:szCs w:val="23"/>
        </w:rPr>
        <w:t xml:space="preserve">Data processing, quality control and comparison with the existing NAM reference</w:t>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718"/>
      </w:tblGrid>
      <w:tr>
        <w:trPr>
          <w:cantSplit/>
          <w:trHeight w:val="340" w:hRule="atLeast"/>
        </w:trPr>
        <w:tc>
          <w:tcPr>
            <w:tcW w:type="dxa" w:w="26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Sample</w:t>
            </w:r>
          </w:p>
        </w:tc>
        <w:tc>
          <w:tcPr>
            <w:tcW w:type="dxa" w:w="77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N-acetylmuramic acid (NAM / MurNAc), bulk powder placed directly on a glass slide</w:t>
            </w:r>
          </w:p>
        </w:tc>
      </w:tr>
      <w:tr>
        <w:trPr>
          <w:cantSplit/>
          <w:trHeight w:val="340" w:hRule="atLeast"/>
        </w:trPr>
        <w:tc>
          <w:tcPr>
            <w:tcW w:type="dxa" w:w="26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Instrument</w:t>
            </w:r>
          </w:p>
        </w:tc>
        <w:tc>
          <w:tcPr>
            <w:tcW w:type="dxa" w:w="77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B&amp;W Tek i-Raman Plus, BWS465-785H (system BTC665N-785H-SYS), 785 nm laser; software BWRam 4.15</w:t>
            </w:r>
          </w:p>
        </w:tc>
      </w:tr>
      <w:tr>
        <w:trPr>
          <w:cantSplit/>
          <w:trHeight w:val="340" w:hRule="atLeast"/>
        </w:trPr>
        <w:tc>
          <w:tcPr>
            <w:tcW w:type="dxa" w:w="26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Acquisition</w:t>
            </w:r>
          </w:p>
        </w:tc>
        <w:tc>
          <w:tcPr>
            <w:tcW w:type="dxa" w:w="77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Laser power 60 / 70 / 80 / 90 % (instrument setting, not mW) × 30 s × 5 accumulations; independent spots</w:t>
            </w:r>
          </w:p>
        </w:tc>
      </w:tr>
      <w:tr>
        <w:trPr>
          <w:cantSplit/>
          <w:trHeight w:val="340" w:hRule="atLeast"/>
        </w:trPr>
        <w:tc>
          <w:tcPr>
            <w:tcW w:type="dxa" w:w="26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Data</w:t>
            </w:r>
          </w:p>
        </w:tc>
        <w:tc>
          <w:tcPr>
            <w:tcW w:type="dxa" w:w="77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41 NAM spectra + 16 matched empty-glass blanks</w:t>
            </w:r>
          </w:p>
        </w:tc>
      </w:tr>
      <w:tr>
        <w:trPr>
          <w:cantSplit/>
          <w:trHeight w:val="340" w:hRule="atLeast"/>
        </w:trPr>
        <w:tc>
          <w:tcPr>
            <w:tcW w:type="dxa" w:w="26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Compared with</w:t>
            </w:r>
          </w:p>
        </w:tc>
        <w:tc>
          <w:tcPr>
            <w:tcW w:type="dxa" w:w="77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Existing NAM interim reference: 90 % / 30 s / 5 acc, 30 May 2026, n = 15 (5 independent spots + 10 same-spot repeats)</w:t>
            </w:r>
          </w:p>
        </w:tc>
      </w:tr>
      <w:tr>
        <w:trPr>
          <w:cantSplit/>
          <w:trHeight w:val="340" w:hRule="atLeast"/>
        </w:trPr>
        <w:tc>
          <w:tcPr>
            <w:tcW w:type="dxa" w:w="26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Report date</w:t>
            </w:r>
          </w:p>
        </w:tc>
        <w:tc>
          <w:tcPr>
            <w:tcW w:type="dxa" w:w="77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27 Sep 2026 (status updated 28 Sep 2026: NAM reference FINAL)</w:t>
            </w:r>
          </w:p>
        </w:tc>
      </w:tr>
    </w:tbl>
    <w:p>
      <w:pPr>
        <w:spacing w:after="140"/>
      </w:pP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10318"/>
      </w:tblGrid>
      <w:tr>
        <w:trPr>
          <w:cantSplit/>
        </w:trPr>
        <w:tc>
          <w:tcPr>
            <w:tcW w:type="dxa" w:w="10318"/>
            <w:tcBorders>
              <w:top w:val="single" w:color="7F7F7F" w:sz="12"/>
              <w:left w:val="single" w:color="7F7F7F" w:sz="12"/>
              <w:bottom w:val="single" w:color="7F7F7F" w:sz="12"/>
              <w:right w:val="single" w:color="7F7F7F" w:sz="12"/>
            </w:tcBorders>
            <w:shd w:fill="EAF6EE" w:color="auto" w:val="clear"/>
            <w:tcMar>
              <w:top w:type="dxa" w:w="100"/>
              <w:left w:type="dxa" w:w="160"/>
              <w:bottom w:type="dxa" w:w="100"/>
              <w:right w:type="dxa" w:w="160"/>
            </w:tcMar>
          </w:tcPr>
          <w:p>
            <w:pPr>
              <w:spacing w:after="60"/>
            </w:pPr>
            <w:r>
              <w:rPr>
                <w:rFonts w:ascii="Arial" w:cs="Arial" w:eastAsia="Arial" w:hAnsi="Arial"/>
                <w:b/>
                <w:bCs/>
                <w:sz w:val="19"/>
                <w:szCs w:val="19"/>
              </w:rPr>
              <w:t xml:space="preserve">Outcome. </w:t>
            </w:r>
            <w:r>
              <w:rPr>
                <w:rFonts w:ascii="Arial" w:cs="Arial" w:eastAsia="Arial" w:hAnsi="Arial"/>
                <w:sz w:val="19"/>
                <w:szCs w:val="19"/>
              </w:rPr>
              <w:t xml:space="preserve">The 21 new spectra that pass QC confirm the existing NAM reference: every primary and supporting marker band was found in 21/21 spectra, at the same position (shift ≤ 1.5 cm⁻¹, less than one detector pixel) and with the same relative intensity (primary markers within ±7 %). The reference condition (90 % / 30 s / 5 acc) is unchanged. On 28 Sep 2026 the existing data were judged sufficient and the NAM reference was declared FINAL; the limitation (6 independent spots at the reference condition) is documented.</w:t>
            </w:r>
          </w:p>
        </w:tc>
      </w:tr>
    </w:tbl>
    <w:p>
      <w:pPr>
        <w:spacing w:after="100"/>
      </w:pP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10318"/>
      </w:tblGrid>
      <w:tr>
        <w:trPr>
          <w:cantSplit/>
        </w:trPr>
        <w:tc>
          <w:tcPr>
            <w:tcW w:type="dxa" w:w="10318"/>
            <w:tcBorders>
              <w:top w:val="single" w:color="7F7F7F" w:sz="12"/>
              <w:left w:val="single" w:color="7F7F7F" w:sz="12"/>
              <w:bottom w:val="single" w:color="7F7F7F" w:sz="12"/>
              <w:right w:val="single" w:color="7F7F7F" w:sz="12"/>
            </w:tcBorders>
            <w:shd w:fill="EAF2FB" w:color="auto" w:val="clear"/>
            <w:tcMar>
              <w:top w:type="dxa" w:w="100"/>
              <w:left w:type="dxa" w:w="160"/>
              <w:bottom w:type="dxa" w:w="100"/>
              <w:right w:type="dxa" w:w="160"/>
            </w:tcMar>
          </w:tcPr>
          <w:p>
            <w:pPr>
              <w:spacing w:after="60"/>
            </w:pPr>
            <w:r>
              <w:rPr>
                <w:rFonts w:ascii="Arial" w:cs="Arial" w:eastAsia="Arial" w:hAnsi="Arial"/>
                <w:b/>
                <w:bCs/>
                <w:sz w:val="19"/>
                <w:szCs w:val="19"/>
              </w:rPr>
              <w:t xml:space="preserve">Sample-identity correction. </w:t>
            </w:r>
            <w:r>
              <w:rPr>
                <w:rFonts w:ascii="Arial" w:cs="Arial" w:eastAsia="Arial" w:hAnsi="Arial"/>
                <w:sz w:val="19"/>
                <w:szCs w:val="19"/>
              </w:rPr>
              <w:t xml:space="preserve">These files were saved in a folder named "bulk-lps-24-09-26" with sub-folders labelled "lps". The first analysis (report of 24 Sep 2026) found that the spectra matched NAM, not LPS. On 27 Sep 2026 the operator checked the bottle and confirmed the powder was NAM. The library copies were renamed from LPS_Bulk_… to NAM_Bulk_…, the LPS screening report and its tables and figures were withdrawn, and the original folder was left unchanged with an identity note added.</w:t>
            </w:r>
          </w:p>
        </w:tc>
      </w:tr>
    </w:tbl>
    <w:p>
      <w:pPr>
        <w:pStyle w:val="Heading1"/>
        <w:keepNext/>
        <w:pageBreakBefore/>
        <w:spacing w:after="100" w:before="160"/>
      </w:pPr>
      <w:r>
        <w:rPr>
          <w:rFonts w:ascii="Arial" w:cs="Arial" w:eastAsia="Arial" w:hAnsi="Arial"/>
        </w:rPr>
        <w:t xml:space="preserve">Executive summary</w:t>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100"/>
        <w:gridCol w:w="1300"/>
        <w:gridCol w:w="1700"/>
        <w:gridCol w:w="1600"/>
        <w:gridCol w:w="3118"/>
      </w:tblGrid>
      <w:tr>
        <w:trPr>
          <w:tblHeader/>
        </w:trPr>
        <w:tc>
          <w:tcPr>
            <w:tcW w:type="dxa" w:w="15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6"/>
                <w:szCs w:val="16"/>
              </w:rPr>
              <w:t xml:space="preserve">Set</w:t>
            </w:r>
          </w:p>
        </w:tc>
        <w:tc>
          <w:tcPr>
            <w:tcW w:type="dxa" w:w="11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6"/>
                <w:szCs w:val="16"/>
              </w:rPr>
              <w:t xml:space="preserve">n (pass)</w:t>
            </w:r>
          </w:p>
        </w:tc>
        <w:tc>
          <w:tcPr>
            <w:tcW w:type="dxa" w:w="13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6"/>
                <w:szCs w:val="16"/>
              </w:rPr>
              <w:t xml:space="preserve">r vs reference</w:t>
            </w:r>
          </w:p>
        </w:tc>
        <w:tc>
          <w:tcPr>
            <w:tcW w:type="dxa" w:w="17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6"/>
                <w:szCs w:val="16"/>
              </w:rPr>
              <w:t xml:space="preserve">Pairwise r (mean)</w:t>
            </w:r>
          </w:p>
        </w:tc>
        <w:tc>
          <w:tcPr>
            <w:tcW w:type="dxa" w:w="16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6"/>
                <w:szCs w:val="16"/>
              </w:rPr>
              <w:t xml:space="preserve">929 cm⁻¹ height (CV)</w:t>
            </w:r>
          </w:p>
        </w:tc>
        <w:tc>
          <w:tcPr>
            <w:tcW w:type="dxa" w:w="311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6"/>
                <w:szCs w:val="16"/>
              </w:rPr>
              <w:t xml:space="preserve">Role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Reference 30 May, 90 %</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15</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1.000</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0.994</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919 (3.9 %)</w:t>
            </w:r>
          </w:p>
        </w:tc>
        <w:tc>
          <w:tcPr>
            <w:tcW w:type="dxa" w:w="31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Existing interim reference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New 60 %</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11 / 11</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0.982</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0.987</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473 (15.9 %)</w:t>
            </w:r>
          </w:p>
        </w:tc>
        <w:tc>
          <w:tcPr>
            <w:tcW w:type="dxa" w:w="31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Validation (largest clean set)</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New 70 %</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5 / 8</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0.991</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0.992</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569 (10.6 %)</w:t>
            </w:r>
          </w:p>
        </w:tc>
        <w:tc>
          <w:tcPr>
            <w:tcW w:type="dxa" w:w="31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Validation</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New 80 %</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4 / 9</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0.990</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0.958</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718 (10.4 %)</w:t>
            </w:r>
          </w:p>
        </w:tc>
        <w:tc>
          <w:tcPr>
            <w:tcW w:type="dxa" w:w="31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Validation</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New 90 %</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1 / 13</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0.994</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709 (n = 1)</w:t>
            </w:r>
          </w:p>
        </w:tc>
        <w:tc>
          <w:tcPr>
            <w:tcW w:type="dxa" w:w="31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Top-up at reference condition</w:t>
            </w:r>
          </w:p>
        </w:tc>
      </w:tr>
    </w:tbl>
    <w:p>
      <w:pPr>
        <w:spacing w:after="80"/>
      </w:pPr>
    </w:p>
    <w:p>
      <w:pPr>
        <w:pStyle w:val="ListParagraph"/>
        <w:numPr>
          <w:ilvl w:val="0"/>
          <w:numId w:val="2"/>
        </w:numPr>
        <w:spacing w:after="40"/>
      </w:pPr>
      <w:r>
        <w:rPr>
          <w:rFonts w:ascii="Arial" w:cs="Arial" w:eastAsia="Arial" w:hAnsi="Arial"/>
          <w:b/>
          <w:bCs/>
          <w:sz w:val="20"/>
          <w:szCs w:val="20"/>
        </w:rPr>
        <w:t xml:space="preserve">Validation: </w:t>
      </w:r>
      <w:r>
        <w:rPr>
          <w:rFonts w:ascii="Arial" w:cs="Arial" w:eastAsia="Arial" w:hAnsi="Arial"/>
          <w:sz w:val="20"/>
          <w:szCs w:val="20"/>
        </w:rPr>
        <w:t xml:space="preserve">the mean of each new set correlates with the reference mean at r = 0.982–0.994 (glass zone excluded). All 7 primary markers (541, 829, 870.5, 929, 955, 1023, 1127 cm⁻¹) and 4 supporting peaks (457, 487, 1249, 1589 cm⁻¹) were detected in 21/21 spectra.</w:t>
      </w:r>
    </w:p>
    <w:p>
      <w:pPr>
        <w:pStyle w:val="ListParagraph"/>
        <w:numPr>
          <w:ilvl w:val="0"/>
          <w:numId w:val="2"/>
        </w:numPr>
        <w:spacing w:after="40"/>
      </w:pPr>
      <w:r>
        <w:rPr>
          <w:rFonts w:ascii="Arial" w:cs="Arial" w:eastAsia="Arial" w:hAnsi="Arial"/>
          <w:b/>
          <w:bCs/>
          <w:sz w:val="20"/>
          <w:szCs w:val="20"/>
        </w:rPr>
        <w:t xml:space="preserve">Positions and relative intensities: </w:t>
      </w:r>
      <w:r>
        <w:rPr>
          <w:rFonts w:ascii="Arial" w:cs="Arial" w:eastAsia="Arial" w:hAnsi="Arial"/>
          <w:sz w:val="20"/>
          <w:szCs w:val="20"/>
        </w:rPr>
        <w:t xml:space="preserve">every marker is within 1.5 cm⁻¹ of the reference position (detector pixel ≈ 1.8 cm⁻¹). Relative intensities I/I₉₂₉ agree within ±7 % for the primary markers and within ±11 % for the other bands outside the glass zone.</w:t>
      </w:r>
    </w:p>
    <w:p>
      <w:pPr>
        <w:pStyle w:val="ListParagraph"/>
        <w:numPr>
          <w:ilvl w:val="0"/>
          <w:numId w:val="2"/>
        </w:numPr>
        <w:spacing w:after="40"/>
      </w:pPr>
      <w:r>
        <w:rPr>
          <w:rFonts w:ascii="Arial" w:cs="Arial" w:eastAsia="Arial" w:hAnsi="Arial"/>
          <w:b/>
          <w:bCs/>
          <w:sz w:val="20"/>
          <w:szCs w:val="20"/>
        </w:rPr>
        <w:t xml:space="preserve">Data quality: </w:t>
      </w:r>
      <w:r>
        <w:rPr>
          <w:rFonts w:ascii="Arial" w:cs="Arial" w:eastAsia="Arial" w:hAnsi="Arial"/>
          <w:sz w:val="20"/>
          <w:szCs w:val="20"/>
        </w:rPr>
        <w:t xml:space="preserve">21/41 spectra pass QC. All 20 failures are caused by dark-reference ripple: the dark level rose from about 1 420 to 4 470 counts during the roughly 10-hour session. No spectrum saturated.</w:t>
      </w:r>
    </w:p>
    <w:p>
      <w:pPr>
        <w:pStyle w:val="ListParagraph"/>
        <w:numPr>
          <w:ilvl w:val="0"/>
          <w:numId w:val="2"/>
        </w:numPr>
        <w:spacing w:after="40"/>
      </w:pPr>
      <w:r>
        <w:rPr>
          <w:rFonts w:ascii="Arial" w:cs="Arial" w:eastAsia="Arial" w:hAnsi="Arial"/>
          <w:b/>
          <w:bCs/>
          <w:sz w:val="20"/>
          <w:szCs w:val="20"/>
        </w:rPr>
        <w:t xml:space="preserve">Bulk intensity: </w:t>
      </w:r>
      <w:r>
        <w:rPr>
          <w:rFonts w:ascii="Arial" w:cs="Arial" w:eastAsia="Arial" w:hAnsi="Arial"/>
          <w:sz w:val="20"/>
          <w:szCs w:val="20"/>
        </w:rPr>
        <w:t xml:space="preserve">the 929 cm⁻¹ band increases with power: 473 counts at 60 %, 569 at 70 %, 718 at 80 % and 709 at 90 % (n = 1). The 90 % value is about 23 % below the 30 May reference (919 counts). Relative intensities agree, so this is a difference in overall signal level between sessions (e.g. focus or powder packing), not in the spectrum.</w:t>
      </w:r>
    </w:p>
    <w:p>
      <w:pPr>
        <w:pStyle w:val="ListParagraph"/>
        <w:numPr>
          <w:ilvl w:val="0"/>
          <w:numId w:val="2"/>
        </w:numPr>
        <w:spacing w:after="40"/>
      </w:pPr>
      <w:r>
        <w:rPr>
          <w:rFonts w:ascii="Arial" w:cs="Arial" w:eastAsia="Arial" w:hAnsi="Arial"/>
          <w:b/>
          <w:bCs/>
          <w:sz w:val="20"/>
          <w:szCs w:val="20"/>
        </w:rPr>
        <w:t xml:space="preserve">Decision: </w:t>
      </w:r>
      <w:r>
        <w:rPr>
          <w:rFonts w:ascii="Arial" w:cs="Arial" w:eastAsia="Arial" w:hAnsi="Arial"/>
          <w:sz w:val="20"/>
          <w:szCs w:val="20"/>
        </w:rPr>
        <w:t xml:space="preserve">the reference is confirmed and the condition stays 90 % / 30 s / 5 acc. Status (28 Sep 2026): FINAL by operator decision, with no further NAM acquisition. Limitation: 6 independent spots at 90 %, supported by 31 independent spots at other conditions.</w:t>
      </w:r>
    </w:p>
    <w:p>
      <w:pPr>
        <w:pStyle w:val="Heading1"/>
        <w:keepNext/>
        <w:spacing w:after="100" w:before="160"/>
      </w:pPr>
      <w:r>
        <w:rPr>
          <w:rFonts w:ascii="Arial" w:cs="Arial" w:eastAsia="Arial" w:hAnsi="Arial"/>
        </w:rPr>
        <w:t xml:space="preserve">1. Purpose</w:t>
      </w:r>
    </w:p>
    <w:p>
      <w:pPr>
        <w:spacing w:after="80" w:before="0"/>
      </w:pPr>
      <w:r>
        <w:rPr>
          <w:rFonts w:ascii="Arial" w:cs="Arial" w:eastAsia="Arial" w:hAnsi="Arial"/>
          <w:sz w:val="20"/>
          <w:szCs w:val="20"/>
        </w:rPr>
        <w:t xml:space="preserve">The NAM reference in library v3 was built from 15 spectra at 90 % / 30 s / 5 acc on 30 May 2026, but only 5 of them were independent spots (the other 10 were repeats of one spot). The planned next step was to collect at least 10 more independent spots and check whether they confirm the reference. This session recorded 41 independent NAM spots at four laser powers, plus matched glass blanks. This report checks every spectrum (QC), compares the clean spectra with the reference, and decides whether the reference is confirmed or needs revising.</w:t>
      </w:r>
    </w:p>
    <w:p>
      <w:pPr>
        <w:pStyle w:val="Heading1"/>
        <w:keepNext/>
        <w:spacing w:after="100" w:before="160"/>
      </w:pPr>
      <w:r>
        <w:rPr>
          <w:rFonts w:ascii="Arial" w:cs="Arial" w:eastAsia="Arial" w:hAnsi="Arial"/>
        </w:rPr>
        <w:t xml:space="preserve">2. Acquisition</w:t>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100"/>
        <w:gridCol w:w="1300"/>
        <w:gridCol w:w="1700"/>
        <w:gridCol w:w="3918"/>
      </w:tblGrid>
      <w:tr>
        <w:trPr>
          <w:tblHeader/>
        </w:trPr>
        <w:tc>
          <w:tcPr>
            <w:tcW w:type="dxa" w:w="23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7"/>
                <w:szCs w:val="17"/>
              </w:rPr>
              <w:t xml:space="preserve">Original sub-folder</w:t>
            </w:r>
          </w:p>
        </w:tc>
        <w:tc>
          <w:tcPr>
            <w:tcW w:type="dxa" w:w="11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7"/>
                <w:szCs w:val="17"/>
              </w:rPr>
              <w:t xml:space="preserve">Power</w:t>
            </w:r>
          </w:p>
        </w:tc>
        <w:tc>
          <w:tcPr>
            <w:tcW w:type="dxa" w:w="13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7"/>
                <w:szCs w:val="17"/>
              </w:rPr>
              <w:t xml:space="preserve">Int. × acc.</w:t>
            </w:r>
          </w:p>
        </w:tc>
        <w:tc>
          <w:tcPr>
            <w:tcW w:type="dxa" w:w="17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7"/>
                <w:szCs w:val="17"/>
              </w:rPr>
              <w:t xml:space="preserve">NAM / blanks</w:t>
            </w:r>
          </w:p>
        </w:tc>
        <w:tc>
          <w:tcPr>
            <w:tcW w:type="dxa" w:w="391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7"/>
                <w:szCs w:val="17"/>
              </w:rPr>
              <w:t xml:space="preserve">Acquisition time (instrument clock)</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7"/>
                <w:szCs w:val="17"/>
              </w:rPr>
              <w:t xml:space="preserve">60 power</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7"/>
                <w:szCs w:val="17"/>
              </w:rPr>
              <w:t xml:space="preserve">60 %</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7"/>
                <w:szCs w:val="17"/>
              </w:rPr>
              <w:t xml:space="preserve">30 s × 5</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7"/>
                <w:szCs w:val="17"/>
              </w:rPr>
              <w:t xml:space="preserve">11 / 4</w:t>
            </w:r>
          </w:p>
        </w:tc>
        <w:tc>
          <w:tcPr>
            <w:tcW w:type="dxa" w:w="39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7"/>
                <w:szCs w:val="17"/>
              </w:rPr>
              <w:t xml:space="preserve">03:10 – 04:13</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7"/>
                <w:szCs w:val="17"/>
              </w:rPr>
              <w:t xml:space="preserve">lps-diffrent power-70</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7"/>
                <w:szCs w:val="17"/>
              </w:rPr>
              <w:t xml:space="preserve">70 %</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7"/>
                <w:szCs w:val="17"/>
              </w:rPr>
              <w:t xml:space="preserve">30 s × 5</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7"/>
                <w:szCs w:val="17"/>
              </w:rPr>
              <w:t xml:space="preserve">8 / 3</w:t>
            </w:r>
          </w:p>
        </w:tc>
        <w:tc>
          <w:tcPr>
            <w:tcW w:type="dxa" w:w="39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7"/>
                <w:szCs w:val="17"/>
              </w:rPr>
              <w:t xml:space="preserve">04:28 – 08:23</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7"/>
                <w:szCs w:val="17"/>
              </w:rPr>
              <w:t xml:space="preserve">lps-diffrent-80 power</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7"/>
                <w:szCs w:val="17"/>
              </w:rPr>
              <w:t xml:space="preserve">80 %</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7"/>
                <w:szCs w:val="17"/>
              </w:rPr>
              <w:t xml:space="preserve">30 s × 5</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7"/>
                <w:szCs w:val="17"/>
              </w:rPr>
              <w:t xml:space="preserve">9 / 5</w:t>
            </w:r>
          </w:p>
        </w:tc>
        <w:tc>
          <w:tcPr>
            <w:tcW w:type="dxa" w:w="39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7"/>
                <w:szCs w:val="17"/>
              </w:rPr>
              <w:t xml:space="preserve">10:38 – 11:47</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7"/>
                <w:szCs w:val="17"/>
              </w:rPr>
              <w:t xml:space="preserve">lps-diffrent-90-power</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7"/>
                <w:szCs w:val="17"/>
              </w:rPr>
              <w:t xml:space="preserve">90 %</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7"/>
                <w:szCs w:val="17"/>
              </w:rPr>
              <w:t xml:space="preserve">30 s × 5</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7"/>
                <w:szCs w:val="17"/>
              </w:rPr>
              <w:t xml:space="preserve">13 / 4</w:t>
            </w:r>
          </w:p>
        </w:tc>
        <w:tc>
          <w:tcPr>
            <w:tcW w:type="dxa" w:w="39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7"/>
                <w:szCs w:val="17"/>
              </w:rPr>
              <w:t xml:space="preserve">11:58 – 13:01</w:t>
            </w:r>
          </w:p>
        </w:tc>
      </w:tr>
    </w:tbl>
    <w:p>
      <w:pPr>
        <w:spacing w:after="60"/>
      </w:pPr>
    </w:p>
    <w:p>
      <w:pPr>
        <w:spacing w:after="80" w:before="0"/>
      </w:pPr>
      <w:r>
        <w:rPr>
          <w:rFonts w:ascii="Arial" w:cs="Arial" w:eastAsia="Arial" w:hAnsi="Arial"/>
          <w:b/>
          <w:bCs/>
          <w:sz w:val="20"/>
          <w:szCs w:val="20"/>
        </w:rPr>
        <w:t xml:space="preserve">Metadata. </w:t>
      </w:r>
      <w:r>
        <w:rPr>
          <w:rFonts w:ascii="Arial" w:cs="Arial" w:eastAsia="Arial" w:hAnsi="Arial"/>
          <w:sz w:val="20"/>
          <w:szCs w:val="20"/>
        </w:rPr>
        <w:t xml:space="preserve">Power, integration time and accumulations in every file header agree with the folder names. The objective, operator, product, batch/lot and supplier fields are empty in the headers and are reported as "Not recorded". Laser power is kept as the instrument % setting.</w:t>
      </w:r>
    </w:p>
    <w:p>
      <w:pPr>
        <w:spacing w:after="80" w:before="0"/>
      </w:pPr>
      <w:r>
        <w:rPr>
          <w:rFonts w:ascii="Arial" w:cs="Arial" w:eastAsia="Arial" w:hAnsi="Arial"/>
          <w:b/>
          <w:bCs/>
          <w:sz w:val="20"/>
          <w:szCs w:val="20"/>
        </w:rPr>
        <w:t xml:space="preserve">Notes. </w:t>
      </w:r>
      <w:r>
        <w:rPr>
          <w:rFonts w:ascii="Arial" w:cs="Arial" w:eastAsia="Arial" w:hAnsi="Arial"/>
          <w:sz w:val="20"/>
          <w:szCs w:val="20"/>
        </w:rPr>
        <w:t xml:space="preserve">(i) Two 80 % files named "class4" and "class5" behave exactly like glass blanks (saturated glass band, no NAM bands) and were filed as Glass_Blank S04/S05, pending the operator's confirmation. (ii) The dark reference was re-acquired several times during the session (§4). (iii) The earlier LPS report stated 19 blanks; the correct number is 16 (57 files = 41 NAM + 16 blanks).</w:t>
      </w:r>
    </w:p>
    <w:p>
      <w:pPr>
        <w:pStyle w:val="Heading1"/>
        <w:keepNext/>
        <w:spacing w:after="100" w:before="160"/>
      </w:pPr>
      <w:r>
        <w:rPr>
          <w:rFonts w:ascii="Arial" w:cs="Arial" w:eastAsia="Arial" w:hAnsi="Arial"/>
        </w:rPr>
        <w:t xml:space="preserve">3. Data organisation</w:t>
      </w:r>
    </w:p>
    <w:p>
      <w:pPr>
        <w:spacing w:after="80" w:before="0"/>
      </w:pPr>
      <w:r>
        <w:rPr>
          <w:rFonts w:ascii="Arial" w:cs="Arial" w:eastAsia="Arial" w:hAnsi="Arial"/>
          <w:sz w:val="20"/>
          <w:szCs w:val="20"/>
        </w:rPr>
        <w:t xml:space="preserve">The original folder bulk-lps-24-09-26 is unchanged apart from an added README_SAMPLE_IDENTITY.txt. The renamed copies are byte-identical to the originals: all 57 MD5 checksums match. The new files follow the library's existing folder layout.</w:t>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00"/>
        <w:gridCol w:w="5718"/>
      </w:tblGrid>
      <w:tr>
        <w:trPr>
          <w:tblHeader/>
        </w:trPr>
        <w:tc>
          <w:tcPr>
            <w:tcW w:type="dxa" w:w="46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6"/>
                <w:szCs w:val="16"/>
              </w:rPr>
              <w:t xml:space="preserve">Location (inside SERS_Sepsis_Spectral_Library)</w:t>
            </w:r>
          </w:p>
        </w:tc>
        <w:tc>
          <w:tcPr>
            <w:tcW w:type="dxa" w:w="571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6"/>
                <w:szCs w:val="16"/>
              </w:rPr>
              <w:t xml:space="preserve">Content</w:t>
            </w:r>
          </w:p>
        </w:tc>
      </w:tr>
      <w:tr>
        <w:trPr>
          <w:cantSplit/>
        </w:trPr>
        <w:tc>
          <w:tcPr>
            <w:tcW w:type="dxa" w:w="4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01_Raw_Data_Renamed/NAM_Bulk/NAM_Bulk_20260924_*.csv</w:t>
            </w:r>
          </w:p>
        </w:tc>
        <w:tc>
          <w:tcPr>
            <w:tcW w:type="dxa" w:w="57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41 NAM spectra (renamed copies)</w:t>
            </w:r>
          </w:p>
        </w:tc>
      </w:tr>
      <w:tr>
        <w:trPr>
          <w:cantSplit/>
        </w:trPr>
        <w:tc>
          <w:tcPr>
            <w:tcW w:type="dxa" w:w="4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01_Raw_Data_Renamed/Glass_Blank/Glass_Blank_20260924_*.csv</w:t>
            </w:r>
          </w:p>
        </w:tc>
        <w:tc>
          <w:tcPr>
            <w:tcW w:type="dxa" w:w="57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16 matched blanks</w:t>
            </w:r>
          </w:p>
        </w:tc>
      </w:tr>
      <w:tr>
        <w:trPr>
          <w:cantSplit/>
        </w:trPr>
        <w:tc>
          <w:tcPr>
            <w:tcW w:type="dxa" w:w="4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02_Processed_Spectra/NAM, …/Glass_Blank (…_20260924_*_processed.csv)</w:t>
            </w:r>
          </w:p>
        </w:tc>
        <w:tc>
          <w:tcPr>
            <w:tcW w:type="dxa" w:w="57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Every pipeline stage + QC header</w:t>
            </w:r>
          </w:p>
        </w:tc>
      </w:tr>
      <w:tr>
        <w:trPr>
          <w:cantSplit/>
        </w:trPr>
        <w:tc>
          <w:tcPr>
            <w:tcW w:type="dxa" w:w="4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03_Reference_Spectra/NAM/NAM_Validation_20260924_*.csv</w:t>
            </w:r>
          </w:p>
        </w:tc>
        <w:tc>
          <w:tcPr>
            <w:tcW w:type="dxa" w:w="57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Mean/median/SD per power; marker comparison</w:t>
            </w:r>
          </w:p>
        </w:tc>
      </w:tr>
      <w:tr>
        <w:trPr>
          <w:cantSplit/>
        </w:trPr>
        <w:tc>
          <w:tcPr>
            <w:tcW w:type="dxa" w:w="4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03_Reference_Spectra/NAM/README_NAM_reference_status.txt</w:t>
            </w:r>
          </w:p>
        </w:tc>
        <w:tc>
          <w:tcPr>
            <w:tcW w:type="dxa" w:w="57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Status updated (validation added)</w:t>
            </w:r>
          </w:p>
        </w:tc>
      </w:tr>
      <w:tr>
        <w:trPr>
          <w:cantSplit/>
        </w:trPr>
        <w:tc>
          <w:tcPr>
            <w:tcW w:type="dxa" w:w="4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04_Figures/NAM_Session_20260924/FigN1–N9</w:t>
            </w:r>
          </w:p>
        </w:tc>
        <w:tc>
          <w:tcPr>
            <w:tcW w:type="dxa" w:w="57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Figures in this report</w:t>
            </w:r>
          </w:p>
        </w:tc>
      </w:tr>
      <w:tr>
        <w:trPr>
          <w:cantSplit/>
        </w:trPr>
        <w:tc>
          <w:tcPr>
            <w:tcW w:type="dxa" w:w="4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05_Tables/Spectral_Library_Metadata_and_Peaks.xlsx</w:t>
            </w:r>
          </w:p>
        </w:tc>
        <w:tc>
          <w:tcPr>
            <w:tcW w:type="dxa" w:w="57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New sheets 26–32 (inventory, QC, set statistics, old vs new, bands, bulk intensity vs power, decision)</w:t>
            </w:r>
          </w:p>
        </w:tc>
      </w:tr>
      <w:tr>
        <w:trPr>
          <w:cantSplit/>
        </w:trPr>
        <w:tc>
          <w:tcPr>
            <w:tcW w:type="dxa" w:w="4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07_QC_and_Exclusions/NAM_Session_20260924_QC_Log.csv</w:t>
            </w:r>
          </w:p>
        </w:tc>
        <w:tc>
          <w:tcPr>
            <w:tcW w:type="dxa" w:w="57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Per-spectrum QC; exclusions also appended to Excluded_and_Flagged_Spectra.csv</w:t>
            </w:r>
          </w:p>
        </w:tc>
      </w:tr>
      <w:tr>
        <w:trPr>
          <w:cantSplit/>
        </w:trPr>
        <w:tc>
          <w:tcPr>
            <w:tcW w:type="dxa" w:w="4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08_Methodology/code/ln0–ln5</w:t>
            </w:r>
          </w:p>
        </w:tc>
        <w:tc>
          <w:tcPr>
            <w:tcW w:type="dxa" w:w="57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Scripts that produced every number here</w:t>
            </w:r>
          </w:p>
        </w:tc>
      </w:tr>
      <w:tr>
        <w:trPr>
          <w:cantSplit/>
        </w:trPr>
        <w:tc>
          <w:tcPr>
            <w:tcW w:type="dxa" w:w="4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_to_delete/LPS_mislabel_20260924_superseded</w:t>
            </w:r>
          </w:p>
        </w:tc>
        <w:tc>
          <w:tcPr>
            <w:tcW w:type="dxa" w:w="57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Withdrawn LPS-labelled outputs (kept until you delete them)</w:t>
            </w:r>
          </w:p>
        </w:tc>
      </w:tr>
    </w:tbl>
    <w:p>
      <w:pPr>
        <w:pStyle w:val="Heading1"/>
        <w:keepNext/>
        <w:pageBreakBefore/>
        <w:spacing w:after="100" w:before="160"/>
      </w:pPr>
      <w:r>
        <w:rPr>
          <w:rFonts w:ascii="Arial" w:cs="Arial" w:eastAsia="Arial" w:hAnsi="Arial"/>
        </w:rPr>
        <w:t xml:space="preserve">4. Processing and quality control</w:t>
      </w:r>
    </w:p>
    <w:p>
      <w:pPr>
        <w:spacing w:after="80" w:before="0"/>
      </w:pPr>
      <w:r>
        <w:rPr>
          <w:rFonts w:ascii="Arial" w:cs="Arial" w:eastAsia="Arial" w:hAnsi="Arial"/>
          <w:sz w:val="20"/>
          <w:szCs w:val="20"/>
        </w:rPr>
        <w:t xml:space="preserve">The unchanged library pipeline v3 was used: hot-pixel correction (pixels 640 and 700) → crop 400–1800 cm⁻¹ → MAD spike removal (z &gt; 6, ≤ 2 px) → Savitzky–Golay 11/3 → ALS baseline (λ = 1e5, p = 0.01) → noise (1.4826 × MAD of despiked − smoothed) → min–max normalisation. Correlations exclude the glass zone 1308–1455 cm⁻¹.</w:t>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7318"/>
      </w:tblGrid>
      <w:tr>
        <w:trPr>
          <w:tblHeader/>
        </w:trPr>
        <w:tc>
          <w:tcPr>
            <w:tcW w:type="dxa" w:w="3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7"/>
                <w:szCs w:val="17"/>
              </w:rPr>
              <w:t xml:space="preserve">QC criterion (project convention)</w:t>
            </w:r>
          </w:p>
        </w:tc>
        <w:tc>
          <w:tcPr>
            <w:tcW w:type="dxa" w:w="731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7"/>
                <w:szCs w:val="17"/>
              </w:rPr>
              <w:t xml:space="preserve">Rule</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7"/>
                <w:szCs w:val="17"/>
              </w:rPr>
              <w:t xml:space="preserve">Saturation</w:t>
            </w:r>
          </w:p>
        </w:tc>
        <w:tc>
          <w:tcPr>
            <w:tcW w:type="dxa" w:w="7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7"/>
                <w:szCs w:val="17"/>
              </w:rPr>
              <w:t xml:space="preserve">No raw count at 65 535 inside 400–1800 cm⁻¹</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7"/>
                <w:szCs w:val="17"/>
              </w:rPr>
              <w:t xml:space="preserve">Dark-reference ripple</w:t>
            </w:r>
          </w:p>
        </w:tc>
        <w:tc>
          <w:tcPr>
            <w:tcW w:type="dxa" w:w="7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7"/>
                <w:szCs w:val="17"/>
              </w:rPr>
              <w:t xml:space="preserve">High-pass residual SD in 1550–1800 cm⁻¹ ≤ 50 counts (clean spectra: 14–25)</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7"/>
                <w:szCs w:val="17"/>
              </w:rPr>
              <w:t xml:space="preserve">Signal</w:t>
            </w:r>
          </w:p>
        </w:tc>
        <w:tc>
          <w:tcPr>
            <w:tcW w:type="dxa" w:w="7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7"/>
                <w:szCs w:val="17"/>
              </w:rPr>
              <w:t xml:space="preserve">SNR of the 929 cm⁻¹ band ≥ 10</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7"/>
                <w:szCs w:val="17"/>
              </w:rPr>
              <w:t xml:space="preserve">Retention</w:t>
            </w:r>
          </w:p>
        </w:tc>
        <w:tc>
          <w:tcPr>
            <w:tcW w:type="dxa" w:w="7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7"/>
                <w:szCs w:val="17"/>
              </w:rPr>
              <w:t xml:space="preserve">All spectra kept; failed spectra excluded from averages only, with the reason recorded</w:t>
            </w:r>
          </w:p>
        </w:tc>
      </w:tr>
    </w:tbl>
    <w:p>
      <w:pPr>
        <w:spacing w:after="60"/>
      </w:pPr>
    </w:p>
    <w:p>
      <w:pPr>
        <w:spacing w:after="80" w:before="0"/>
      </w:pPr>
      <w:r>
        <w:rPr>
          <w:rFonts w:ascii="Arial" w:cs="Arial" w:eastAsia="Arial" w:hAnsi="Arial"/>
          <w:b/>
          <w:bCs/>
          <w:sz w:val="20"/>
          <w:szCs w:val="20"/>
        </w:rPr>
        <w:t xml:space="preserve">Why spectra failed. </w:t>
      </w:r>
      <w:r>
        <w:rPr>
          <w:rFonts w:ascii="Arial" w:cs="Arial" w:eastAsia="Arial" w:hAnsi="Arial"/>
          <w:sz w:val="20"/>
          <w:szCs w:val="20"/>
        </w:rPr>
        <w:t xml:space="preserve">The detector has a fixed pixel-to-pixel pattern that the dark frame normally cancels (Fig. N4, left). During this session the dark level rose from about 1 420 counts (03:00–07:00) to about 1 820, then 3 600–4 470 counts (08:00–13:00) (Fig. N1). When the dark frame and the sample frame no longer match, the pattern remains as ripple (Fig. N4, right). The likely causes are stray or room light during dark acquisition, or detector temperature drift over the long session. Failures therefore say nothing about the sample or the laser power.</w:t>
      </w:r>
    </w:p>
    <w:p>
      <w:pPr>
        <w:keepNext/>
        <w:spacing w:after="40"/>
        <w:jc w:val="center"/>
      </w:pPr>
      <w:r>
        <w:drawing>
          <wp:inline distT="0" distB="0" distL="0" distR="0">
            <wp:extent cx="53340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257550"/>
                    </a:xfrm>
                    <a:prstGeom prst="rect">
                      <a:avLst/>
                    </a:prstGeom>
                  </pic:spPr>
                </pic:pic>
              </a:graphicData>
            </a:graphic>
          </wp:inline>
        </w:drawing>
      </w:r>
    </w:p>
    <w:p>
      <w:pPr>
        <w:spacing w:after="140" w:before="0"/>
      </w:pPr>
      <w:r>
        <w:rPr>
          <w:rFonts w:ascii="Arial" w:cs="Arial" w:eastAsia="Arial" w:hAnsi="Arial"/>
          <w:i/>
          <w:iCs/>
          <w:color w:val="404040"/>
          <w:sz w:val="17"/>
          <w:szCs w:val="17"/>
        </w:rPr>
        <w:t xml:space="preserve">Fig. N1  Dark-frame median (top) and residual ripple (bottom) versus acquisition time; open symbols = failed spectra.</w:t>
      </w:r>
    </w:p>
    <w:p>
      <w:pPr>
        <w:keepNext/>
        <w:spacing w:after="40"/>
        <w:jc w:val="center"/>
      </w:pPr>
      <w:r>
        <w:drawing>
          <wp:inline distT="0" distB="0" distL="0" distR="0">
            <wp:extent cx="60960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962400"/>
                    </a:xfrm>
                    <a:prstGeom prst="rect">
                      <a:avLst/>
                    </a:prstGeom>
                  </pic:spPr>
                </pic:pic>
              </a:graphicData>
            </a:graphic>
          </wp:inline>
        </w:drawing>
      </w:r>
    </w:p>
    <w:p>
      <w:pPr>
        <w:spacing w:after="140" w:before="0"/>
      </w:pPr>
      <w:r>
        <w:rPr>
          <w:rFonts w:ascii="Arial" w:cs="Arial" w:eastAsia="Arial" w:hAnsi="Arial"/>
          <w:i/>
          <w:iCs/>
          <w:color w:val="404040"/>
          <w:sz w:val="17"/>
          <w:szCs w:val="17"/>
        </w:rPr>
        <w:t xml:space="preserve">Fig. N2  All NAM spectra as recorded (dark-subtracted counts). Coloured = PASS, red = FAIL.</w:t>
      </w:r>
    </w:p>
    <w:p>
      <w:pPr>
        <w:keepNext/>
        <w:spacing w:after="40"/>
        <w:jc w:val="center"/>
      </w:pPr>
      <w:r>
        <w:drawing>
          <wp:inline distT="0" distB="0" distL="0" distR="0">
            <wp:extent cx="6096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2190750"/>
                    </a:xfrm>
                    <a:prstGeom prst="rect">
                      <a:avLst/>
                    </a:prstGeom>
                  </pic:spPr>
                </pic:pic>
              </a:graphicData>
            </a:graphic>
          </wp:inline>
        </w:drawing>
      </w:r>
    </w:p>
    <w:p>
      <w:pPr>
        <w:spacing w:after="140" w:before="0"/>
      </w:pPr>
      <w:r>
        <w:rPr>
          <w:rFonts w:ascii="Arial" w:cs="Arial" w:eastAsia="Arial" w:hAnsi="Arial"/>
          <w:i/>
          <w:iCs/>
          <w:color w:val="404040"/>
          <w:sz w:val="17"/>
          <w:szCs w:val="17"/>
        </w:rPr>
        <w:t xml:space="preserve">Fig. N4  Ripple diagnostic in 1500–1800 cm⁻¹ for a passing (70 % S02) and a failing (90 % S02) spectrum.</w:t>
      </w:r>
    </w:p>
    <w:p>
      <w:pPr>
        <w:pStyle w:val="Heading2"/>
        <w:keepNext/>
        <w:spacing w:after="80" w:before="140"/>
      </w:pPr>
      <w:r>
        <w:rPr>
          <w:rFonts w:ascii="Arial" w:cs="Arial" w:eastAsia="Arial" w:hAnsi="Arial"/>
        </w:rPr>
        <w:t xml:space="preserve">Excluded spectra</w:t>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00"/>
        <w:gridCol w:w="900"/>
        <w:gridCol w:w="1300"/>
        <w:gridCol w:w="3718"/>
      </w:tblGrid>
      <w:tr>
        <w:trPr>
          <w:tblHeader/>
        </w:trPr>
        <w:tc>
          <w:tcPr>
            <w:tcW w:type="dxa" w:w="44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Library file</w:t>
            </w:r>
          </w:p>
        </w:tc>
        <w:tc>
          <w:tcPr>
            <w:tcW w:type="dxa" w:w="9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Power</w:t>
            </w:r>
          </w:p>
        </w:tc>
        <w:tc>
          <w:tcPr>
            <w:tcW w:type="dxa" w:w="13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Ripple</w:t>
            </w:r>
          </w:p>
        </w:tc>
        <w:tc>
          <w:tcPr>
            <w:tcW w:type="dxa" w:w="371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Reason</w:t>
            </w:r>
          </w:p>
        </w:tc>
      </w:tr>
      <w:tr>
        <w:trPr>
          <w:cantSplit/>
        </w:trPr>
        <w:tc>
          <w:tcPr>
            <w:tcW w:type="dxa" w:w="4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NAM_Bulk_20260924_P070pct_T30s_A05_S06.csv</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70 %</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116</w:t>
            </w:r>
          </w:p>
        </w:tc>
        <w:tc>
          <w:tcPr>
            <w:tcW w:type="dxa" w:w="37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Dark-reference ripple &gt; 50 counts</w:t>
            </w:r>
          </w:p>
        </w:tc>
      </w:tr>
      <w:tr>
        <w:trPr>
          <w:cantSplit/>
        </w:trPr>
        <w:tc>
          <w:tcPr>
            <w:tcW w:type="dxa" w:w="4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NAM_Bulk_20260924_P070pct_T30s_A05_S07.csv</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70 %</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160</w:t>
            </w:r>
          </w:p>
        </w:tc>
        <w:tc>
          <w:tcPr>
            <w:tcW w:type="dxa" w:w="37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Dark-reference ripple &gt; 50 counts</w:t>
            </w:r>
          </w:p>
        </w:tc>
      </w:tr>
      <w:tr>
        <w:trPr>
          <w:cantSplit/>
        </w:trPr>
        <w:tc>
          <w:tcPr>
            <w:tcW w:type="dxa" w:w="4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NAM_Bulk_20260924_P070pct_T30s_A05_S08.csv</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70 %</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333</w:t>
            </w:r>
          </w:p>
        </w:tc>
        <w:tc>
          <w:tcPr>
            <w:tcW w:type="dxa" w:w="37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Dark-reference ripple &gt; 50 counts</w:t>
            </w:r>
          </w:p>
        </w:tc>
      </w:tr>
      <w:tr>
        <w:trPr>
          <w:cantSplit/>
        </w:trPr>
        <w:tc>
          <w:tcPr>
            <w:tcW w:type="dxa" w:w="4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NAM_Bulk_20260924_P080pct_T30s_A05_S02.csv</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80 %</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197</w:t>
            </w:r>
          </w:p>
        </w:tc>
        <w:tc>
          <w:tcPr>
            <w:tcW w:type="dxa" w:w="37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Dark-reference ripple &gt; 50 counts</w:t>
            </w:r>
          </w:p>
        </w:tc>
      </w:tr>
      <w:tr>
        <w:trPr>
          <w:cantSplit/>
        </w:trPr>
        <w:tc>
          <w:tcPr>
            <w:tcW w:type="dxa" w:w="4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NAM_Bulk_20260924_P080pct_T30s_A05_S03.csv</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80 %</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155</w:t>
            </w:r>
          </w:p>
        </w:tc>
        <w:tc>
          <w:tcPr>
            <w:tcW w:type="dxa" w:w="37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Dark-reference ripple &gt; 50 counts</w:t>
            </w:r>
          </w:p>
        </w:tc>
      </w:tr>
      <w:tr>
        <w:trPr>
          <w:cantSplit/>
        </w:trPr>
        <w:tc>
          <w:tcPr>
            <w:tcW w:type="dxa" w:w="4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NAM_Bulk_20260924_P080pct_T30s_A05_S04.csv</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80 %</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169</w:t>
            </w:r>
          </w:p>
        </w:tc>
        <w:tc>
          <w:tcPr>
            <w:tcW w:type="dxa" w:w="37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Dark-reference ripple &gt; 50 counts</w:t>
            </w:r>
          </w:p>
        </w:tc>
      </w:tr>
      <w:tr>
        <w:trPr>
          <w:cantSplit/>
        </w:trPr>
        <w:tc>
          <w:tcPr>
            <w:tcW w:type="dxa" w:w="4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NAM_Bulk_20260924_P080pct_T30s_A05_S05.csv</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80 %</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71</w:t>
            </w:r>
          </w:p>
        </w:tc>
        <w:tc>
          <w:tcPr>
            <w:tcW w:type="dxa" w:w="37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Dark-reference ripple &gt; 50 counts</w:t>
            </w:r>
          </w:p>
        </w:tc>
      </w:tr>
      <w:tr>
        <w:trPr>
          <w:cantSplit/>
        </w:trPr>
        <w:tc>
          <w:tcPr>
            <w:tcW w:type="dxa" w:w="4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NAM_Bulk_20260924_P080pct_T30s_A05_S07.csv</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80 %</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117</w:t>
            </w:r>
          </w:p>
        </w:tc>
        <w:tc>
          <w:tcPr>
            <w:tcW w:type="dxa" w:w="37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Dark-reference ripple &gt; 50 counts</w:t>
            </w:r>
          </w:p>
        </w:tc>
      </w:tr>
      <w:tr>
        <w:trPr>
          <w:cantSplit/>
        </w:trPr>
        <w:tc>
          <w:tcPr>
            <w:tcW w:type="dxa" w:w="4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NAM_Bulk_20260924_P090pct_T30s_A05_S01.csv</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90 %</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354</w:t>
            </w:r>
          </w:p>
        </w:tc>
        <w:tc>
          <w:tcPr>
            <w:tcW w:type="dxa" w:w="37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Dark-reference ripple &gt; 50 counts</w:t>
            </w:r>
          </w:p>
        </w:tc>
      </w:tr>
      <w:tr>
        <w:trPr>
          <w:cantSplit/>
        </w:trPr>
        <w:tc>
          <w:tcPr>
            <w:tcW w:type="dxa" w:w="4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NAM_Bulk_20260924_P090pct_T30s_A05_S02.csv</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90 %</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397</w:t>
            </w:r>
          </w:p>
        </w:tc>
        <w:tc>
          <w:tcPr>
            <w:tcW w:type="dxa" w:w="37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Dark-reference ripple &gt; 50 counts</w:t>
            </w:r>
          </w:p>
        </w:tc>
      </w:tr>
      <w:tr>
        <w:trPr>
          <w:cantSplit/>
        </w:trPr>
        <w:tc>
          <w:tcPr>
            <w:tcW w:type="dxa" w:w="4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NAM_Bulk_20260924_P090pct_T30s_A05_S03.csv</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90 %</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156</w:t>
            </w:r>
          </w:p>
        </w:tc>
        <w:tc>
          <w:tcPr>
            <w:tcW w:type="dxa" w:w="37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Dark-reference ripple &gt; 50 counts</w:t>
            </w:r>
          </w:p>
        </w:tc>
      </w:tr>
      <w:tr>
        <w:trPr>
          <w:cantSplit/>
        </w:trPr>
        <w:tc>
          <w:tcPr>
            <w:tcW w:type="dxa" w:w="4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NAM_Bulk_20260924_P090pct_T30s_A05_S04.csv</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90 %</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287</w:t>
            </w:r>
          </w:p>
        </w:tc>
        <w:tc>
          <w:tcPr>
            <w:tcW w:type="dxa" w:w="37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Dark-reference ripple &gt; 50 counts</w:t>
            </w:r>
          </w:p>
        </w:tc>
      </w:tr>
      <w:tr>
        <w:trPr>
          <w:cantSplit/>
        </w:trPr>
        <w:tc>
          <w:tcPr>
            <w:tcW w:type="dxa" w:w="4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NAM_Bulk_20260924_P090pct_T30s_A05_S05.csv</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90 %</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308</w:t>
            </w:r>
          </w:p>
        </w:tc>
        <w:tc>
          <w:tcPr>
            <w:tcW w:type="dxa" w:w="37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Dark-reference ripple &gt; 50 counts</w:t>
            </w:r>
          </w:p>
        </w:tc>
      </w:tr>
      <w:tr>
        <w:trPr>
          <w:cantSplit/>
        </w:trPr>
        <w:tc>
          <w:tcPr>
            <w:tcW w:type="dxa" w:w="4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NAM_Bulk_20260924_P090pct_T30s_A05_S06.csv</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90 %</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376</w:t>
            </w:r>
          </w:p>
        </w:tc>
        <w:tc>
          <w:tcPr>
            <w:tcW w:type="dxa" w:w="37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Dark-reference ripple &gt; 50 counts</w:t>
            </w:r>
          </w:p>
        </w:tc>
      </w:tr>
      <w:tr>
        <w:trPr>
          <w:cantSplit/>
        </w:trPr>
        <w:tc>
          <w:tcPr>
            <w:tcW w:type="dxa" w:w="4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NAM_Bulk_20260924_P090pct_T30s_A05_S07.csv</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90 %</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279</w:t>
            </w:r>
          </w:p>
        </w:tc>
        <w:tc>
          <w:tcPr>
            <w:tcW w:type="dxa" w:w="37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Dark-reference ripple &gt; 50 counts</w:t>
            </w:r>
          </w:p>
        </w:tc>
      </w:tr>
      <w:tr>
        <w:trPr>
          <w:cantSplit/>
        </w:trPr>
        <w:tc>
          <w:tcPr>
            <w:tcW w:type="dxa" w:w="4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NAM_Bulk_20260924_P090pct_T30s_A05_S08.csv</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90 %</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290</w:t>
            </w:r>
          </w:p>
        </w:tc>
        <w:tc>
          <w:tcPr>
            <w:tcW w:type="dxa" w:w="37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Dark-reference ripple &gt; 50 counts</w:t>
            </w:r>
          </w:p>
        </w:tc>
      </w:tr>
      <w:tr>
        <w:trPr>
          <w:cantSplit/>
        </w:trPr>
        <w:tc>
          <w:tcPr>
            <w:tcW w:type="dxa" w:w="4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NAM_Bulk_20260924_P090pct_T30s_A05_S10.csv</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90 %</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177</w:t>
            </w:r>
          </w:p>
        </w:tc>
        <w:tc>
          <w:tcPr>
            <w:tcW w:type="dxa" w:w="37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Dark-reference ripple &gt; 50 counts</w:t>
            </w:r>
          </w:p>
        </w:tc>
      </w:tr>
      <w:tr>
        <w:trPr>
          <w:cantSplit/>
        </w:trPr>
        <w:tc>
          <w:tcPr>
            <w:tcW w:type="dxa" w:w="4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NAM_Bulk_20260924_P090pct_T30s_A05_S11.csv</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90 %</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60</w:t>
            </w:r>
          </w:p>
        </w:tc>
        <w:tc>
          <w:tcPr>
            <w:tcW w:type="dxa" w:w="37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Dark-reference ripple &gt; 50 counts</w:t>
            </w:r>
          </w:p>
        </w:tc>
      </w:tr>
      <w:tr>
        <w:trPr>
          <w:cantSplit/>
        </w:trPr>
        <w:tc>
          <w:tcPr>
            <w:tcW w:type="dxa" w:w="4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NAM_Bulk_20260924_P090pct_T30s_A05_S12.csv</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90 %</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152</w:t>
            </w:r>
          </w:p>
        </w:tc>
        <w:tc>
          <w:tcPr>
            <w:tcW w:type="dxa" w:w="37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Dark-reference ripple &gt; 50 counts</w:t>
            </w:r>
          </w:p>
        </w:tc>
      </w:tr>
      <w:tr>
        <w:trPr>
          <w:cantSplit/>
        </w:trPr>
        <w:tc>
          <w:tcPr>
            <w:tcW w:type="dxa" w:w="4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NAM_Bulk_20260924_P090pct_T30s_A05_S13.csv</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90 %</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308</w:t>
            </w:r>
          </w:p>
        </w:tc>
        <w:tc>
          <w:tcPr>
            <w:tcW w:type="dxa" w:w="37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Dark-reference ripple &gt; 50 counts</w:t>
            </w:r>
          </w:p>
        </w:tc>
      </w:tr>
    </w:tbl>
    <w:p>
      <w:pPr>
        <w:pStyle w:val="Heading1"/>
        <w:keepNext/>
        <w:pageBreakBefore/>
        <w:spacing w:after="100" w:before="160"/>
      </w:pPr>
      <w:r>
        <w:rPr>
          <w:rFonts w:ascii="Arial" w:cs="Arial" w:eastAsia="Arial" w:hAnsi="Arial"/>
        </w:rPr>
        <w:t xml:space="preserve">5. Glass blanks</w:t>
      </w:r>
    </w:p>
    <w:p>
      <w:pPr>
        <w:keepNext/>
        <w:spacing w:after="40"/>
        <w:jc w:val="center"/>
      </w:pPr>
      <w:r>
        <w:drawing>
          <wp:inline distT="0" distB="0" distL="0" distR="0">
            <wp:extent cx="60960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2705100"/>
                    </a:xfrm>
                    <a:prstGeom prst="rect">
                      <a:avLst/>
                    </a:prstGeom>
                  </pic:spPr>
                </pic:pic>
              </a:graphicData>
            </a:graphic>
          </wp:inline>
        </w:drawing>
      </w:r>
    </w:p>
    <w:p>
      <w:pPr>
        <w:spacing w:after="140" w:before="0"/>
      </w:pPr>
      <w:r>
        <w:rPr>
          <w:rFonts w:ascii="Arial" w:cs="Arial" w:eastAsia="Arial" w:hAnsi="Arial"/>
          <w:i/>
          <w:iCs/>
          <w:color w:val="404040"/>
          <w:sz w:val="17"/>
          <w:szCs w:val="17"/>
        </w:rPr>
        <w:t xml:space="preserve">Fig. N3  Raw counts of all 16 empty-glass blanks. The dashed line is the detector maximum.</w:t>
      </w:r>
    </w:p>
    <w:p>
      <w:pPr>
        <w:spacing w:after="80" w:before="0"/>
      </w:pPr>
      <w:r>
        <w:rPr>
          <w:rFonts w:ascii="Arial" w:cs="Arial" w:eastAsia="Arial" w:hAnsi="Arial"/>
          <w:sz w:val="20"/>
          <w:szCs w:val="20"/>
        </w:rPr>
        <w:t xml:space="preserve">All 16 blanks saturate across the glass band (60 %: 1323–1455; 70 %: 1311–1498; 80 %: 1152–1799; 90 %: 1269–1662 cm⁻¹). With NAM powder on the slide, the background is only about 2–25 % of the blank level, so the powder layer shields most of the glass signal. Because the blanks are saturated, the sharp NAM bands inside the glass zone (1345, 1392, 1450 cm⁻¹) cannot be separated from glass, and they stay "uncertain – inside glass zone" as in v3. Their relative intensities vary between sessions (+1 to +13 %) and between spots, consistent with a variable glass contribution. The ~1367 cm⁻¹ band remains classified as glass.</w:t>
      </w:r>
    </w:p>
    <w:p>
      <w:pPr>
        <w:pStyle w:val="Heading1"/>
        <w:keepNext/>
        <w:spacing w:after="100" w:before="160"/>
      </w:pPr>
      <w:r>
        <w:rPr>
          <w:rFonts w:ascii="Arial" w:cs="Arial" w:eastAsia="Arial" w:hAnsi="Arial"/>
        </w:rPr>
        <w:t xml:space="preserve">6. Comparison with the existing NAM reference</w:t>
      </w:r>
    </w:p>
    <w:p>
      <w:pPr>
        <w:keepNext/>
        <w:spacing w:after="40"/>
        <w:jc w:val="center"/>
      </w:pPr>
      <w:r>
        <w:drawing>
          <wp:inline distT="0" distB="0" distL="0" distR="0">
            <wp:extent cx="5334000" cy="592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5924550"/>
                    </a:xfrm>
                    <a:prstGeom prst="rect">
                      <a:avLst/>
                    </a:prstGeom>
                  </pic:spPr>
                </pic:pic>
              </a:graphicData>
            </a:graphic>
          </wp:inline>
        </w:drawing>
      </w:r>
    </w:p>
    <w:p>
      <w:pPr>
        <w:spacing w:after="140" w:before="0"/>
      </w:pPr>
      <w:r>
        <w:rPr>
          <w:rFonts w:ascii="Arial" w:cs="Arial" w:eastAsia="Arial" w:hAnsi="Arial"/>
          <w:i/>
          <w:iCs/>
          <w:color w:val="404040"/>
          <w:sz w:val="17"/>
          <w:szCs w:val="17"/>
        </w:rPr>
        <w:t xml:space="preserve">Fig. N5  New QC-passed spectra at each power (coloured) overlaid on the reference mean (dashed).</w:t>
      </w:r>
    </w:p>
    <w:p>
      <w:pPr>
        <w:keepNext/>
        <w:spacing w:after="40"/>
        <w:jc w:val="center"/>
      </w:pPr>
      <w:r>
        <w:drawing>
          <wp:inline distT="0" distB="0" distL="0" distR="0">
            <wp:extent cx="6096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3657600"/>
                    </a:xfrm>
                    <a:prstGeom prst="rect">
                      <a:avLst/>
                    </a:prstGeom>
                  </pic:spPr>
                </pic:pic>
              </a:graphicData>
            </a:graphic>
          </wp:inline>
        </w:drawing>
      </w:r>
    </w:p>
    <w:p>
      <w:pPr>
        <w:spacing w:after="140" w:before="0"/>
      </w:pPr>
      <w:r>
        <w:rPr>
          <w:rFonts w:ascii="Arial" w:cs="Arial" w:eastAsia="Arial" w:hAnsi="Arial"/>
          <w:i/>
          <w:iCs/>
          <w:color w:val="404040"/>
          <w:sz w:val="17"/>
          <w:szCs w:val="17"/>
        </w:rPr>
        <w:t xml:space="preserve">Fig. N6  Reference mean ± SD versus the new 60/70/80 % means (top) and their differences (bottom). Outside the glass zone the differences are mostly within ±0.1 of normalised intensity.</w:t>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900"/>
        <w:gridCol w:w="1500"/>
        <w:gridCol w:w="1700"/>
        <w:gridCol w:w="1500"/>
        <w:gridCol w:w="2418"/>
      </w:tblGrid>
      <w:tr>
        <w:trPr>
          <w:tblHeader/>
        </w:trPr>
        <w:tc>
          <w:tcPr>
            <w:tcW w:type="dxa" w:w="23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6"/>
                <w:szCs w:val="16"/>
              </w:rPr>
              <w:t xml:space="preserve">Set</w:t>
            </w:r>
          </w:p>
        </w:tc>
        <w:tc>
          <w:tcPr>
            <w:tcW w:type="dxa" w:w="9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6"/>
                <w:szCs w:val="16"/>
              </w:rPr>
              <w:t xml:space="preserve">n</w:t>
            </w:r>
          </w:p>
        </w:tc>
        <w:tc>
          <w:tcPr>
            <w:tcW w:type="dxa" w:w="15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6"/>
                <w:szCs w:val="16"/>
              </w:rPr>
              <w:t xml:space="preserve">r vs reference mean</w:t>
            </w:r>
          </w:p>
        </w:tc>
        <w:tc>
          <w:tcPr>
            <w:tcW w:type="dxa" w:w="17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6"/>
                <w:szCs w:val="16"/>
              </w:rPr>
              <w:t xml:space="preserve">Pairwise r (mean / min)</w:t>
            </w:r>
          </w:p>
        </w:tc>
        <w:tc>
          <w:tcPr>
            <w:tcW w:type="dxa" w:w="15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6"/>
                <w:szCs w:val="16"/>
              </w:rPr>
              <w:t xml:space="preserve">r (mean, median)</w:t>
            </w:r>
          </w:p>
        </w:tc>
        <w:tc>
          <w:tcPr>
            <w:tcW w:type="dxa" w:w="241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6"/>
                <w:szCs w:val="16"/>
              </w:rPr>
              <w:t xml:space="preserve">Noise (counts)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REF 90 30May all15</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15</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1.000</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0.994 / 0.975</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0.9992</w:t>
            </w:r>
          </w:p>
        </w:tc>
        <w:tc>
          <w:tcPr>
            <w:tcW w:type="dxa" w:w="24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18.1</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REF 90 30May indep5</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5</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0.999</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0.989 / 0.975</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0.9903</w:t>
            </w:r>
          </w:p>
        </w:tc>
        <w:tc>
          <w:tcPr>
            <w:tcW w:type="dxa" w:w="24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18.9</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NEW 60 24Sep</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11</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0.982</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0.987 / 0.951</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0.9956</w:t>
            </w:r>
          </w:p>
        </w:tc>
        <w:tc>
          <w:tcPr>
            <w:tcW w:type="dxa" w:w="24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15.8</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NEW 70 24Sep</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5</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0.991</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0.992 / 0.983</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0.9989</w:t>
            </w:r>
          </w:p>
        </w:tc>
        <w:tc>
          <w:tcPr>
            <w:tcW w:type="dxa" w:w="24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16.7</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NEW 80 24Sep</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4</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0.990</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0.958 / 0.923</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0.9969</w:t>
            </w:r>
          </w:p>
        </w:tc>
        <w:tc>
          <w:tcPr>
            <w:tcW w:type="dxa" w:w="24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22.8</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NEW 90 24Sep</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1</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0.994</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w:t>
            </w:r>
          </w:p>
        </w:tc>
        <w:tc>
          <w:tcPr>
            <w:tcW w:type="dxa" w:w="24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25.8</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NEW all pass 24Sep</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21</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0.992</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0.976 / 0.855</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0.9912</w:t>
            </w:r>
          </w:p>
        </w:tc>
        <w:tc>
          <w:tcPr>
            <w:tcW w:type="dxa" w:w="24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17.8</w:t>
            </w:r>
          </w:p>
        </w:tc>
      </w:tr>
    </w:tbl>
    <w:p>
      <w:pPr>
        <w:pStyle w:val="Heading1"/>
        <w:keepNext/>
        <w:pageBreakBefore/>
        <w:spacing w:after="100" w:before="160"/>
      </w:pPr>
      <w:r>
        <w:rPr>
          <w:rFonts w:ascii="Arial" w:cs="Arial" w:eastAsia="Arial" w:hAnsi="Arial"/>
        </w:rPr>
        <w:t xml:space="preserve">7. Marker validation</w:t>
      </w:r>
    </w:p>
    <w:p>
      <w:pPr>
        <w:keepNext/>
        <w:spacing w:after="40"/>
        <w:jc w:val="center"/>
      </w:pPr>
      <w:r>
        <w:drawing>
          <wp:inline distT="0" distB="0" distL="0" distR="0">
            <wp:extent cx="60960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2219325"/>
                    </a:xfrm>
                    <a:prstGeom prst="rect">
                      <a:avLst/>
                    </a:prstGeom>
                  </pic:spPr>
                </pic:pic>
              </a:graphicData>
            </a:graphic>
          </wp:inline>
        </w:drawing>
      </w:r>
    </w:p>
    <w:p>
      <w:pPr>
        <w:spacing w:after="140" w:before="0"/>
      </w:pPr>
      <w:r>
        <w:rPr>
          <w:rFonts w:ascii="Arial" w:cs="Arial" w:eastAsia="Arial" w:hAnsi="Arial"/>
          <w:i/>
          <w:iCs/>
          <w:color w:val="404040"/>
          <w:sz w:val="17"/>
          <w:szCs w:val="17"/>
        </w:rPr>
        <w:t xml:space="preserve">Fig. N7  Marker positions (left) and relative intensities I/I₉₂₉ (right): all 21 new QC-passed spectra versus the reference. The shaded band is ±1 detector pixel (left) and ±15 % (right).</w:t>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000"/>
        <w:gridCol w:w="1150"/>
        <w:gridCol w:w="1150"/>
        <w:gridCol w:w="800"/>
        <w:gridCol w:w="1000"/>
        <w:gridCol w:w="1000"/>
        <w:gridCol w:w="2718"/>
      </w:tblGrid>
      <w:tr>
        <w:trPr>
          <w:tblHeader/>
        </w:trPr>
        <w:tc>
          <w:tcPr>
            <w:tcW w:type="dxa" w:w="15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Role (v3)</w:t>
            </w:r>
          </w:p>
        </w:tc>
        <w:tc>
          <w:tcPr>
            <w:tcW w:type="dxa" w:w="1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Ref. band</w:t>
            </w:r>
          </w:p>
        </w:tc>
        <w:tc>
          <w:tcPr>
            <w:tcW w:type="dxa" w:w="11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Ref. pos.*</w:t>
            </w:r>
          </w:p>
        </w:tc>
        <w:tc>
          <w:tcPr>
            <w:tcW w:type="dxa" w:w="11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New pos.</w:t>
            </w:r>
          </w:p>
        </w:tc>
        <w:tc>
          <w:tcPr>
            <w:tcW w:type="dxa" w:w="8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Δ</w:t>
            </w:r>
          </w:p>
        </w:tc>
        <w:tc>
          <w:tcPr>
            <w:tcW w:type="dxa" w:w="1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Detected</w:t>
            </w:r>
          </w:p>
        </w:tc>
        <w:tc>
          <w:tcPr>
            <w:tcW w:type="dxa" w:w="1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I/I₉₂₉ ref → new</w:t>
            </w:r>
          </w:p>
        </w:tc>
        <w:tc>
          <w:tcPr>
            <w:tcW w:type="dxa" w:w="271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Change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Primary marker</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541.0</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541.0</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539.6</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-1.4</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21/21</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0.78 → 0.77</w:t>
            </w:r>
          </w:p>
        </w:tc>
        <w:tc>
          <w:tcPr>
            <w:tcW w:type="dxa" w:w="27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-0.6 %</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Primary marker</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829.0</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828.5</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828.6</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0.2</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21/21</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0.68 → 0.68</w:t>
            </w:r>
          </w:p>
        </w:tc>
        <w:tc>
          <w:tcPr>
            <w:tcW w:type="dxa" w:w="27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0.1 %</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Primary marker</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870.5</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870.3</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870.3</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0.1</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21/21</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0.96 → 0.97</w:t>
            </w:r>
          </w:p>
        </w:tc>
        <w:tc>
          <w:tcPr>
            <w:tcW w:type="dxa" w:w="27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1.2 %</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Primary marker</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929.0</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929.3</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928.4</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-0.9</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21/21</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1.00 → 1.00</w:t>
            </w:r>
          </w:p>
        </w:tc>
        <w:tc>
          <w:tcPr>
            <w:tcW w:type="dxa" w:w="27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0.0 %</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Primary marker</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955.0</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954.5</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954.5</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0.0</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21/21</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0.94 → 0.91</w:t>
            </w:r>
          </w:p>
        </w:tc>
        <w:tc>
          <w:tcPr>
            <w:tcW w:type="dxa" w:w="27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-3.1 %</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Primary marker</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1022.7</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1022.4</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1022.3</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-0.1</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21/21</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0.82 → 0.78</w:t>
            </w:r>
          </w:p>
        </w:tc>
        <w:tc>
          <w:tcPr>
            <w:tcW w:type="dxa" w:w="27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-4.9 %</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Primary marker</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1127.0</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1127.2</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1125.9</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-1.3</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21/21</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0.63 → 0.59</w:t>
            </w:r>
          </w:p>
        </w:tc>
        <w:tc>
          <w:tcPr>
            <w:tcW w:type="dxa" w:w="27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-6.6 %</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Supporting peak</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457.0</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456.5</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456.5</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0.1</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21/21</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0.60 → 0.58</w:t>
            </w:r>
          </w:p>
        </w:tc>
        <w:tc>
          <w:tcPr>
            <w:tcW w:type="dxa" w:w="27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-3.3 %</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Supporting peak</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487.0</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487.1</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486.5</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-0.7</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21/21</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0.43 → 0.43</w:t>
            </w:r>
          </w:p>
        </w:tc>
        <w:tc>
          <w:tcPr>
            <w:tcW w:type="dxa" w:w="27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-0.9 %</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Supporting peak</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1248.7</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1248.9</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1248.2</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-0.7</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21/21</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0.32 → 0.33</w:t>
            </w:r>
          </w:p>
        </w:tc>
        <w:tc>
          <w:tcPr>
            <w:tcW w:type="dxa" w:w="27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5.5 %</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Uncertain</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583.8</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583.7</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583.8</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0.1</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21/21</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0.30 → 0.32</w:t>
            </w:r>
          </w:p>
        </w:tc>
        <w:tc>
          <w:tcPr>
            <w:tcW w:type="dxa" w:w="27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6.0 %</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Uncertain</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1058.9</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1059.1</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1058.3</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-0.8</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21/21</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0.31 → 0.30</w:t>
            </w:r>
          </w:p>
        </w:tc>
        <w:tc>
          <w:tcPr>
            <w:tcW w:type="dxa" w:w="27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-4.5 %</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Uncertain</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1155.0</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1155.4</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1155.0</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-0.4</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21/21</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0.40 → 0.36</w:t>
            </w:r>
          </w:p>
        </w:tc>
        <w:tc>
          <w:tcPr>
            <w:tcW w:type="dxa" w:w="27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-10.5 %</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Supporting peak</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1589.5</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1589.4</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1589.1</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-0.3</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21/21</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0.29 → 0.31</w:t>
            </w:r>
          </w:p>
        </w:tc>
        <w:tc>
          <w:tcPr>
            <w:tcW w:type="dxa" w:w="27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8.3 %</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Uncertain (glass zone)</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1344.9</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1344.7</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1345.0</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0.3</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21/21</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0.68 → 0.77</w:t>
            </w:r>
          </w:p>
        </w:tc>
        <w:tc>
          <w:tcPr>
            <w:tcW w:type="dxa" w:w="27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13.4 %</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Uncertain (glass zone)</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1392.5</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1392.5</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1392.2</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-0.3</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21/21</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0.66 → 0.72</w:t>
            </w:r>
          </w:p>
        </w:tc>
        <w:tc>
          <w:tcPr>
            <w:tcW w:type="dxa" w:w="27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9.9 %</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Uncertain (glass zone)</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1450.0</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1450.1</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1449.4</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-0.7</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20/21</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0.54 → 0.55</w:t>
            </w:r>
          </w:p>
        </w:tc>
        <w:tc>
          <w:tcPr>
            <w:tcW w:type="dxa" w:w="27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5"/>
                <w:szCs w:val="15"/>
              </w:rPr>
              <w:t xml:space="preserve">1.0 %</w:t>
            </w:r>
          </w:p>
        </w:tc>
      </w:tr>
    </w:tbl>
    <w:p>
      <w:pPr>
        <w:spacing w:after="40"/>
      </w:pPr>
    </w:p>
    <w:p>
      <w:pPr>
        <w:spacing w:after="80" w:before="0"/>
      </w:pPr>
      <w:r>
        <w:rPr>
          <w:rFonts w:ascii="Arial" w:cs="Arial" w:eastAsia="Arial" w:hAnsi="Arial"/>
          <w:b/>
          <w:bCs/>
          <w:sz w:val="17"/>
          <w:szCs w:val="17"/>
        </w:rPr>
        <w:t xml:space="preserve">* </w:t>
      </w:r>
      <w:r>
        <w:rPr>
          <w:rFonts w:ascii="Arial" w:cs="Arial" w:eastAsia="Arial" w:hAnsi="Arial"/>
          <w:sz w:val="17"/>
          <w:szCs w:val="17"/>
        </w:rPr>
        <w:t xml:space="preserve">Reference positions recalculated on the native detector axis with the same peak-finding method as the new data. The wavelength-calibration coefficients in the file headers are identical for 30 May and 24 Sep, so positions are directly comparable.</w:t>
      </w:r>
    </w:p>
    <w:p>
      <w:pPr>
        <w:spacing w:after="80" w:before="0"/>
      </w:pPr>
      <w:r>
        <w:rPr>
          <w:rFonts w:ascii="Arial" w:cs="Arial" w:eastAsia="Arial" w:hAnsi="Arial"/>
          <w:b/>
          <w:bCs/>
          <w:sz w:val="20"/>
          <w:szCs w:val="20"/>
        </w:rPr>
        <w:t xml:space="preserve">Result. </w:t>
      </w:r>
      <w:r>
        <w:rPr>
          <w:rFonts w:ascii="Arial" w:cs="Arial" w:eastAsia="Arial" w:hAnsi="Arial"/>
          <w:sz w:val="20"/>
          <w:szCs w:val="20"/>
        </w:rPr>
        <w:t xml:space="preserve">The marker hierarchy of library v3 (primary, supporting, uncertain, glass zone) is fully reproduced by independent spots measured four months later, at four different powers. No new band appeared and no marker disappeared. The tentative chemical assignments in the Traceability_Table are therefore unchanged.</w:t>
      </w:r>
    </w:p>
    <w:p>
      <w:pPr>
        <w:pStyle w:val="Heading1"/>
        <w:keepNext/>
        <w:spacing w:after="100" w:before="160"/>
      </w:pPr>
      <w:r>
        <w:rPr>
          <w:rFonts w:ascii="Arial" w:cs="Arial" w:eastAsia="Arial" w:hAnsi="Arial"/>
        </w:rPr>
        <w:t xml:space="preserve">8. Bulk intensity versus laser power</w:t>
      </w:r>
    </w:p>
    <w:p>
      <w:pPr>
        <w:keepNext/>
        <w:spacing w:after="40"/>
        <w:jc w:val="center"/>
      </w:pPr>
      <w:r>
        <w:drawing>
          <wp:inline distT="0" distB="0" distL="0" distR="0">
            <wp:extent cx="60960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2314575"/>
                    </a:xfrm>
                    <a:prstGeom prst="rect">
                      <a:avLst/>
                    </a:prstGeom>
                  </pic:spPr>
                </pic:pic>
              </a:graphicData>
            </a:graphic>
          </wp:inline>
        </w:drawing>
      </w:r>
    </w:p>
    <w:p>
      <w:pPr>
        <w:spacing w:after="140" w:before="0"/>
      </w:pPr>
      <w:r>
        <w:rPr>
          <w:rFonts w:ascii="Arial" w:cs="Arial" w:eastAsia="Arial" w:hAnsi="Arial"/>
          <w:i/>
          <w:iCs/>
          <w:color w:val="404040"/>
          <w:sz w:val="17"/>
          <w:szCs w:val="17"/>
        </w:rPr>
        <w:t xml:space="preserve">Fig. N8  929 cm⁻¹ band height per spectrum versus power (filled = PASS; diamond = 30 May reference ± SD), and QC pass rate.</w:t>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800"/>
        <w:gridCol w:w="700"/>
        <w:gridCol w:w="1500"/>
        <w:gridCol w:w="1200"/>
        <w:gridCol w:w="1300"/>
        <w:gridCol w:w="2518"/>
      </w:tblGrid>
      <w:tr>
        <w:trPr>
          <w:tblHeader/>
        </w:trPr>
        <w:tc>
          <w:tcPr>
            <w:tcW w:type="dxa" w:w="23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6"/>
                <w:szCs w:val="16"/>
              </w:rPr>
              <w:t xml:space="preserve">Session</w:t>
            </w:r>
          </w:p>
        </w:tc>
        <w:tc>
          <w:tcPr>
            <w:tcW w:type="dxa" w:w="8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6"/>
                <w:szCs w:val="16"/>
              </w:rPr>
              <w:t xml:space="preserve">Power</w:t>
            </w:r>
          </w:p>
        </w:tc>
        <w:tc>
          <w:tcPr>
            <w:tcW w:type="dxa" w:w="7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6"/>
                <w:szCs w:val="16"/>
              </w:rPr>
              <w:t xml:space="preserve">n</w:t>
            </w:r>
          </w:p>
        </w:tc>
        <w:tc>
          <w:tcPr>
            <w:tcW w:type="dxa" w:w="15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6"/>
                <w:szCs w:val="16"/>
              </w:rPr>
              <w:t xml:space="preserve">929 cm⁻¹ height (counts)</w:t>
            </w:r>
          </w:p>
        </w:tc>
        <w:tc>
          <w:tcPr>
            <w:tcW w:type="dxa" w:w="12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6"/>
                <w:szCs w:val="16"/>
              </w:rPr>
              <w:t xml:space="preserve">CV</w:t>
            </w:r>
          </w:p>
        </w:tc>
        <w:tc>
          <w:tcPr>
            <w:tcW w:type="dxa" w:w="13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6"/>
                <w:szCs w:val="16"/>
              </w:rPr>
              <w:t xml:space="preserve">SNR</w:t>
            </w:r>
          </w:p>
        </w:tc>
        <w:tc>
          <w:tcPr>
            <w:tcW w:type="dxa" w:w="251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6"/>
                <w:szCs w:val="16"/>
              </w:rPr>
              <w:t xml:space="preserve">870 / 955 / 541 heights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30 May 2026</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90 %</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15</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919</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3.9 %</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51.2</w:t>
            </w:r>
          </w:p>
        </w:tc>
        <w:tc>
          <w:tcPr>
            <w:tcW w:type="dxa" w:w="25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880 / 864 / 715</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30 May 2026 (independent only)</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90 %</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5</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888</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5.3 %</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47.6</w:t>
            </w:r>
          </w:p>
        </w:tc>
        <w:tc>
          <w:tcPr>
            <w:tcW w:type="dxa" w:w="25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842 / 818 / 684</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24 Sep 2026</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60 %</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11</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473</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15.9 %</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29.9</w:t>
            </w:r>
          </w:p>
        </w:tc>
        <w:tc>
          <w:tcPr>
            <w:tcW w:type="dxa" w:w="25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456 / 424 / 362</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24 Sep 2026</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70 %</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5</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569</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10.6 %</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34.1</w:t>
            </w:r>
          </w:p>
        </w:tc>
        <w:tc>
          <w:tcPr>
            <w:tcW w:type="dxa" w:w="25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549 / 534 / 436</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24 Sep 2026</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80 %</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4</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718</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10.4 %</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33.4</w:t>
            </w:r>
          </w:p>
        </w:tc>
        <w:tc>
          <w:tcPr>
            <w:tcW w:type="dxa" w:w="25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696 / 655 / 568</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24 Sep 2026</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90 %</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1</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709</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27.5</w:t>
            </w:r>
          </w:p>
        </w:tc>
        <w:tc>
          <w:tcPr>
            <w:tcW w:type="dxa" w:w="25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692 / 667 / 568</w:t>
            </w:r>
          </w:p>
        </w:tc>
      </w:tr>
    </w:tbl>
    <w:p>
      <w:pPr>
        <w:spacing w:after="60"/>
      </w:pPr>
    </w:p>
    <w:p>
      <w:pPr>
        <w:spacing w:after="80" w:before="0"/>
      </w:pPr>
      <w:r>
        <w:rPr>
          <w:rFonts w:ascii="Arial" w:cs="Arial" w:eastAsia="Arial" w:hAnsi="Arial"/>
          <w:sz w:val="20"/>
          <w:szCs w:val="20"/>
        </w:rPr>
        <w:t xml:space="preserve">All conditions are 30 s × 5 accumulations. Intensities are baseline-corrected counts ("bulk intensity") after pipeline v3. Within the session, intensity rises with power (roughly 7.9–9.0 counts per % for the 929 cm⁻¹ band). Spot-to-spot variation was larger on 24 Sep (CV 6–21 % for the main bands) than for the 5 independent reference spots on 30 May (CV 5–7 %). Because relative intensities are unchanged, this variation comes from the overall signal level (local focus and powder packing), not from the spectral shape. Following the project rule, the reference condition is not changed because of a difference in absolute intensity.</w:t>
      </w:r>
    </w:p>
    <w:p>
      <w:pPr>
        <w:pStyle w:val="Heading1"/>
        <w:keepNext/>
        <w:spacing w:after="100" w:before="160"/>
      </w:pPr>
      <w:r>
        <w:rPr>
          <w:rFonts w:ascii="Arial" w:cs="Arial" w:eastAsia="Arial" w:hAnsi="Arial"/>
        </w:rPr>
        <w:t xml:space="preserve">9. Representative spectrum of the largest clean set: mean versus median</w:t>
      </w:r>
    </w:p>
    <w:p>
      <w:pPr>
        <w:keepNext/>
        <w:spacing w:after="40"/>
        <w:jc w:val="center"/>
      </w:pPr>
      <w:r>
        <w:drawing>
          <wp:inline distT="0" distB="0" distL="0" distR="0">
            <wp:extent cx="6096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2686050"/>
                    </a:xfrm>
                    <a:prstGeom prst="rect">
                      <a:avLst/>
                    </a:prstGeom>
                  </pic:spPr>
                </pic:pic>
              </a:graphicData>
            </a:graphic>
          </wp:inline>
        </w:drawing>
      </w:r>
    </w:p>
    <w:p>
      <w:pPr>
        <w:spacing w:after="140" w:before="0"/>
      </w:pPr>
      <w:r>
        <w:rPr>
          <w:rFonts w:ascii="Arial" w:cs="Arial" w:eastAsia="Arial" w:hAnsi="Arial"/>
          <w:i/>
          <w:iCs/>
          <w:color w:val="404040"/>
          <w:sz w:val="17"/>
          <w:szCs w:val="17"/>
        </w:rPr>
        <w:t xml:space="preserve">Fig. N9  60 % / 30 s / 5 acc, 11 independent spots: mean, median and ± SD, with the reference bands marked.</w:t>
      </w:r>
    </w:p>
    <w:p>
      <w:pPr>
        <w:spacing w:after="80" w:before="0"/>
      </w:pPr>
      <w:r>
        <w:rPr>
          <w:rFonts w:ascii="Arial" w:cs="Arial" w:eastAsia="Arial" w:hAnsi="Arial"/>
          <w:sz w:val="20"/>
          <w:szCs w:val="20"/>
        </w:rPr>
        <w:t xml:space="preserve">Mean and median agree closely for every new set (r = 0.9956 at 60 %, 0.9989 at 70 %, 0.9969 at 80 %; the difference is below 1 SD at every wavenumber). This shows a consistent population without influential outliers. The SD is largest inside the glass zone, as expected from a variable glass contribution.</w:t>
      </w:r>
    </w:p>
    <w:p>
      <w:pPr>
        <w:pStyle w:val="Heading1"/>
        <w:keepNext/>
        <w:pageBreakBefore/>
        <w:spacing w:after="100" w:before="160"/>
      </w:pPr>
      <w:r>
        <w:rPr>
          <w:rFonts w:ascii="Arial" w:cs="Arial" w:eastAsia="Arial" w:hAnsi="Arial"/>
        </w:rPr>
        <w:t xml:space="preserve">10. Decision and final status</w:t>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7518"/>
      </w:tblGrid>
      <w:tr>
        <w:trPr>
          <w:tblHeader/>
        </w:trPr>
        <w:tc>
          <w:tcPr>
            <w:tcW w:type="dxa" w:w="28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7"/>
                <w:szCs w:val="17"/>
              </w:rPr>
              <w:t xml:space="preserve">Question</w:t>
            </w:r>
          </w:p>
        </w:tc>
        <w:tc>
          <w:tcPr>
            <w:tcW w:type="dxa" w:w="751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7"/>
                <w:szCs w:val="17"/>
              </w:rPr>
              <w:t xml:space="preserve">Answer</w:t>
            </w:r>
          </w:p>
        </w:tc>
      </w:tr>
      <w:tr>
        <w:trPr>
          <w:cantSplit/>
        </w:trPr>
        <w:tc>
          <w:tcPr>
            <w:tcW w:type="dxa" w:w="28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sz w:val="17"/>
                <w:szCs w:val="17"/>
              </w:rPr>
              <w:t xml:space="preserve">Do the new data support the existing reference?</w:t>
            </w:r>
          </w:p>
        </w:tc>
        <w:tc>
          <w:tcPr>
            <w:tcW w:type="dxa" w:w="75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7"/>
                <w:szCs w:val="17"/>
              </w:rPr>
              <w:t xml:space="preserve">Yes: shape (r = 0.98–0.99), marker positions (≤ 1.5 cm⁻¹), relative intensities (primary ±7 %), 100 % marker detection in 21 independent spots.</w:t>
            </w:r>
          </w:p>
        </w:tc>
      </w:tr>
      <w:tr>
        <w:trPr>
          <w:cantSplit/>
        </w:trPr>
        <w:tc>
          <w:tcPr>
            <w:tcW w:type="dxa" w:w="28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sz w:val="17"/>
                <w:szCs w:val="17"/>
              </w:rPr>
              <w:t xml:space="preserve">Does the reference condition need revision?</w:t>
            </w:r>
          </w:p>
        </w:tc>
        <w:tc>
          <w:tcPr>
            <w:tcW w:type="dxa" w:w="75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7"/>
                <w:szCs w:val="17"/>
              </w:rPr>
              <w:t xml:space="preserve">No. 90 % / 30 s / 5 acc is kept. The lower absolute intensity on 24 Sep is a session-level difference, not a spectral one.</w:t>
            </w:r>
          </w:p>
        </w:tc>
      </w:tr>
      <w:tr>
        <w:trPr>
          <w:cantSplit/>
        </w:trPr>
        <w:tc>
          <w:tcPr>
            <w:tcW w:type="dxa" w:w="28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sz w:val="17"/>
                <w:szCs w:val="17"/>
              </w:rPr>
              <w:t xml:space="preserve">Are the reference files changed?</w:t>
            </w:r>
          </w:p>
        </w:tc>
        <w:tc>
          <w:tcPr>
            <w:tcW w:type="dxa" w:w="75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7"/>
                <w:szCs w:val="17"/>
              </w:rPr>
              <w:t xml:space="preserve">No. The reference mean, median, SD and members (30 May, n = 15) are unchanged; validation files were added beside them.</w:t>
            </w:r>
          </w:p>
        </w:tc>
      </w:tr>
      <w:tr>
        <w:trPr>
          <w:cantSplit/>
        </w:trPr>
        <w:tc>
          <w:tcPr>
            <w:tcW w:type="dxa" w:w="28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sz w:val="17"/>
                <w:szCs w:val="17"/>
              </w:rPr>
              <w:t xml:space="preserve">Final set at the reference condition</w:t>
            </w:r>
          </w:p>
        </w:tc>
        <w:tc>
          <w:tcPr>
            <w:tcW w:type="dxa" w:w="75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7"/>
                <w:szCs w:val="17"/>
              </w:rPr>
              <w:t xml:space="preserve">Reference set unchanged: 5 independent spots + 10 same-spot repeats (30 May). The new 90 % spot (24 Sep, S09, r = 0.994) agrees, but it is kept as validation and not averaged in, because it comes from a different session.</w:t>
            </w:r>
          </w:p>
        </w:tc>
      </w:tr>
      <w:tr>
        <w:trPr>
          <w:cantSplit/>
        </w:trPr>
        <w:tc>
          <w:tcPr>
            <w:tcW w:type="dxa" w:w="28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sz w:val="17"/>
                <w:szCs w:val="17"/>
              </w:rPr>
              <w:t xml:space="preserve">Validation sets</w:t>
            </w:r>
          </w:p>
        </w:tc>
        <w:tc>
          <w:tcPr>
            <w:tcW w:type="dxa" w:w="75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7"/>
                <w:szCs w:val="17"/>
              </w:rPr>
              <w:t xml:space="preserve">60 %: 11, 70 %: 5, 80 %: 4 independent spots (24 Sep), plus the earlier 70 % / 10 s / 5 acc set (10 spots). All confirm the marker set.</w:t>
            </w:r>
          </w:p>
        </w:tc>
      </w:tr>
      <w:tr>
        <w:trPr>
          <w:cantSplit/>
        </w:trPr>
        <w:tc>
          <w:tcPr>
            <w:tcW w:type="dxa" w:w="28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sz w:val="17"/>
                <w:szCs w:val="17"/>
              </w:rPr>
              <w:t xml:space="preserve">Final status</w:t>
            </w:r>
          </w:p>
        </w:tc>
        <w:tc>
          <w:tcPr>
            <w:tcW w:type="dxa" w:w="75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7"/>
                <w:szCs w:val="17"/>
              </w:rPr>
              <w:t xml:space="preserve">FINAL (28 Sep 2026, operator decision). Documented limitation: 6 independent spots at the reference condition (target 10). Band positions and relative intensities are robust; absolute counts are indicative for this instrument and condition.</w:t>
            </w:r>
          </w:p>
        </w:tc>
      </w:tr>
    </w:tbl>
    <w:p>
      <w:pPr>
        <w:spacing w:after="80"/>
      </w:pP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300"/>
        <w:gridCol w:w="900"/>
        <w:gridCol w:w="1300"/>
        <w:gridCol w:w="1800"/>
        <w:gridCol w:w="3118"/>
      </w:tblGrid>
      <w:tr>
        <w:trPr>
          <w:tblHeader/>
        </w:trPr>
        <w:tc>
          <w:tcPr>
            <w:tcW w:type="dxa" w:w="9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6"/>
                <w:szCs w:val="16"/>
              </w:rPr>
              <w:t xml:space="preserve">Biomarker</w:t>
            </w:r>
          </w:p>
        </w:tc>
        <w:tc>
          <w:tcPr>
            <w:tcW w:type="dxa" w:w="23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6"/>
                <w:szCs w:val="16"/>
              </w:rPr>
              <w:t xml:space="preserve">Acquisition condition</w:t>
            </w:r>
          </w:p>
        </w:tc>
        <w:tc>
          <w:tcPr>
            <w:tcW w:type="dxa" w:w="9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6"/>
                <w:szCs w:val="16"/>
              </w:rPr>
              <w:t xml:space="preserve">New n</w:t>
            </w:r>
          </w:p>
        </w:tc>
        <w:tc>
          <w:tcPr>
            <w:tcW w:type="dxa" w:w="13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6"/>
                <w:szCs w:val="16"/>
              </w:rPr>
              <w:t xml:space="preserve">Final valid n</w:t>
            </w:r>
          </w:p>
        </w:tc>
        <w:tc>
          <w:tcPr>
            <w:tcW w:type="dxa" w:w="18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6"/>
                <w:szCs w:val="16"/>
              </w:rPr>
              <w:t xml:space="preserve">Reference status</w:t>
            </w:r>
          </w:p>
        </w:tc>
        <w:tc>
          <w:tcPr>
            <w:tcW w:type="dxa" w:w="311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6"/>
                <w:szCs w:val="16"/>
              </w:rPr>
              <w:t xml:space="preserve">Re-acquisition needed?</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NAM</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Reference 90 % / 30 s / 5 acc; validation at 60/70/80 %</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41</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21 (1 at 90 %)</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FINAL (28 Sep 2026)</w:t>
            </w:r>
          </w:p>
        </w:tc>
        <w:tc>
          <w:tcPr>
            <w:tcW w:type="dxa" w:w="31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No – closed by decision</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LTA</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80 % / 45 s / 2 acc</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0</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4 (existing)</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Preliminary</w:t>
            </w:r>
          </w:p>
        </w:tc>
        <w:tc>
          <w:tcPr>
            <w:tcW w:type="dxa" w:w="31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Yes: 10–15 spots</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LPS</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70/80/90 % × 30 s × 5 acc screening</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0</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0</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Not established</w:t>
            </w:r>
          </w:p>
        </w:tc>
        <w:tc>
          <w:tcPr>
            <w:tcW w:type="dxa" w:w="31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Yes: screening, then 10–15 spots</w:t>
            </w:r>
          </w:p>
        </w:tc>
      </w:tr>
    </w:tbl>
    <w:p>
      <w:pPr>
        <w:spacing w:after="60"/>
      </w:pPr>
    </w:p>
    <w:p>
      <w:pPr>
        <w:spacing w:after="80" w:before="0"/>
      </w:pPr>
      <w:r>
        <w:rPr>
          <w:rFonts w:ascii="Arial" w:cs="Arial" w:eastAsia="Arial" w:hAnsi="Arial"/>
          <w:b/>
          <w:bCs/>
          <w:sz w:val="20"/>
          <w:szCs w:val="20"/>
        </w:rPr>
        <w:t xml:space="preserve">LPS note. </w:t>
      </w:r>
      <w:r>
        <w:rPr>
          <w:rFonts w:ascii="Arial" w:cs="Arial" w:eastAsia="Arial" w:hAnsi="Arial"/>
          <w:sz w:val="20"/>
          <w:szCs w:val="20"/>
        </w:rPr>
        <w:t xml:space="preserve">The "70 % provisional" LPS condition proposed in the withdrawn LPS report was derived from these NAM data and no longer applies. LPS still needs the planned 70/80/90 % screening with matched blanks, on material confirmed as LPS.</w:t>
      </w:r>
    </w:p>
    <w:p>
      <w:pPr>
        <w:pStyle w:val="Heading1"/>
        <w:keepNext/>
        <w:spacing w:after="100" w:before="160"/>
      </w:pPr>
      <w:r>
        <w:rPr>
          <w:rFonts w:ascii="Arial" w:cs="Arial" w:eastAsia="Arial" w:hAnsi="Arial"/>
        </w:rPr>
        <w:t xml:space="preserve">11. Actions for the next session</w:t>
      </w:r>
    </w:p>
    <w:p>
      <w:pPr>
        <w:spacing w:after="40"/>
        <w:ind w:left="240"/>
      </w:pPr>
      <w:r>
        <w:rPr>
          <w:rFonts w:ascii="Segoe UI Symbol" w:cs="Segoe UI Symbol" w:eastAsia="Segoe UI Symbol" w:hAnsi="Segoe UI Symbol"/>
          <w:sz w:val="19"/>
          <w:szCs w:val="19"/>
        </w:rPr>
        <w:t xml:space="preserve">☐  </w:t>
      </w:r>
      <w:r>
        <w:rPr>
          <w:rFonts w:ascii="Arial" w:cs="Arial" w:eastAsia="Arial" w:hAnsi="Arial"/>
          <w:sz w:val="19"/>
          <w:szCs w:val="19"/>
        </w:rPr>
        <w:t xml:space="preserve">Acquire a fresh dark reference immediately before every spectrum (same 30 s × 5), with the laser off and the compartment covered. Stop if the dark median exceeds about 2 000 counts or ripple is visible.</w:t>
      </w:r>
    </w:p>
    <w:p>
      <w:pPr>
        <w:spacing w:after="40"/>
        <w:ind w:left="240"/>
      </w:pPr>
      <w:r>
        <w:rPr>
          <w:rFonts w:ascii="Segoe UI Symbol" w:cs="Segoe UI Symbol" w:eastAsia="Segoe UI Symbol" w:hAnsi="Segoe UI Symbol"/>
          <w:sz w:val="19"/>
          <w:szCs w:val="19"/>
        </w:rPr>
        <w:t xml:space="preserve">☐  </w:t>
      </w:r>
      <w:r>
        <w:rPr>
          <w:rFonts w:ascii="Arial" w:cs="Arial" w:eastAsia="Arial" w:hAnsi="Arial"/>
          <w:sz w:val="19"/>
          <w:szCs w:val="19"/>
        </w:rPr>
        <w:t xml:space="preserve">Add one clearly labelled short-integration glass blank per session to record the unsaturated shape of the glass band.</w:t>
      </w:r>
    </w:p>
    <w:p>
      <w:pPr>
        <w:spacing w:after="40"/>
        <w:ind w:left="240"/>
      </w:pPr>
      <w:r>
        <w:rPr>
          <w:rFonts w:ascii="Segoe UI Symbol" w:cs="Segoe UI Symbol" w:eastAsia="Segoe UI Symbol" w:hAnsi="Segoe UI Symbol"/>
          <w:sz w:val="19"/>
          <w:szCs w:val="19"/>
        </w:rPr>
        <w:t xml:space="preserve">☐  </w:t>
      </w:r>
      <w:r>
        <w:rPr>
          <w:rFonts w:ascii="Arial" w:cs="Arial" w:eastAsia="Arial" w:hAnsi="Arial"/>
          <w:sz w:val="19"/>
          <w:szCs w:val="19"/>
        </w:rPr>
        <w:t xml:space="preserve">Label folders and vials before measuring. Name blank files "glass…" consistently. Fill in the BWRam header fields and the recording sheet (SOP-RAMAN-BULK-01).</w:t>
      </w:r>
    </w:p>
    <w:p>
      <w:pPr>
        <w:spacing w:after="40"/>
        <w:ind w:left="240"/>
      </w:pPr>
      <w:r>
        <w:rPr>
          <w:rFonts w:ascii="Segoe UI Symbol" w:cs="Segoe UI Symbol" w:eastAsia="Segoe UI Symbol" w:hAnsi="Segoe UI Symbol"/>
          <w:sz w:val="19"/>
          <w:szCs w:val="19"/>
        </w:rPr>
        <w:t xml:space="preserve">☐  </w:t>
      </w:r>
      <w:r>
        <w:rPr>
          <w:rFonts w:ascii="Arial" w:cs="Arial" w:eastAsia="Arial" w:hAnsi="Arial"/>
          <w:sz w:val="19"/>
          <w:szCs w:val="19"/>
        </w:rPr>
        <w:t xml:space="preserve">Confirm whether "class4/class5" (80 %) were glass blanks.</w:t>
      </w:r>
    </w:p>
    <w:p>
      <w:pPr>
        <w:spacing w:after="40"/>
        <w:ind w:left="240"/>
      </w:pPr>
      <w:r>
        <w:rPr>
          <w:rFonts w:ascii="Segoe UI Symbol" w:cs="Segoe UI Symbol" w:eastAsia="Segoe UI Symbol" w:hAnsi="Segoe UI Symbol"/>
          <w:sz w:val="19"/>
          <w:szCs w:val="19"/>
        </w:rPr>
        <w:t xml:space="preserve">☐  </w:t>
      </w:r>
      <w:r>
        <w:rPr>
          <w:rFonts w:ascii="Arial" w:cs="Arial" w:eastAsia="Arial" w:hAnsi="Arial"/>
          <w:sz w:val="19"/>
          <w:szCs w:val="19"/>
        </w:rPr>
        <w:t xml:space="preserve">LTA: 10–15 spots at 80 % / 45 s / 2 acc. LPS: 70/80/90 % screening with matched blanks, then 10–15 spots at the selected condition.</w:t>
      </w:r>
    </w:p>
    <w:p>
      <w:pPr>
        <w:pStyle w:val="Heading1"/>
        <w:keepNext/>
        <w:pageBreakBefore/>
        <w:spacing w:after="100" w:before="160"/>
      </w:pPr>
      <w:r>
        <w:rPr>
          <w:rFonts w:ascii="Arial" w:cs="Arial" w:eastAsia="Arial" w:hAnsi="Arial"/>
        </w:rPr>
        <w:t xml:space="preserve">Appendix A. Per-spectrum QC table</w:t>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700"/>
        <w:gridCol w:w="1000"/>
        <w:gridCol w:w="900"/>
        <w:gridCol w:w="800"/>
        <w:gridCol w:w="800"/>
        <w:gridCol w:w="800"/>
        <w:gridCol w:w="1318"/>
      </w:tblGrid>
      <w:tr>
        <w:trPr>
          <w:tblHeader/>
        </w:trPr>
        <w:tc>
          <w:tcPr>
            <w:tcW w:type="dxa" w:w="4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4"/>
                <w:szCs w:val="14"/>
              </w:rPr>
              <w:t xml:space="preserve">Library file</w:t>
            </w:r>
          </w:p>
        </w:tc>
        <w:tc>
          <w:tcPr>
            <w:tcW w:type="dxa" w:w="7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4"/>
                <w:szCs w:val="14"/>
              </w:rPr>
              <w:t xml:space="preserve">Power</w:t>
            </w:r>
          </w:p>
        </w:tc>
        <w:tc>
          <w:tcPr>
            <w:tcW w:type="dxa" w:w="1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4"/>
                <w:szCs w:val="14"/>
              </w:rPr>
              <w:t xml:space="preserve">Dark median</w:t>
            </w:r>
          </w:p>
        </w:tc>
        <w:tc>
          <w:tcPr>
            <w:tcW w:type="dxa" w:w="9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4"/>
                <w:szCs w:val="14"/>
              </w:rPr>
              <w:t xml:space="preserve">Ripple</w:t>
            </w:r>
          </w:p>
        </w:tc>
        <w:tc>
          <w:tcPr>
            <w:tcW w:type="dxa" w:w="8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4"/>
                <w:szCs w:val="14"/>
              </w:rPr>
              <w:t xml:space="preserve">Noise</w:t>
            </w:r>
          </w:p>
        </w:tc>
        <w:tc>
          <w:tcPr>
            <w:tcW w:type="dxa" w:w="8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4"/>
                <w:szCs w:val="14"/>
              </w:rPr>
              <w:t xml:space="preserve">SNR</w:t>
            </w:r>
          </w:p>
        </w:tc>
        <w:tc>
          <w:tcPr>
            <w:tcW w:type="dxa" w:w="8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4"/>
                <w:szCs w:val="14"/>
              </w:rPr>
              <w:t xml:space="preserve">r NAM ref</w:t>
            </w:r>
          </w:p>
        </w:tc>
        <w:tc>
          <w:tcPr>
            <w:tcW w:type="dxa" w:w="131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4"/>
                <w:szCs w:val="14"/>
              </w:rPr>
              <w:t xml:space="preserve">QC</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Glass_Blank_20260924_P060pct_T30s_A05_S01.csv</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60 %</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1431</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41.9</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-0.009</w:t>
            </w:r>
          </w:p>
        </w:tc>
        <w:tc>
          <w:tcPr>
            <w:tcW w:type="dxa" w:w="1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BLANK (sat.)</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Glass_Blank_20260924_P060pct_T30s_A05_S02.csv</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60 %</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1431</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41.2</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0.013</w:t>
            </w:r>
          </w:p>
        </w:tc>
        <w:tc>
          <w:tcPr>
            <w:tcW w:type="dxa" w:w="1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BLANK (sat.)</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Glass_Blank_20260924_P060pct_T30s_A05_S03.csv</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60 %</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1431</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40.4</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-0.000</w:t>
            </w:r>
          </w:p>
        </w:tc>
        <w:tc>
          <w:tcPr>
            <w:tcW w:type="dxa" w:w="1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BLANK (sat.)</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Glass_Blank_20260924_P060pct_T30s_A05_S04.csv</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60 %</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1431</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42.8</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-0.007</w:t>
            </w:r>
          </w:p>
        </w:tc>
        <w:tc>
          <w:tcPr>
            <w:tcW w:type="dxa" w:w="1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BLANK (sat.)</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NAM_Bulk_20260924_P060pct_T30s_A05_S01.csv</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60 %</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1431</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16</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16.0</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35.5</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0.985</w:t>
            </w:r>
          </w:p>
        </w:tc>
        <w:tc>
          <w:tcPr>
            <w:tcW w:type="dxa" w:w="1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PASS</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NAM_Bulk_20260924_P060pct_T30s_A05_S02.csv</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60 %</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1431</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15</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16.8</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33.9</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0.990</w:t>
            </w:r>
          </w:p>
        </w:tc>
        <w:tc>
          <w:tcPr>
            <w:tcW w:type="dxa" w:w="1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PASS</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NAM_Bulk_20260924_P060pct_T30s_A05_S03.csv</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60 %</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1431</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14</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14.8</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33.6</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0.986</w:t>
            </w:r>
          </w:p>
        </w:tc>
        <w:tc>
          <w:tcPr>
            <w:tcW w:type="dxa" w:w="1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PASS</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NAM_Bulk_20260924_P060pct_T30s_A05_S04.csv</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60 %</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1431</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15</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16.8</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29.8</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0.982</w:t>
            </w:r>
          </w:p>
        </w:tc>
        <w:tc>
          <w:tcPr>
            <w:tcW w:type="dxa" w:w="1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PASS</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NAM_Bulk_20260924_P060pct_T30s_A05_S05.csv</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60 %</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1431</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16</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16.4</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28.5</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0.983</w:t>
            </w:r>
          </w:p>
        </w:tc>
        <w:tc>
          <w:tcPr>
            <w:tcW w:type="dxa" w:w="1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PASS</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NAM_Bulk_20260924_P060pct_T30s_A05_S06.csv</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60 %</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1431</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17</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15.5</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32.4</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0.984</w:t>
            </w:r>
          </w:p>
        </w:tc>
        <w:tc>
          <w:tcPr>
            <w:tcW w:type="dxa" w:w="1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PASS</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NAM_Bulk_20260924_P060pct_T30s_A05_S07.csv</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60 %</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1431</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16</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15.5</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23.8</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0.935</w:t>
            </w:r>
          </w:p>
        </w:tc>
        <w:tc>
          <w:tcPr>
            <w:tcW w:type="dxa" w:w="1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PASS</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NAM_Bulk_20260924_P060pct_T30s_A05_S08.csv</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60 %</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1431</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16</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15.5</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28.3</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0.974</w:t>
            </w:r>
          </w:p>
        </w:tc>
        <w:tc>
          <w:tcPr>
            <w:tcW w:type="dxa" w:w="1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PASS</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NAM_Bulk_20260924_P060pct_T30s_A05_S09.csv</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60 %</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1431</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17</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15.4</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35.1</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0.985</w:t>
            </w:r>
          </w:p>
        </w:tc>
        <w:tc>
          <w:tcPr>
            <w:tcW w:type="dxa" w:w="1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PASS</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NAM_Bulk_20260924_P060pct_T30s_A05_S10.csv</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60 %</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1431</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15</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14.4</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24.5</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0.967</w:t>
            </w:r>
          </w:p>
        </w:tc>
        <w:tc>
          <w:tcPr>
            <w:tcW w:type="dxa" w:w="1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PASS</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NAM_Bulk_20260924_P060pct_T30s_A05_S11.csv</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60 %</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1431</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17</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17.1</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23.3</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0.967</w:t>
            </w:r>
          </w:p>
        </w:tc>
        <w:tc>
          <w:tcPr>
            <w:tcW w:type="dxa" w:w="1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PASS</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Glass_Blank_20260924_P070pct_T30s_A05_S01.csv</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70 %</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1418</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44.3</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-0.058</w:t>
            </w:r>
          </w:p>
        </w:tc>
        <w:tc>
          <w:tcPr>
            <w:tcW w:type="dxa" w:w="1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BLANK (sat.)</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Glass_Blank_20260924_P070pct_T30s_A05_S02.csv</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70 %</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1418</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45.0</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-0.046</w:t>
            </w:r>
          </w:p>
        </w:tc>
        <w:tc>
          <w:tcPr>
            <w:tcW w:type="dxa" w:w="1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BLANK (sat.)</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Glass_Blank_20260924_P070pct_T30s_A05_S03.csv</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70 %</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1418</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46.6</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-0.063</w:t>
            </w:r>
          </w:p>
        </w:tc>
        <w:tc>
          <w:tcPr>
            <w:tcW w:type="dxa" w:w="1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BLANK (sat.)</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NAM_Bulk_20260924_P070pct_T30s_A05_S01.csv</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70 %</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1418</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17</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17.1</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29.2</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0.976</w:t>
            </w:r>
          </w:p>
        </w:tc>
        <w:tc>
          <w:tcPr>
            <w:tcW w:type="dxa" w:w="1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PASS</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NAM_Bulk_20260924_P070pct_T30s_A05_S02.csv</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70 %</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1418</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16</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16.0</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35.7</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0.991</w:t>
            </w:r>
          </w:p>
        </w:tc>
        <w:tc>
          <w:tcPr>
            <w:tcW w:type="dxa" w:w="1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PASS</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NAM_Bulk_20260924_P070pct_T30s_A05_S03.csv</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70 %</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1418</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20</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17.7</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36.4</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0.993</w:t>
            </w:r>
          </w:p>
        </w:tc>
        <w:tc>
          <w:tcPr>
            <w:tcW w:type="dxa" w:w="1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PASS</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NAM_Bulk_20260924_P070pct_T30s_A05_S04.csv</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70 %</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1418</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16</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16.1</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32.3</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0.990</w:t>
            </w:r>
          </w:p>
        </w:tc>
        <w:tc>
          <w:tcPr>
            <w:tcW w:type="dxa" w:w="1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PASS</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NAM_Bulk_20260924_P070pct_T30s_A05_S05.csv</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70 %</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1418</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17</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16.6</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36.7</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0.988</w:t>
            </w:r>
          </w:p>
        </w:tc>
        <w:tc>
          <w:tcPr>
            <w:tcW w:type="dxa" w:w="1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PASS</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NAM_Bulk_20260924_P070pct_T30s_A05_S06.csv</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70 %</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1824</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116</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47.3</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17.6</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0.767</w:t>
            </w:r>
          </w:p>
        </w:tc>
        <w:tc>
          <w:tcPr>
            <w:tcW w:type="dxa" w:w="1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FAIL</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NAM_Bulk_20260924_P070pct_T30s_A05_S07.csv</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70 %</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1824</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160</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55.7</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16.7</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0.682</w:t>
            </w:r>
          </w:p>
        </w:tc>
        <w:tc>
          <w:tcPr>
            <w:tcW w:type="dxa" w:w="1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FAIL</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NAM_Bulk_20260924_P070pct_T30s_A05_S08.csv</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70 %</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1824</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333</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89.8</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10.9</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0.293</w:t>
            </w:r>
          </w:p>
        </w:tc>
        <w:tc>
          <w:tcPr>
            <w:tcW w:type="dxa" w:w="1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FAIL</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NAM_Bulk_20260924_P080pct_T30s_A05_S01.csv</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80 %</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4043</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41</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13.7</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47.2</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0.926</w:t>
            </w:r>
          </w:p>
        </w:tc>
        <w:tc>
          <w:tcPr>
            <w:tcW w:type="dxa" w:w="1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PASS</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NAM_Bulk_20260924_P080pct_T30s_A05_S02.csv</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80 %</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4043</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197</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64.1</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9.1</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0.458</w:t>
            </w:r>
          </w:p>
        </w:tc>
        <w:tc>
          <w:tcPr>
            <w:tcW w:type="dxa" w:w="1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FAIL</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NAM_Bulk_20260924_P080pct_T30s_A05_S03.csv</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80 %</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4043</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155</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58.1</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11.3</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0.621</w:t>
            </w:r>
          </w:p>
        </w:tc>
        <w:tc>
          <w:tcPr>
            <w:tcW w:type="dxa" w:w="1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FAIL</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NAM_Bulk_20260924_P080pct_T30s_A05_S04.csv</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80 %</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4043</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169</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58.2</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11.2</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0.575</w:t>
            </w:r>
          </w:p>
        </w:tc>
        <w:tc>
          <w:tcPr>
            <w:tcW w:type="dxa" w:w="1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FAIL</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NAM_Bulk_20260924_P080pct_T30s_A05_S05.csv</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80 %</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4043</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71</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45.2</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19.1</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0.977</w:t>
            </w:r>
          </w:p>
        </w:tc>
        <w:tc>
          <w:tcPr>
            <w:tcW w:type="dxa" w:w="1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FAIL</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NAM_Bulk_20260924_P080pct_T30s_A05_S06.csv</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80 %</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4427</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25</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27.8</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27.2</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0.990</w:t>
            </w:r>
          </w:p>
        </w:tc>
        <w:tc>
          <w:tcPr>
            <w:tcW w:type="dxa" w:w="1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PASS</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NAM_Bulk_20260924_P080pct_T30s_A05_S07.csv</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80 %</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4427</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117</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48.2</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15.4</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0.769</w:t>
            </w:r>
          </w:p>
        </w:tc>
        <w:tc>
          <w:tcPr>
            <w:tcW w:type="dxa" w:w="1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FAIL</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NAM_Bulk_20260924_P080pct_T30s_A05_S08.csv</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80 %</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3606</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21</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23.3</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28.5</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0.991</w:t>
            </w:r>
          </w:p>
        </w:tc>
        <w:tc>
          <w:tcPr>
            <w:tcW w:type="dxa" w:w="1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PASS</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NAM_Bulk_20260924_P080pct_T30s_A05_S09.csv</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80 %</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4474</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25</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26.4</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30.5</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0.994</w:t>
            </w:r>
          </w:p>
        </w:tc>
        <w:tc>
          <w:tcPr>
            <w:tcW w:type="dxa" w:w="1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PASS</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Glass_Blank_20260924_P080pct_T30s_A05_S01.csv</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80 %</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1822</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70.0</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0.113</w:t>
            </w:r>
          </w:p>
        </w:tc>
        <w:tc>
          <w:tcPr>
            <w:tcW w:type="dxa" w:w="1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BLANK (sat.)</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Glass_Blank_20260924_P080pct_T30s_A05_S02.csv</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80 %</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1822</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68.0</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0.118</w:t>
            </w:r>
          </w:p>
        </w:tc>
        <w:tc>
          <w:tcPr>
            <w:tcW w:type="dxa" w:w="1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BLANK (sat.)</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Glass_Blank_20260924_P080pct_T30s_A05_S03.csv</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80 %</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1822</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70.9</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0.123</w:t>
            </w:r>
          </w:p>
        </w:tc>
        <w:tc>
          <w:tcPr>
            <w:tcW w:type="dxa" w:w="1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BLANK (sat.)</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Glass_Blank_20260924_P080pct_T30s_A05_S04.csv</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80 %</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1822</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53.3</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-0.119</w:t>
            </w:r>
          </w:p>
        </w:tc>
        <w:tc>
          <w:tcPr>
            <w:tcW w:type="dxa" w:w="1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BLANK (sat.)</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Glass_Blank_20260924_P080pct_T30s_A05_S05.csv</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80 %</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1822</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56.6</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-0.117</w:t>
            </w:r>
          </w:p>
        </w:tc>
        <w:tc>
          <w:tcPr>
            <w:tcW w:type="dxa" w:w="1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BLANK (sat.)</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Glass_Blank_20260924_P090pct_T30s_A05_S01.csv</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90 %</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1772</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55.1</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-0.103</w:t>
            </w:r>
          </w:p>
        </w:tc>
        <w:tc>
          <w:tcPr>
            <w:tcW w:type="dxa" w:w="1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BLANK (sat.)</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Glass_Blank_20260924_P090pct_T30s_A05_S02.csv</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90 %</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1772</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53.1</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-0.103</w:t>
            </w:r>
          </w:p>
        </w:tc>
        <w:tc>
          <w:tcPr>
            <w:tcW w:type="dxa" w:w="1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BLANK (sat.)</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Glass_Blank_20260924_P090pct_T30s_A05_S03.csv</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90 %</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1772</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57.5</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-0.107</w:t>
            </w:r>
          </w:p>
        </w:tc>
        <w:tc>
          <w:tcPr>
            <w:tcW w:type="dxa" w:w="1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BLANK (sat.)</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Glass_Blank_20260924_P090pct_T30s_A05_S04.csv</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90 %</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1772</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51.3</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-0.104</w:t>
            </w:r>
          </w:p>
        </w:tc>
        <w:tc>
          <w:tcPr>
            <w:tcW w:type="dxa" w:w="1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BLANK (sat.)</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NAM_Bulk_20260924_P090pct_T30s_A05_S01.csv</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90 %</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1772</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354</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94.0</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14.7</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0.492</w:t>
            </w:r>
          </w:p>
        </w:tc>
        <w:tc>
          <w:tcPr>
            <w:tcW w:type="dxa" w:w="1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FAIL</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NAM_Bulk_20260924_P090pct_T30s_A05_S02.csv</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90 %</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1772</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397</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101.1</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12.9</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0.380</w:t>
            </w:r>
          </w:p>
        </w:tc>
        <w:tc>
          <w:tcPr>
            <w:tcW w:type="dxa" w:w="1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FAIL</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NAM_Bulk_20260924_P090pct_T30s_A05_S03.csv</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90 %</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1772</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156</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52.0</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17.1</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0.685</w:t>
            </w:r>
          </w:p>
        </w:tc>
        <w:tc>
          <w:tcPr>
            <w:tcW w:type="dxa" w:w="1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FAIL</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NAM_Bulk_20260924_P090pct_T30s_A05_S04.csv</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90 %</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1772</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287</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73.5</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15.6</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0.501</w:t>
            </w:r>
          </w:p>
        </w:tc>
        <w:tc>
          <w:tcPr>
            <w:tcW w:type="dxa" w:w="1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FAIL</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NAM_Bulk_20260924_P090pct_T30s_A05_S05.csv</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90 %</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1772</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308</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80.8</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14.1</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0.450</w:t>
            </w:r>
          </w:p>
        </w:tc>
        <w:tc>
          <w:tcPr>
            <w:tcW w:type="dxa" w:w="1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FAIL</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NAM_Bulk_20260924_P090pct_T30s_A05_S06.csv</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90 %</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1772</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376</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92.4</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13.9</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0.408</w:t>
            </w:r>
          </w:p>
        </w:tc>
        <w:tc>
          <w:tcPr>
            <w:tcW w:type="dxa" w:w="1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FAIL</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NAM_Bulk_20260924_P090pct_T30s_A05_S07.csv</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90 %</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1772</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279</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74.0</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15.4</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0.504</w:t>
            </w:r>
          </w:p>
        </w:tc>
        <w:tc>
          <w:tcPr>
            <w:tcW w:type="dxa" w:w="1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FAIL</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NAM_Bulk_20260924_P090pct_T30s_A05_S08.csv</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90 %</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1772</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290</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72.4</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13.6</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0.414</w:t>
            </w:r>
          </w:p>
        </w:tc>
        <w:tc>
          <w:tcPr>
            <w:tcW w:type="dxa" w:w="1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FAIL</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NAM_Bulk_20260924_P090pct_T30s_A05_S09.csv</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90 %</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3814</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22</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25.8</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27.5</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0.994</w:t>
            </w:r>
          </w:p>
        </w:tc>
        <w:tc>
          <w:tcPr>
            <w:tcW w:type="dxa" w:w="1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PASS</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NAM_Bulk_20260924_P090pct_T30s_A05_S10.csv</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90 %</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3814</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177</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58.7</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17.0</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0.700</w:t>
            </w:r>
          </w:p>
        </w:tc>
        <w:tc>
          <w:tcPr>
            <w:tcW w:type="dxa" w:w="1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FAIL</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NAM_Bulk_20260924_P090pct_T30s_A05_S11.csv</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90 %</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3814</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60</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34.1</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21.1</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0.916</w:t>
            </w:r>
          </w:p>
        </w:tc>
        <w:tc>
          <w:tcPr>
            <w:tcW w:type="dxa" w:w="1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FAIL</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NAM_Bulk_20260924_P090pct_T30s_A05_S12.csv</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90 %</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3814</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152</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51.7</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15.3</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0.673</w:t>
            </w:r>
          </w:p>
        </w:tc>
        <w:tc>
          <w:tcPr>
            <w:tcW w:type="dxa" w:w="1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FAIL</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NAM_Bulk_20260924_P090pct_T30s_A05_S13.csv</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90 %</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3814</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308</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80.9</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11.3</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0.433</w:t>
            </w:r>
          </w:p>
        </w:tc>
        <w:tc>
          <w:tcPr>
            <w:tcW w:type="dxa" w:w="1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FAIL</w:t>
            </w:r>
          </w:p>
        </w:tc>
      </w:tr>
    </w:tbl>
    <w:sectPr>
      <w:headerReference w:type="default" r:id="rId7"/>
      <w:footerReference w:type="default" r:id="rId8"/>
      <w:pgSz w:w="11906" w:h="16838" w:orient="portrait"/>
      <w:pgMar w:top="794" w:right="794" w:bottom="794" w:left="794" w:header="4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15"/>
        <w:szCs w:val="15"/>
      </w:rPr>
      <w:t xml:space="preserve">Page </w:t>
    </w:r>
    <w:r>
      <w:rPr>
        <w:rFonts w:ascii="Arial" w:cs="Arial" w:eastAsia="Arial" w:hAnsi="Arial"/>
        <w:color w:val="595959"/>
        <w:sz w:val="15"/>
        <w:szCs w:val="15"/>
      </w:rPr>
      <w:fldChar w:fldCharType="begin"/>
      <w:instrText xml:space="preserve">PAGE</w:instrText>
      <w:fldChar w:fldCharType="separate"/>
      <w:fldChar w:fldCharType="end"/>
    </w:r>
    <w:r>
      <w:rPr>
        <w:rFonts w:ascii="Arial" w:cs="Arial" w:eastAsia="Arial" w:hAnsi="Arial"/>
        <w:color w:val="595959"/>
        <w:sz w:val="15"/>
        <w:szCs w:val="15"/>
      </w:rPr>
      <w:t xml:space="preserve"> of </w:t>
    </w:r>
    <w:r>
      <w:rPr>
        <w:rFonts w:ascii="Arial" w:cs="Arial" w:eastAsia="Arial" w:hAnsi="Arial"/>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2"/>
      </w:pBdr>
    </w:pPr>
    <w:r>
      <w:rPr>
        <w:rFonts w:ascii="Arial" w:cs="Arial" w:eastAsia="Arial" w:hAnsi="Arial"/>
        <w:color w:val="595959"/>
        <w:sz w:val="15"/>
        <w:szCs w:val="15"/>
      </w:rPr>
      <w:t xml:space="preserve">SERS Sepsis Spectral Library — NAM Bulk-Powder Validation Session (24 Sep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Arial" w:cs="Arial" w:eastAsia="Arial" w:hAnsi="Arial"/>
      <w:b/>
      <w:bCs/>
      <w:color w:val="1F4E79"/>
      <w:sz w:val="28"/>
      <w:szCs w:val="28"/>
    </w:rPr>
  </w:style>
  <w:style w:type="paragraph" w:styleId="Heading2">
    <w:name w:val="Heading 2"/>
    <w:basedOn w:val="Normal"/>
    <w:next w:val="Normal"/>
    <w:qFormat/>
    <w:pPr>
      <w:spacing w:after="60" w:before="14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6866951b647d4664be4a36a35c3b0ce4622dfbd.png"/><Relationship Id="rId10" Type="http://schemas.openxmlformats.org/officeDocument/2006/relationships/image" Target="media/c659cd554794d2e8a9ae7c87d52e03182e828a07.png"/><Relationship Id="rId11" Type="http://schemas.openxmlformats.org/officeDocument/2006/relationships/image" Target="media/c8a361ce075fe383b56b7915fc339737c18cf061.png"/><Relationship Id="rId12" Type="http://schemas.openxmlformats.org/officeDocument/2006/relationships/image" Target="media/5f62b7bfcd8780c66ef96e8f3e7cedce659479ef.png"/><Relationship Id="rId13" Type="http://schemas.openxmlformats.org/officeDocument/2006/relationships/image" Target="media/7fecd721236ad5bdf083f45d36063b24b5284484.png"/><Relationship Id="rId14" Type="http://schemas.openxmlformats.org/officeDocument/2006/relationships/image" Target="media/6fea56de6872a18ef52a7455968b2fa014d4de63.png"/><Relationship Id="rId15" Type="http://schemas.openxmlformats.org/officeDocument/2006/relationships/image" Target="media/4a0bb3ae3389174de0d929bed335932740064782.png"/><Relationship Id="rId16" Type="http://schemas.openxmlformats.org/officeDocument/2006/relationships/image" Target="media/1303dbc724d15d6ce80097461831d9d51dfb24ee.png"/><Relationship Id="rId17" Type="http://schemas.openxmlformats.org/officeDocument/2006/relationships/image" Target="media/39c59cb88502cc4183d98192d3f10c61fb1c95f7.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 Bulk-Powder Raman Validation Session 24 Sep 2026</dc:title>
  <dc:creator>SERS Sepsis Project</dc:creator>
  <cp:lastModifiedBy>Un-named</cp:lastModifiedBy>
  <cp:revision>1</cp:revision>
  <dcterms:created xsi:type="dcterms:W3CDTF">2026-09-28T03:52:12.709Z</dcterms:created>
  <dcterms:modified xsi:type="dcterms:W3CDTF">2026-09-28T03:52:12.710Z</dcterms:modified>
</cp:coreProperties>
</file>

<file path=docProps/custom.xml><?xml version="1.0" encoding="utf-8"?>
<Properties xmlns="http://schemas.openxmlformats.org/officeDocument/2006/custom-properties" xmlns:vt="http://schemas.openxmlformats.org/officeDocument/2006/docPropsVTypes"/>
</file>