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Times New Roman"/>
          <w:b/>
          <w:i w:val="0"/>
          <w:sz w:val="28"/>
        </w:rPr>
        <w:t>COVER PAGE</w:t>
      </w:r>
    </w:p>
    <w:p>
      <w:pPr>
        <w:spacing w:line="360" w:lineRule="auto" w:before="0" w:after="120"/>
        <w:jc w:val="both"/>
      </w:pPr>
      <w:r>
        <w:rPr>
          <w:rFonts w:ascii="Times New Roman" w:hAnsi="Times New Roman" w:eastAsia="Times New Roman"/>
          <w:b w:val="0"/>
          <w:i w:val="0"/>
          <w:sz w:val="24"/>
        </w:rPr>
        <w:t>SERS-BASED DETECTION OF BACTERIAL BIOMARKERS USING RAMAN SPECTROSCOPY FOR RAPID INFECTION SCREENING</w:t>
      </w:r>
    </w:p>
    <w:p>
      <w:pPr>
        <w:spacing w:line="360" w:lineRule="auto" w:before="0" w:after="120"/>
        <w:jc w:val="both"/>
      </w:pPr>
      <w:r>
        <w:rPr>
          <w:rFonts w:ascii="Times New Roman" w:hAnsi="Times New Roman" w:eastAsia="Times New Roman"/>
          <w:b w:val="0"/>
          <w:i w:val="0"/>
          <w:sz w:val="24"/>
        </w:rPr>
        <w:t>Project Report submitted in partial fulfilment of the requirements for the award of the degree of Masters / Masters-Ph.D. in Medical Technologies</w:t>
      </w:r>
    </w:p>
    <w:p>
      <w:pPr>
        <w:spacing w:line="360" w:lineRule="auto" w:before="0" w:after="120"/>
        <w:jc w:val="both"/>
      </w:pPr>
      <w:r>
        <w:rPr>
          <w:rFonts w:ascii="Times New Roman" w:hAnsi="Times New Roman" w:eastAsia="Times New Roman"/>
          <w:b w:val="0"/>
          <w:i w:val="0"/>
          <w:sz w:val="24"/>
        </w:rPr>
        <w:t>Submitted by</w:t>
      </w:r>
    </w:p>
    <w:p>
      <w:pPr>
        <w:spacing w:line="360" w:lineRule="auto" w:before="0" w:after="120"/>
        <w:jc w:val="both"/>
      </w:pPr>
      <w:r>
        <w:rPr>
          <w:rFonts w:ascii="Times New Roman" w:hAnsi="Times New Roman" w:eastAsia="Times New Roman"/>
          <w:b w:val="0"/>
          <w:i w:val="0"/>
          <w:sz w:val="24"/>
        </w:rPr>
        <w:t>Name of Student: ____________________</w:t>
      </w:r>
    </w:p>
    <w:p>
      <w:pPr>
        <w:spacing w:line="360" w:lineRule="auto" w:before="0" w:after="120"/>
        <w:jc w:val="both"/>
      </w:pPr>
      <w:r>
        <w:rPr>
          <w:rFonts w:ascii="Times New Roman" w:hAnsi="Times New Roman" w:eastAsia="Times New Roman"/>
          <w:b w:val="0"/>
          <w:i w:val="0"/>
          <w:sz w:val="24"/>
        </w:rPr>
        <w:t>Roll Number: ____________________</w:t>
      </w:r>
    </w:p>
    <w:p>
      <w:pPr>
        <w:spacing w:line="360" w:lineRule="auto" w:before="0" w:after="120"/>
        <w:jc w:val="both"/>
      </w:pPr>
      <w:r>
        <w:rPr>
          <w:rFonts w:ascii="Times New Roman" w:hAnsi="Times New Roman" w:eastAsia="Times New Roman"/>
          <w:b w:val="0"/>
          <w:i w:val="0"/>
          <w:sz w:val="24"/>
        </w:rPr>
        <w:t>Under the supervision of</w:t>
      </w:r>
    </w:p>
    <w:p>
      <w:pPr>
        <w:spacing w:line="360" w:lineRule="auto" w:before="0" w:after="120"/>
        <w:jc w:val="both"/>
      </w:pPr>
      <w:r>
        <w:rPr>
          <w:rFonts w:ascii="Times New Roman" w:hAnsi="Times New Roman" w:eastAsia="Times New Roman"/>
          <w:b w:val="0"/>
          <w:i w:val="0"/>
          <w:sz w:val="24"/>
        </w:rPr>
        <w:t>Professor ____________________</w:t>
      </w:r>
    </w:p>
    <w:p>
      <w:pPr>
        <w:spacing w:line="360" w:lineRule="auto" w:before="0" w:after="120"/>
        <w:jc w:val="both"/>
      </w:pPr>
      <w:r>
        <w:rPr>
          <w:rFonts w:ascii="Times New Roman" w:hAnsi="Times New Roman" w:eastAsia="Times New Roman"/>
          <w:b w:val="0"/>
          <w:i w:val="0"/>
          <w:sz w:val="24"/>
        </w:rPr>
        <w:t>Professor ____________________</w:t>
      </w:r>
    </w:p>
    <w:p>
      <w:pPr>
        <w:spacing w:line="360" w:lineRule="auto" w:before="0" w:after="120"/>
        <w:jc w:val="both"/>
      </w:pPr>
      <w:r>
        <w:rPr>
          <w:rFonts w:ascii="Times New Roman" w:hAnsi="Times New Roman" w:eastAsia="Times New Roman"/>
          <w:b w:val="0"/>
          <w:i w:val="0"/>
          <w:sz w:val="24"/>
        </w:rPr>
        <w:t>Indian Institute of Technology Jodhpur</w:t>
      </w:r>
    </w:p>
    <w:p>
      <w:pPr>
        <w:spacing w:line="360" w:lineRule="auto" w:before="0" w:after="120"/>
        <w:jc w:val="both"/>
      </w:pPr>
      <w:r>
        <w:rPr>
          <w:rFonts w:ascii="Times New Roman" w:hAnsi="Times New Roman" w:eastAsia="Times New Roman"/>
          <w:b w:val="0"/>
          <w:i w:val="0"/>
          <w:sz w:val="24"/>
        </w:rPr>
        <w:t>All India Institute of Medical Sciences Jodhpur</w:t>
      </w:r>
    </w:p>
    <w:p>
      <w:pPr>
        <w:spacing w:line="360" w:lineRule="auto" w:before="0" w:after="120"/>
        <w:jc w:val="both"/>
      </w:pPr>
      <w:r>
        <w:rPr>
          <w:rFonts w:ascii="Times New Roman" w:hAnsi="Times New Roman" w:eastAsia="Times New Roman"/>
          <w:b w:val="0"/>
          <w:i w:val="0"/>
          <w:sz w:val="24"/>
        </w:rPr>
        <w:t>Academic Year: ____________________</w:t>
      </w:r>
    </w:p>
    <w:p>
      <w:pPr>
        <w:spacing w:before="240" w:after="120"/>
        <w:jc w:val="left"/>
      </w:pPr>
      <w:r>
        <w:rPr>
          <w:rFonts w:ascii="Times New Roman" w:hAnsi="Times New Roman" w:eastAsia="Times New Roman"/>
          <w:b/>
          <w:i w:val="0"/>
          <w:sz w:val="28"/>
        </w:rPr>
        <w:t>DECLARATION</w:t>
      </w:r>
    </w:p>
    <w:p>
      <w:pPr>
        <w:spacing w:line="360" w:lineRule="auto" w:before="0" w:after="120"/>
        <w:jc w:val="both"/>
      </w:pPr>
      <w:r>
        <w:rPr>
          <w:rFonts w:ascii="Times New Roman" w:hAnsi="Times New Roman" w:eastAsia="Times New Roman"/>
          <w:b w:val="0"/>
          <w:i w:val="0"/>
          <w:sz w:val="24"/>
        </w:rPr>
        <w:t>I hereby declare that the work presented in this Project Report titled “SERS-Based Detection of Bacterial Biomarkers using Raman Spectroscopy for Rapid Infection Screening,” submitted to the Indian Institute of Technology Jodhpur and All India Institute of Medical Sciences Jodhpur in partial fulfilment of the requirements for the award of the degree of Masters / Masters-Ph.D. in Medical Technologies, is a bonafide record of the research work carried out under the supervision of Professor ____________________. The contents of this Project Report, in full or in part, have not been submitted to, and will not be submitted by me to, any other Institute or University in India or abroad for the award of any degree or diploma.</w:t>
      </w:r>
    </w:p>
    <w:p>
      <w:pPr>
        <w:spacing w:line="360" w:lineRule="auto" w:before="0" w:after="120"/>
        <w:jc w:val="both"/>
      </w:pPr>
      <w:r>
        <w:rPr>
          <w:rFonts w:ascii="Times New Roman" w:hAnsi="Times New Roman" w:eastAsia="Times New Roman"/>
          <w:b w:val="0"/>
          <w:i w:val="0"/>
          <w:sz w:val="24"/>
        </w:rPr>
        <w:t>Signature: ____________________</w:t>
      </w:r>
    </w:p>
    <w:p>
      <w:pPr>
        <w:spacing w:line="360" w:lineRule="auto" w:before="0" w:after="120"/>
        <w:jc w:val="both"/>
      </w:pPr>
      <w:r>
        <w:rPr>
          <w:rFonts w:ascii="Times New Roman" w:hAnsi="Times New Roman" w:eastAsia="Times New Roman"/>
          <w:b w:val="0"/>
          <w:i w:val="0"/>
          <w:sz w:val="24"/>
        </w:rPr>
        <w:t>Name of Student: ____________________</w:t>
      </w:r>
    </w:p>
    <w:p>
      <w:pPr>
        <w:spacing w:line="360" w:lineRule="auto" w:before="0" w:after="120"/>
        <w:jc w:val="both"/>
      </w:pPr>
      <w:r>
        <w:rPr>
          <w:rFonts w:ascii="Times New Roman" w:hAnsi="Times New Roman" w:eastAsia="Times New Roman"/>
          <w:b w:val="0"/>
          <w:i w:val="0"/>
          <w:sz w:val="24"/>
        </w:rPr>
        <w:t>Roll Number: ____________________</w:t>
      </w:r>
    </w:p>
    <w:p>
      <w:pPr>
        <w:spacing w:before="240" w:after="120"/>
        <w:jc w:val="left"/>
      </w:pPr>
      <w:r>
        <w:rPr>
          <w:rFonts w:ascii="Times New Roman" w:hAnsi="Times New Roman" w:eastAsia="Times New Roman"/>
          <w:b/>
          <w:i w:val="0"/>
          <w:sz w:val="28"/>
        </w:rPr>
        <w:t>CERTIFICATE</w:t>
      </w:r>
    </w:p>
    <w:p>
      <w:pPr>
        <w:spacing w:line="360" w:lineRule="auto" w:before="0" w:after="120"/>
        <w:jc w:val="both"/>
      </w:pPr>
      <w:r>
        <w:rPr>
          <w:rFonts w:ascii="Times New Roman" w:hAnsi="Times New Roman" w:eastAsia="Times New Roman"/>
          <w:b w:val="0"/>
          <w:i w:val="0"/>
          <w:sz w:val="24"/>
        </w:rPr>
        <w:t>This is to certify that the Project Report titled “SERS-Based Detection of Bacterial Biomarkers using Raman Spectroscopy for Rapid Infection Screening,” submitted by ____________________ (Roll Number ____________________) to the Indian Institute of Technology Jodhpur and All India Institute of Medical Sciences Jodhpur for the award of the degree of Masters / Masters-Ph.D. in Medical Technologies, is a bonafide record of the research work done under my supervision. To the best of my knowledge, the contents of this report, in full or in part, have not been submitted to any other Institute or University for the award of any degree or diploma.</w:t>
      </w:r>
    </w:p>
    <w:p>
      <w:pPr>
        <w:spacing w:line="360" w:lineRule="auto" w:before="0" w:after="120"/>
        <w:jc w:val="both"/>
      </w:pPr>
      <w:r>
        <w:rPr>
          <w:rFonts w:ascii="Times New Roman" w:hAnsi="Times New Roman" w:eastAsia="Times New Roman"/>
          <w:b w:val="0"/>
          <w:i w:val="0"/>
          <w:sz w:val="24"/>
        </w:rPr>
        <w:t>Signature: ____________________</w:t>
      </w:r>
    </w:p>
    <w:p>
      <w:pPr>
        <w:spacing w:line="360" w:lineRule="auto" w:before="0" w:after="120"/>
        <w:jc w:val="both"/>
      </w:pPr>
      <w:r>
        <w:rPr>
          <w:rFonts w:ascii="Times New Roman" w:hAnsi="Times New Roman" w:eastAsia="Times New Roman"/>
          <w:b w:val="0"/>
          <w:i w:val="0"/>
          <w:sz w:val="24"/>
        </w:rPr>
        <w:t>Name of Supervisor (1): ____________________</w:t>
      </w:r>
    </w:p>
    <w:p>
      <w:pPr>
        <w:spacing w:line="360" w:lineRule="auto" w:before="0" w:after="120"/>
        <w:jc w:val="both"/>
      </w:pPr>
      <w:r>
        <w:rPr>
          <w:rFonts w:ascii="Times New Roman" w:hAnsi="Times New Roman" w:eastAsia="Times New Roman"/>
          <w:b w:val="0"/>
          <w:i w:val="0"/>
          <w:sz w:val="24"/>
        </w:rPr>
        <w:t>Signature: ____________________</w:t>
      </w:r>
    </w:p>
    <w:p>
      <w:pPr>
        <w:spacing w:line="360" w:lineRule="auto" w:before="0" w:after="120"/>
        <w:jc w:val="both"/>
      </w:pPr>
      <w:r>
        <w:rPr>
          <w:rFonts w:ascii="Times New Roman" w:hAnsi="Times New Roman" w:eastAsia="Times New Roman"/>
          <w:b w:val="0"/>
          <w:i w:val="0"/>
          <w:sz w:val="24"/>
        </w:rPr>
        <w:t>Name of Supervisor (2): ____________________</w:t>
      </w:r>
    </w:p>
    <w:p>
      <w:pPr>
        <w:spacing w:before="240" w:after="120"/>
        <w:jc w:val="left"/>
      </w:pPr>
      <w:r>
        <w:rPr>
          <w:rFonts w:ascii="Times New Roman" w:hAnsi="Times New Roman" w:eastAsia="Times New Roman"/>
          <w:b/>
          <w:i w:val="0"/>
          <w:sz w:val="28"/>
        </w:rPr>
        <w:t>ABSTRACT</w:t>
      </w:r>
    </w:p>
    <w:p>
      <w:pPr>
        <w:spacing w:line="360" w:lineRule="auto" w:before="0" w:after="120"/>
        <w:jc w:val="both"/>
      </w:pPr>
      <w:r>
        <w:rPr>
          <w:rFonts w:ascii="Times New Roman" w:hAnsi="Times New Roman" w:eastAsia="Times New Roman"/>
          <w:b w:val="0"/>
          <w:i w:val="0"/>
          <w:sz w:val="24"/>
        </w:rPr>
        <w:t>Sepsis is a time-critical clinical condition in which delayed diagnosis significantly increases morbidity, mortality, and treatment burden. Conventional diagnostics such as blood culture, PCR-based assays, and inflammatory biomarkers are useful in practice, but each method has limitations in speed, specificity, infrastructure, and cost. This project investigates a bacterial biomarker-focused Raman spectroscopy framework, with future translation toward Surface-Enhanced Raman Spectroscopy (SERS), for rapid infection screening.</w:t>
      </w:r>
    </w:p>
    <w:p>
      <w:pPr>
        <w:spacing w:line="360" w:lineRule="auto" w:before="0" w:after="120"/>
        <w:jc w:val="both"/>
      </w:pPr>
      <w:r>
        <w:rPr>
          <w:rFonts w:ascii="Times New Roman" w:hAnsi="Times New Roman" w:eastAsia="Times New Roman"/>
          <w:b w:val="0"/>
          <w:i w:val="0"/>
          <w:sz w:val="24"/>
        </w:rPr>
        <w:t>The study targets three biologically relevant bacterial structural biomarkers: N-Acetylmuramic Acid (NAM) as a general bacterial indicator, Lipoteichoic Acid (LTA) as a Gram-positive indicator, and Lipopolysaccharide (LPS) as a Gram-negative indicator. Raman spectra were acquired under systematically varied experimental conditions, followed by a reproducible preprocessing pipeline including baseline correction, smoothing, normalization, and peak annotation. Spectral quality was quantified using signal-to-noise ratio (SNR) to identify optimal acquisition settings.</w:t>
      </w:r>
    </w:p>
    <w:p>
      <w:pPr>
        <w:spacing w:line="360" w:lineRule="auto" w:before="0" w:after="120"/>
        <w:jc w:val="both"/>
      </w:pPr>
      <w:r>
        <w:rPr>
          <w:rFonts w:ascii="Times New Roman" w:hAnsi="Times New Roman" w:eastAsia="Times New Roman"/>
          <w:b w:val="0"/>
          <w:i w:val="0"/>
          <w:sz w:val="24"/>
        </w:rPr>
        <w:t>To improve molecular interpretability, Density Functional Theory (DFT)-based vibrational analysis was integrated with experimental observations. For large biomolecules such as LTA and LPS, fragment-based computational modeling was adopted to balance chemical relevance and computational feasibility. The completed work demonstrates methodological feasibility for biomarker-oriented optical screening and establishes an explainable framework combining experimental, computational, and literature-supported validation.</w:t>
      </w:r>
    </w:p>
    <w:p>
      <w:pPr>
        <w:spacing w:line="360" w:lineRule="auto" w:before="0" w:after="120"/>
        <w:jc w:val="both"/>
      </w:pPr>
      <w:r>
        <w:rPr>
          <w:rFonts w:ascii="Times New Roman" w:hAnsi="Times New Roman" w:eastAsia="Times New Roman"/>
          <w:b w:val="0"/>
          <w:i w:val="0"/>
          <w:sz w:val="24"/>
        </w:rPr>
        <w:t>The current phase remains pre-clinical and does not claim diagnostic deployment. Ongoing work includes expanded LPS datasets, dilution-based studies, and reproducibility assessment. Future work will focus on SERS enhancement, AI-assisted classification, and clinical benchmarking against standard methods. Overall, this project provides a scientifically grounded foundation for future rapid, low-volume, and potentially portable infection-screening technologies.</w:t>
      </w:r>
    </w:p>
    <w:p>
      <w:pPr>
        <w:spacing w:before="240" w:after="120"/>
        <w:jc w:val="left"/>
      </w:pPr>
      <w:r>
        <w:rPr>
          <w:rFonts w:ascii="Times New Roman" w:hAnsi="Times New Roman" w:eastAsia="Times New Roman"/>
          <w:b/>
          <w:i w:val="0"/>
          <w:sz w:val="28"/>
        </w:rPr>
        <w:t>TABLE OF CONTENTS</w:t>
      </w:r>
    </w:p>
    <w:p>
      <w:pPr>
        <w:sectPr>
          <w:footerReference w:type="default" r:id="rId9"/>
          <w:pgSz w:w="11909" w:h="16834"/>
          <w:pgMar w:top="1440" w:right="1440" w:bottom="1440" w:left="1440" w:header="720" w:footer="720" w:gutter="0"/>
          <w:cols w:space="720"/>
          <w:titlePg/>
          <w:docGrid w:linePitch="360"/>
          <w:pgNumType w:fmt="lowerRoman" w:start="1"/>
        </w:sectPr>
      </w:pPr>
    </w:p>
    <w:p>
      <w:pPr>
        <w:spacing w:before="240" w:after="120"/>
        <w:jc w:val="left"/>
      </w:pPr>
      <w:r>
        <w:rPr>
          <w:rFonts w:ascii="Times New Roman" w:hAnsi="Times New Roman" w:eastAsia="Times New Roman"/>
          <w:b/>
          <w:i w:val="0"/>
          <w:sz w:val="28"/>
        </w:rPr>
        <w:t>1. COMPREHENSIVE OVERVIEW OF THE STATE OF THE PROBLEM AND SOLUTIONS AVAILABLE ALONG WITH THEIR LIMITATIONS</w:t>
      </w:r>
    </w:p>
    <w:p>
      <w:pPr>
        <w:spacing w:before="240" w:after="120"/>
        <w:jc w:val="left"/>
      </w:pPr>
      <w:r>
        <w:rPr>
          <w:rFonts w:ascii="Times New Roman" w:hAnsi="Times New Roman" w:eastAsia="Times New Roman"/>
          <w:b/>
          <w:i w:val="0"/>
          <w:sz w:val="28"/>
        </w:rPr>
        <w:t>2. INTELLECTUAL PROPERTY (PATENT LANDSCAPING)</w:t>
      </w:r>
    </w:p>
    <w:p>
      <w:pPr>
        <w:spacing w:before="240" w:after="120"/>
        <w:jc w:val="left"/>
      </w:pPr>
      <w:r>
        <w:rPr>
          <w:rFonts w:ascii="Times New Roman" w:hAnsi="Times New Roman" w:eastAsia="Times New Roman"/>
          <w:b/>
          <w:i w:val="0"/>
          <w:sz w:val="28"/>
        </w:rPr>
        <w:t>3. OBJECTIVES AND METHODOLOGY</w:t>
      </w:r>
    </w:p>
    <w:p>
      <w:pPr>
        <w:spacing w:before="240" w:after="120"/>
        <w:jc w:val="left"/>
      </w:pPr>
      <w:r>
        <w:rPr>
          <w:rFonts w:ascii="Times New Roman" w:hAnsi="Times New Roman" w:eastAsia="Times New Roman"/>
          <w:b/>
          <w:i w:val="0"/>
          <w:sz w:val="28"/>
        </w:rPr>
        <w:t>4. DETAIL OF WORK DONE</w:t>
      </w:r>
    </w:p>
    <w:p>
      <w:pPr>
        <w:spacing w:before="240" w:after="120"/>
        <w:jc w:val="left"/>
      </w:pPr>
      <w:r>
        <w:rPr>
          <w:rFonts w:ascii="Times New Roman" w:hAnsi="Times New Roman" w:eastAsia="Times New Roman"/>
          <w:b/>
          <w:i w:val="0"/>
          <w:sz w:val="28"/>
        </w:rPr>
        <w:t>5. CONCLUSION</w:t>
      </w:r>
    </w:p>
    <w:p>
      <w:pPr>
        <w:spacing w:before="240" w:after="120"/>
        <w:jc w:val="left"/>
      </w:pPr>
      <w:r>
        <w:rPr>
          <w:rFonts w:ascii="Times New Roman" w:hAnsi="Times New Roman" w:eastAsia="Times New Roman"/>
          <w:b/>
          <w:i w:val="0"/>
          <w:sz w:val="28"/>
        </w:rPr>
        <w:t>6. NOVELTY</w:t>
      </w:r>
    </w:p>
    <w:p>
      <w:pPr>
        <w:spacing w:before="240" w:after="120"/>
        <w:jc w:val="left"/>
      </w:pPr>
      <w:r>
        <w:rPr>
          <w:rFonts w:ascii="Times New Roman" w:hAnsi="Times New Roman" w:eastAsia="Times New Roman"/>
          <w:b/>
          <w:i w:val="0"/>
          <w:sz w:val="28"/>
        </w:rPr>
        <w:t>7. POTENTIAL SOCIETAL AND MARKET IMPACT OF THE PROPOSED INNOVATION</w:t>
      </w:r>
    </w:p>
    <w:p>
      <w:pPr>
        <w:spacing w:before="240" w:after="120"/>
        <w:jc w:val="left"/>
      </w:pPr>
      <w:r>
        <w:rPr>
          <w:rFonts w:ascii="Times New Roman" w:hAnsi="Times New Roman" w:eastAsia="Times New Roman"/>
          <w:b/>
          <w:i w:val="0"/>
          <w:sz w:val="28"/>
        </w:rPr>
        <w:t>8. CHALLENGES OR RISK FACTORS ASSOCIATED WITH THE PROJECT</w:t>
      </w:r>
    </w:p>
    <w:p>
      <w:pPr>
        <w:spacing w:before="240" w:after="120"/>
        <w:jc w:val="left"/>
      </w:pPr>
      <w:r>
        <w:rPr>
          <w:rFonts w:ascii="Times New Roman" w:hAnsi="Times New Roman" w:eastAsia="Times New Roman"/>
          <w:b/>
          <w:i w:val="0"/>
          <w:sz w:val="28"/>
        </w:rPr>
        <w:t>9. ANY PATENT OR EQUIVALENT FILED</w:t>
      </w:r>
    </w:p>
    <w:p>
      <w:pPr>
        <w:spacing w:before="240" w:after="120"/>
        <w:jc w:val="left"/>
      </w:pPr>
      <w:r>
        <w:rPr>
          <w:rFonts w:ascii="Times New Roman" w:hAnsi="Times New Roman" w:eastAsia="Times New Roman"/>
          <w:b/>
          <w:i w:val="0"/>
          <w:sz w:val="28"/>
        </w:rPr>
        <w:t>10. RELEVANT REFERENCES</w:t>
      </w:r>
    </w:p>
    <w:p>
      <w:pPr>
        <w:spacing w:before="240" w:after="120"/>
        <w:jc w:val="left"/>
      </w:pPr>
      <w:r>
        <w:rPr>
          <w:rFonts w:ascii="Times New Roman" w:hAnsi="Times New Roman" w:eastAsia="Times New Roman"/>
          <w:b/>
          <w:i w:val="0"/>
          <w:sz w:val="28"/>
        </w:rPr>
        <w:t>1. COMPREHENSIVE OVERVIEW OF THE STATE OF THE PROBLEM AND SOLUTIONS AVAILABLE ALONG WITH THEIR LIMITATIONS</w:t>
      </w:r>
    </w:p>
    <w:p>
      <w:pPr>
        <w:spacing w:before="200" w:after="80"/>
        <w:jc w:val="left"/>
      </w:pPr>
      <w:r>
        <w:rPr>
          <w:rFonts w:ascii="Times New Roman" w:hAnsi="Times New Roman" w:eastAsia="Times New Roman"/>
          <w:b w:val="0"/>
          <w:i/>
          <w:sz w:val="24"/>
        </w:rPr>
        <w:t>1.1 Introduction</w:t>
      </w:r>
    </w:p>
    <w:p>
      <w:pPr>
        <w:spacing w:line="360" w:lineRule="auto" w:before="0" w:after="120"/>
        <w:jc w:val="both"/>
      </w:pPr>
      <w:r>
        <w:rPr>
          <w:rFonts w:ascii="Times New Roman" w:hAnsi="Times New Roman" w:eastAsia="Times New Roman"/>
          <w:b w:val="0"/>
          <w:i w:val="0"/>
          <w:sz w:val="24"/>
        </w:rPr>
        <w:t>Sepsis is a life-threatening syndrome caused by a dysregulated host response to infection, resulting in organ dysfunction and, in severe cases, septic shock and death [1], [2]. It remains a major global health concern with high incidence across neonatal, pediatric, adult, and immunocompromised populations [3], [4]. A critical challenge in management is delayed recognition, since early symptoms are often non-specific and may overlap with non-infectious inflammatory states.</w:t>
      </w:r>
    </w:p>
    <w:p>
      <w:pPr>
        <w:spacing w:line="360" w:lineRule="auto" w:before="0" w:after="120"/>
        <w:jc w:val="both"/>
      </w:pPr>
      <w:r>
        <w:rPr>
          <w:rFonts w:ascii="Times New Roman" w:hAnsi="Times New Roman" w:eastAsia="Times New Roman"/>
          <w:b w:val="0"/>
          <w:i w:val="0"/>
          <w:sz w:val="24"/>
        </w:rPr>
        <w:t>Timely initiation of appropriate antimicrobial therapy is associated with improved outcomes [5]. However, indiscriminate antibiotic use contributes to antimicrobial resistance, avoidable adverse effects, and increased healthcare expenditure. Therefore, there is a clinical need for rapid and interpretable diagnostic support that can guide early decision-making without compromising reliability.</w:t>
      </w:r>
    </w:p>
    <w:p>
      <w:pPr>
        <w:spacing w:before="80" w:after="160"/>
        <w:jc w:val="center"/>
      </w:pPr>
      <w:r>
        <w:rPr>
          <w:rFonts w:ascii="Times New Roman" w:hAnsi="Times New Roman" w:eastAsia="Times New Roman"/>
          <w:b w:val="0"/>
          <w:i w:val="0"/>
          <w:sz w:val="24"/>
        </w:rPr>
        <w:t>Figure 1.1: Sepsis Progression and Clinical Urgency.</w:t>
      </w:r>
    </w:p>
    <w:p>
      <w:pPr>
        <w:spacing w:before="200" w:after="80"/>
        <w:jc w:val="left"/>
      </w:pPr>
      <w:r>
        <w:rPr>
          <w:rFonts w:ascii="Times New Roman" w:hAnsi="Times New Roman" w:eastAsia="Times New Roman"/>
          <w:b w:val="0"/>
          <w:i/>
          <w:sz w:val="24"/>
        </w:rPr>
        <w:t>1.2 Need for Improved Diagnostics</w:t>
      </w:r>
    </w:p>
    <w:p>
      <w:pPr>
        <w:spacing w:line="360" w:lineRule="auto" w:before="0" w:after="120"/>
        <w:jc w:val="both"/>
      </w:pPr>
      <w:r>
        <w:rPr>
          <w:rFonts w:ascii="Times New Roman" w:hAnsi="Times New Roman" w:eastAsia="Times New Roman"/>
          <w:b w:val="0"/>
          <w:i w:val="0"/>
          <w:sz w:val="24"/>
        </w:rPr>
        <w:t>An ideal infection-screening method should provide rapid turnaround, high sensitivity at low bacterial load, high specificity for bacterial infection, low sample-volume compatibility, minimal preparation steps, and practical portability. Existing methods satisfy only selected criteria, creating a translational gap between clinical urgency and diagnostic capability.</w:t>
      </w:r>
    </w:p>
    <w:p>
      <w:pPr>
        <w:spacing w:before="80" w:after="160"/>
        <w:jc w:val="center"/>
      </w:pPr>
      <w:r>
        <w:rPr>
          <w:rFonts w:ascii="Times New Roman" w:hAnsi="Times New Roman" w:eastAsia="Times New Roman"/>
          <w:b w:val="0"/>
          <w:i w:val="0"/>
          <w:sz w:val="24"/>
        </w:rPr>
        <w:t>Figure 1.2: Ideal Diagnostic Requirements.</w:t>
      </w:r>
    </w:p>
    <w:p>
      <w:pPr>
        <w:spacing w:before="200" w:after="80"/>
        <w:jc w:val="left"/>
      </w:pPr>
      <w:r>
        <w:rPr>
          <w:rFonts w:ascii="Times New Roman" w:hAnsi="Times New Roman" w:eastAsia="Times New Roman"/>
          <w:b w:val="0"/>
          <w:i/>
          <w:sz w:val="24"/>
        </w:rPr>
        <w:t>1.3 Existing Diagnostic Solutions and Their Limitations</w:t>
      </w:r>
    </w:p>
    <w:p>
      <w:pPr>
        <w:spacing w:before="200" w:after="80"/>
        <w:jc w:val="left"/>
      </w:pPr>
      <w:r>
        <w:rPr>
          <w:rFonts w:ascii="Times New Roman" w:hAnsi="Times New Roman" w:eastAsia="Times New Roman"/>
          <w:b w:val="0"/>
          <w:i/>
          <w:sz w:val="24"/>
        </w:rPr>
        <w:t>1.3.1 Blood Culture (Current Gold Standard)</w:t>
      </w:r>
    </w:p>
    <w:p>
      <w:pPr>
        <w:spacing w:line="360" w:lineRule="auto" w:before="0" w:after="120"/>
        <w:jc w:val="both"/>
      </w:pPr>
      <w:r>
        <w:rPr>
          <w:rFonts w:ascii="Times New Roman" w:hAnsi="Times New Roman" w:eastAsia="Times New Roman"/>
          <w:b w:val="0"/>
          <w:i w:val="0"/>
          <w:sz w:val="24"/>
        </w:rPr>
        <w:t>Blood culture is clinically accepted as the reference method because it confirms viable organisms and supports susceptibility testing. Its key limitations are long turnaround time, reduced yield after antibiotic exposure, and laboratory dependency [6], [7].</w:t>
      </w:r>
    </w:p>
    <w:p>
      <w:pPr>
        <w:spacing w:before="200" w:after="80"/>
        <w:jc w:val="left"/>
      </w:pPr>
      <w:r>
        <w:rPr>
          <w:rFonts w:ascii="Times New Roman" w:hAnsi="Times New Roman" w:eastAsia="Times New Roman"/>
          <w:b w:val="0"/>
          <w:i/>
          <w:sz w:val="24"/>
        </w:rPr>
        <w:t>1.3.2 Molecular Diagnostics (PCR, qPCR, Multiplex Panels)</w:t>
      </w:r>
    </w:p>
    <w:p>
      <w:pPr>
        <w:spacing w:line="360" w:lineRule="auto" w:before="0" w:after="120"/>
        <w:jc w:val="both"/>
      </w:pPr>
      <w:r>
        <w:rPr>
          <w:rFonts w:ascii="Times New Roman" w:hAnsi="Times New Roman" w:eastAsia="Times New Roman"/>
          <w:b w:val="0"/>
          <w:i w:val="0"/>
          <w:sz w:val="24"/>
        </w:rPr>
        <w:t>Molecular assays are faster than culture and can provide sensitive nucleic-acid detection. However, they are often target-restricted, expensive, and workflow-intensive. Detection may also include non-viable organisms.</w:t>
      </w:r>
    </w:p>
    <w:p>
      <w:pPr>
        <w:spacing w:before="200" w:after="80"/>
        <w:jc w:val="left"/>
      </w:pPr>
      <w:r>
        <w:rPr>
          <w:rFonts w:ascii="Times New Roman" w:hAnsi="Times New Roman" w:eastAsia="Times New Roman"/>
          <w:b w:val="0"/>
          <w:i/>
          <w:sz w:val="24"/>
        </w:rPr>
        <w:t>1.3.3 Host Biomarker Tests (CRP, PCT, IL-6, TNF-alpha)</w:t>
      </w:r>
    </w:p>
    <w:p>
      <w:pPr>
        <w:spacing w:line="360" w:lineRule="auto" w:before="0" w:after="120"/>
        <w:jc w:val="both"/>
      </w:pPr>
      <w:r>
        <w:rPr>
          <w:rFonts w:ascii="Times New Roman" w:hAnsi="Times New Roman" w:eastAsia="Times New Roman"/>
          <w:b w:val="0"/>
          <w:i w:val="0"/>
          <w:sz w:val="24"/>
        </w:rPr>
        <w:t>Host biomarkers are useful supportive indicators and are widely available, but they are indirect signals of inflammation and may be elevated in non-infectious conditions, reducing pathogen specificity.</w:t>
      </w:r>
    </w:p>
    <w:p>
      <w:pPr>
        <w:spacing w:before="200" w:after="80"/>
        <w:jc w:val="left"/>
      </w:pPr>
      <w:r>
        <w:rPr>
          <w:rFonts w:ascii="Times New Roman" w:hAnsi="Times New Roman" w:eastAsia="Times New Roman"/>
          <w:b w:val="0"/>
          <w:i/>
          <w:sz w:val="24"/>
        </w:rPr>
        <w:t>1.3.4 Raman Spectroscopy and Surface-Enhanced Raman Spectroscopy (SERS)</w:t>
      </w:r>
    </w:p>
    <w:p>
      <w:pPr>
        <w:spacing w:line="360" w:lineRule="auto" w:before="0" w:after="120"/>
        <w:jc w:val="both"/>
      </w:pPr>
      <w:r>
        <w:rPr>
          <w:rFonts w:ascii="Times New Roman" w:hAnsi="Times New Roman" w:eastAsia="Times New Roman"/>
          <w:b w:val="0"/>
          <w:i w:val="0"/>
          <w:sz w:val="24"/>
        </w:rPr>
        <w:t>Raman spectroscopy is a label-free optical technique that captures molecular fingerprints through vibrational signatures. SERS can substantially amplify weak Raman signals via plasmonic substrates. Current translational challenges include substrate variability, biological matrix complexity, and the requirement for robust preprocessing and validation.</w:t>
      </w:r>
    </w:p>
    <w:p>
      <w:pPr>
        <w:spacing w:before="160" w:after="80"/>
        <w:jc w:val="center"/>
      </w:pPr>
      <w:r>
        <w:rPr>
          <w:rFonts w:ascii="Times New Roman" w:hAnsi="Times New Roman" w:eastAsia="Times New Roman"/>
          <w:b w:val="0"/>
          <w:i w:val="0"/>
          <w:sz w:val="24"/>
        </w:rPr>
        <w:t>Table 1.1: Comparative Analysis of Existing Diagnostic Methods.</w:t>
      </w:r>
    </w:p>
    <w:p>
      <w:pPr>
        <w:spacing w:line="360" w:lineRule="auto" w:before="0" w:after="120"/>
        <w:jc w:val="both"/>
      </w:pPr>
      <w:r>
        <w:rPr>
          <w:rFonts w:ascii="Times New Roman" w:hAnsi="Times New Roman" w:eastAsia="Times New Roman"/>
          <w:b w:val="0"/>
          <w:i w:val="0"/>
          <w:sz w:val="24"/>
        </w:rPr>
        <w:t>Method Speed Direct Bacterial Evidence Gram Information Portability Major Limitation</w:t>
      </w:r>
    </w:p>
    <w:p>
      <w:pPr>
        <w:spacing w:line="360" w:lineRule="auto" w:before="0" w:after="120"/>
        <w:jc w:val="both"/>
      </w:pPr>
      <w:r>
        <w:rPr>
          <w:rFonts w:ascii="Times New Roman" w:hAnsi="Times New Roman" w:eastAsia="Times New Roman"/>
          <w:b w:val="0"/>
          <w:i w:val="0"/>
          <w:sz w:val="24"/>
        </w:rPr>
        <w:t>Blood Culture Slow Yes Yes Low Long turnaround time</w:t>
      </w:r>
    </w:p>
    <w:p>
      <w:pPr>
        <w:spacing w:line="360" w:lineRule="auto" w:before="0" w:after="120"/>
        <w:jc w:val="both"/>
      </w:pPr>
      <w:r>
        <w:rPr>
          <w:rFonts w:ascii="Times New Roman" w:hAnsi="Times New Roman" w:eastAsia="Times New Roman"/>
          <w:b w:val="0"/>
          <w:i w:val="0"/>
          <w:sz w:val="24"/>
        </w:rPr>
        <w:t>PCR Moderate Yes (DNA) Yes Low to Moderate High cost and target restriction</w:t>
      </w:r>
    </w:p>
    <w:p>
      <w:pPr>
        <w:spacing w:line="360" w:lineRule="auto" w:before="0" w:after="120"/>
        <w:jc w:val="both"/>
      </w:pPr>
      <w:r>
        <w:rPr>
          <w:rFonts w:ascii="Times New Roman" w:hAnsi="Times New Roman" w:eastAsia="Times New Roman"/>
          <w:b w:val="0"/>
          <w:i w:val="0"/>
          <w:sz w:val="24"/>
        </w:rPr>
        <w:t>CRP/PCT Fast No No Moderate Limited specificity</w:t>
      </w:r>
    </w:p>
    <w:p>
      <w:pPr>
        <w:spacing w:line="360" w:lineRule="auto" w:before="0" w:after="120"/>
        <w:jc w:val="both"/>
      </w:pPr>
      <w:r>
        <w:rPr>
          <w:rFonts w:ascii="Times New Roman" w:hAnsi="Times New Roman" w:eastAsia="Times New Roman"/>
          <w:b w:val="0"/>
          <w:i w:val="0"/>
          <w:sz w:val="24"/>
        </w:rPr>
        <w:t>Raman/SERS Fast Yes Potential High (future) Needs clinical validation</w:t>
      </w:r>
    </w:p>
    <w:p>
      <w:pPr>
        <w:spacing w:before="80" w:after="160"/>
        <w:jc w:val="center"/>
      </w:pPr>
      <w:r>
        <w:rPr>
          <w:rFonts w:ascii="Times New Roman" w:hAnsi="Times New Roman" w:eastAsia="Times New Roman"/>
          <w:b w:val="0"/>
          <w:i w:val="0"/>
          <w:sz w:val="24"/>
        </w:rPr>
        <w:t>Figure 1.3: Diagnostic Timeline Comparison.</w:t>
      </w:r>
    </w:p>
    <w:p>
      <w:pPr>
        <w:spacing w:before="200" w:after="80"/>
        <w:jc w:val="left"/>
      </w:pPr>
      <w:r>
        <w:rPr>
          <w:rFonts w:ascii="Times New Roman" w:hAnsi="Times New Roman" w:eastAsia="Times New Roman"/>
          <w:b w:val="0"/>
          <w:i/>
          <w:sz w:val="24"/>
        </w:rPr>
        <w:t>1.4 Strategic Biomarker-Based Detection Approach</w:t>
      </w:r>
    </w:p>
    <w:p>
      <w:pPr>
        <w:spacing w:line="360" w:lineRule="auto" w:before="0" w:after="120"/>
        <w:jc w:val="both"/>
      </w:pPr>
      <w:r>
        <w:rPr>
          <w:rFonts w:ascii="Times New Roman" w:hAnsi="Times New Roman" w:eastAsia="Times New Roman"/>
          <w:b w:val="0"/>
          <w:i w:val="0"/>
          <w:sz w:val="24"/>
        </w:rPr>
        <w:t>To reduce early-stage complexity, this project adopts a biomarker-first strategy based on bacterial structural targets: NAM (general marker), LTA (Gram-positive marker), and LPS (Gram-negative marker). This approach supports biologically interpretable screening logic while enabling staged translational development.</w:t>
      </w:r>
    </w:p>
    <w:p>
      <w:pPr>
        <w:spacing w:before="80" w:after="160"/>
        <w:jc w:val="center"/>
      </w:pPr>
      <w:r>
        <w:rPr>
          <w:rFonts w:ascii="Times New Roman" w:hAnsi="Times New Roman" w:eastAsia="Times New Roman"/>
          <w:b w:val="0"/>
          <w:i w:val="0"/>
          <w:sz w:val="24"/>
        </w:rPr>
        <w:t>Figure 1.4: Biomarker Logic Diagram.</w:t>
      </w:r>
    </w:p>
    <w:p>
      <w:pPr>
        <w:spacing w:before="200" w:after="80"/>
        <w:jc w:val="left"/>
      </w:pPr>
      <w:r>
        <w:rPr>
          <w:rFonts w:ascii="Times New Roman" w:hAnsi="Times New Roman" w:eastAsia="Times New Roman"/>
          <w:b w:val="0"/>
          <w:i/>
          <w:sz w:val="24"/>
        </w:rPr>
        <w:t>1.5 Research Gap</w:t>
      </w:r>
    </w:p>
    <w:p>
      <w:pPr>
        <w:spacing w:line="360" w:lineRule="auto" w:before="0" w:after="120"/>
        <w:jc w:val="both"/>
      </w:pPr>
      <w:r>
        <w:rPr>
          <w:rFonts w:ascii="Times New Roman" w:hAnsi="Times New Roman" w:eastAsia="Times New Roman"/>
          <w:b w:val="0"/>
          <w:i w:val="0"/>
          <w:sz w:val="24"/>
        </w:rPr>
        <w:t>No current mainstream platform simultaneously offers rapid turnaround, low-volume compatibility, direct structural bacterial evidence, explainable molecular interpretation, and realistic portability potential. This unmet need motivates the present work.</w:t>
      </w:r>
    </w:p>
    <w:p>
      <w:pPr>
        <w:spacing w:before="200" w:after="80"/>
        <w:jc w:val="left"/>
      </w:pPr>
      <w:r>
        <w:rPr>
          <w:rFonts w:ascii="Times New Roman" w:hAnsi="Times New Roman" w:eastAsia="Times New Roman"/>
          <w:b w:val="0"/>
          <w:i/>
          <w:sz w:val="24"/>
        </w:rPr>
        <w:t>1.6 Proposed Research Direction</w:t>
      </w:r>
    </w:p>
    <w:p>
      <w:pPr>
        <w:spacing w:line="360" w:lineRule="auto" w:before="0" w:after="120"/>
        <w:jc w:val="both"/>
      </w:pPr>
      <w:r>
        <w:rPr>
          <w:rFonts w:ascii="Times New Roman" w:hAnsi="Times New Roman" w:eastAsia="Times New Roman"/>
          <w:b w:val="0"/>
          <w:i w:val="0"/>
          <w:sz w:val="24"/>
        </w:rPr>
        <w:t>The project follows a staged model: controlled Raman validation, expanded reproducibility and sensitivity studies, SERS integration, AI-assisted interpretation, and future clinical benchmarking.</w:t>
      </w:r>
    </w:p>
    <w:p>
      <w:pPr>
        <w:spacing w:before="80" w:after="160"/>
        <w:jc w:val="center"/>
      </w:pPr>
      <w:r>
        <w:rPr>
          <w:rFonts w:ascii="Times New Roman" w:hAnsi="Times New Roman" w:eastAsia="Times New Roman"/>
          <w:b w:val="0"/>
          <w:i w:val="0"/>
          <w:sz w:val="24"/>
        </w:rPr>
        <w:t>Figure 1.5: Thesis Roadmap.</w:t>
      </w:r>
    </w:p>
    <w:p>
      <w:pPr>
        <w:spacing w:before="200" w:after="80"/>
        <w:jc w:val="left"/>
      </w:pPr>
      <w:r>
        <w:rPr>
          <w:rFonts w:ascii="Times New Roman" w:hAnsi="Times New Roman" w:eastAsia="Times New Roman"/>
          <w:b w:val="0"/>
          <w:i/>
          <w:sz w:val="24"/>
        </w:rPr>
        <w:t>1.7 Significance of the Present Work</w:t>
      </w:r>
    </w:p>
    <w:p>
      <w:pPr>
        <w:spacing w:line="360" w:lineRule="auto" w:before="0" w:after="120"/>
        <w:jc w:val="both"/>
      </w:pPr>
      <w:r>
        <w:rPr>
          <w:rFonts w:ascii="Times New Roman" w:hAnsi="Times New Roman" w:eastAsia="Times New Roman"/>
          <w:b w:val="0"/>
          <w:i w:val="0"/>
          <w:sz w:val="24"/>
        </w:rPr>
        <w:t>This work contributes a foundational and explainable framework combining biomarker biology, Raman spectroscopy, and computational validation. It establishes scientific readiness for future portable infection-screening development.</w:t>
      </w:r>
    </w:p>
    <w:p>
      <w:pPr>
        <w:spacing w:before="200" w:after="80"/>
        <w:jc w:val="left"/>
      </w:pPr>
      <w:r>
        <w:rPr>
          <w:rFonts w:ascii="Times New Roman" w:hAnsi="Times New Roman" w:eastAsia="Times New Roman"/>
          <w:b w:val="0"/>
          <w:i/>
          <w:sz w:val="24"/>
        </w:rPr>
        <w:t>1.8 Chapter Summary</w:t>
      </w:r>
    </w:p>
    <w:p>
      <w:pPr>
        <w:spacing w:line="360" w:lineRule="auto" w:before="0" w:after="120"/>
        <w:jc w:val="both"/>
      </w:pPr>
      <w:r>
        <w:rPr>
          <w:rFonts w:ascii="Times New Roman" w:hAnsi="Times New Roman" w:eastAsia="Times New Roman"/>
          <w:b w:val="0"/>
          <w:i w:val="0"/>
          <w:sz w:val="24"/>
        </w:rPr>
        <w:t>This chapter established the clinical context, limitations of current diagnostics, and the rationale for a biomarker-focused Raman/SERS translational pathway.</w:t>
      </w:r>
    </w:p>
    <w:p>
      <w:pPr>
        <w:spacing w:before="240" w:after="120"/>
        <w:jc w:val="left"/>
      </w:pPr>
      <w:r>
        <w:rPr>
          <w:rFonts w:ascii="Times New Roman" w:hAnsi="Times New Roman" w:eastAsia="Times New Roman"/>
          <w:b/>
          <w:i w:val="0"/>
          <w:sz w:val="28"/>
        </w:rPr>
        <w:t>2. INTELLECTUAL PROPERTY (PATENT LANDSCAPING)</w:t>
      </w:r>
    </w:p>
    <w:p>
      <w:pPr>
        <w:spacing w:before="200" w:after="80"/>
        <w:jc w:val="left"/>
      </w:pPr>
      <w:r>
        <w:rPr>
          <w:rFonts w:ascii="Times New Roman" w:hAnsi="Times New Roman" w:eastAsia="Times New Roman"/>
          <w:b w:val="0"/>
          <w:i/>
          <w:sz w:val="24"/>
        </w:rPr>
        <w:t>2.1 Introduction</w:t>
      </w:r>
    </w:p>
    <w:p>
      <w:pPr>
        <w:spacing w:line="360" w:lineRule="auto" w:before="0" w:after="120"/>
        <w:jc w:val="both"/>
      </w:pPr>
      <w:r>
        <w:rPr>
          <w:rFonts w:ascii="Times New Roman" w:hAnsi="Times New Roman" w:eastAsia="Times New Roman"/>
          <w:b w:val="0"/>
          <w:i w:val="0"/>
          <w:sz w:val="24"/>
        </w:rPr>
        <w:t>Intellectual property analysis was conducted to evaluate novelty opportunities, crowded domains, and strategic differentiation for Raman/SERS-based infection screening.</w:t>
      </w:r>
    </w:p>
    <w:p>
      <w:pPr>
        <w:spacing w:before="200" w:after="80"/>
        <w:jc w:val="left"/>
      </w:pPr>
      <w:r>
        <w:rPr>
          <w:rFonts w:ascii="Times New Roman" w:hAnsi="Times New Roman" w:eastAsia="Times New Roman"/>
          <w:b w:val="0"/>
          <w:i/>
          <w:sz w:val="24"/>
        </w:rPr>
        <w:t>2.2 Objectives of Patent Landscaping</w:t>
      </w:r>
    </w:p>
    <w:p>
      <w:pPr>
        <w:spacing w:line="360" w:lineRule="auto" w:before="0" w:after="120"/>
        <w:jc w:val="both"/>
      </w:pPr>
      <w:r>
        <w:rPr>
          <w:rFonts w:ascii="Times New Roman" w:hAnsi="Times New Roman" w:eastAsia="Times New Roman"/>
          <w:b w:val="0"/>
          <w:i w:val="0"/>
          <w:sz w:val="24"/>
        </w:rPr>
        <w:t>The chapter addresses five questions: current technology landscape, dense patent areas, remaining white spaces, potentially patentable elements of this work, and future differentiation strategy.</w:t>
      </w:r>
    </w:p>
    <w:p>
      <w:pPr>
        <w:spacing w:before="200" w:after="80"/>
        <w:jc w:val="left"/>
      </w:pPr>
      <w:r>
        <w:rPr>
          <w:rFonts w:ascii="Times New Roman" w:hAnsi="Times New Roman" w:eastAsia="Times New Roman"/>
          <w:b w:val="0"/>
          <w:i/>
          <w:sz w:val="24"/>
        </w:rPr>
        <w:t>2.3 Major Patent Domains Relevant to the Project</w:t>
      </w:r>
    </w:p>
    <w:p>
      <w:pPr>
        <w:spacing w:before="160" w:after="80"/>
        <w:jc w:val="center"/>
      </w:pPr>
      <w:r>
        <w:rPr>
          <w:rFonts w:ascii="Times New Roman" w:hAnsi="Times New Roman" w:eastAsia="Times New Roman"/>
          <w:b w:val="0"/>
          <w:i w:val="0"/>
          <w:sz w:val="24"/>
        </w:rPr>
        <w:t>Table 2.1: Patent Domain Relevance Matrix.</w:t>
      </w:r>
    </w:p>
    <w:p>
      <w:pPr>
        <w:spacing w:line="360" w:lineRule="auto" w:before="0" w:after="120"/>
        <w:jc w:val="both"/>
      </w:pPr>
      <w:r>
        <w:rPr>
          <w:rFonts w:ascii="Times New Roman" w:hAnsi="Times New Roman" w:eastAsia="Times New Roman"/>
          <w:b w:val="0"/>
          <w:i w:val="0"/>
          <w:sz w:val="24"/>
        </w:rPr>
        <w:t>Domain Typical Patent Focus Relevance</w:t>
      </w:r>
    </w:p>
    <w:p>
      <w:pPr>
        <w:spacing w:line="360" w:lineRule="auto" w:before="0" w:after="120"/>
        <w:jc w:val="both"/>
      </w:pPr>
      <w:r>
        <w:rPr>
          <w:rFonts w:ascii="Times New Roman" w:hAnsi="Times New Roman" w:eastAsia="Times New Roman"/>
          <w:b w:val="0"/>
          <w:i w:val="0"/>
          <w:sz w:val="24"/>
        </w:rPr>
        <w:t>Sepsis diagnostics Biomarker kits, risk scoring High</w:t>
      </w:r>
    </w:p>
    <w:p>
      <w:pPr>
        <w:spacing w:line="360" w:lineRule="auto" w:before="0" w:after="120"/>
        <w:jc w:val="both"/>
      </w:pPr>
      <w:r>
        <w:rPr>
          <w:rFonts w:ascii="Times New Roman" w:hAnsi="Times New Roman" w:eastAsia="Times New Roman"/>
          <w:b w:val="0"/>
          <w:i w:val="0"/>
          <w:sz w:val="24"/>
        </w:rPr>
        <w:t>Molecular diagnostics PCR cartridges, nucleic acid panels High</w:t>
      </w:r>
    </w:p>
    <w:p>
      <w:pPr>
        <w:spacing w:line="360" w:lineRule="auto" w:before="0" w:after="120"/>
        <w:jc w:val="both"/>
      </w:pPr>
      <w:r>
        <w:rPr>
          <w:rFonts w:ascii="Times New Roman" w:hAnsi="Times New Roman" w:eastAsia="Times New Roman"/>
          <w:b w:val="0"/>
          <w:i w:val="0"/>
          <w:sz w:val="24"/>
        </w:rPr>
        <w:t>Raman systems Spectral devices, libraries High</w:t>
      </w:r>
    </w:p>
    <w:p>
      <w:pPr>
        <w:spacing w:line="360" w:lineRule="auto" w:before="0" w:after="120"/>
        <w:jc w:val="both"/>
      </w:pPr>
      <w:r>
        <w:rPr>
          <w:rFonts w:ascii="Times New Roman" w:hAnsi="Times New Roman" w:eastAsia="Times New Roman"/>
          <w:b w:val="0"/>
          <w:i w:val="0"/>
          <w:sz w:val="24"/>
        </w:rPr>
        <w:t>SERS materials Nanostructures, hotspot architectures High</w:t>
      </w:r>
    </w:p>
    <w:p>
      <w:pPr>
        <w:spacing w:line="360" w:lineRule="auto" w:before="0" w:after="120"/>
        <w:jc w:val="both"/>
      </w:pPr>
      <w:r>
        <w:rPr>
          <w:rFonts w:ascii="Times New Roman" w:hAnsi="Times New Roman" w:eastAsia="Times New Roman"/>
          <w:b w:val="0"/>
          <w:i w:val="0"/>
          <w:sz w:val="24"/>
        </w:rPr>
        <w:t>AI diagnostics Classification algorithms Medium to High</w:t>
      </w:r>
    </w:p>
    <w:p>
      <w:pPr>
        <w:spacing w:line="360" w:lineRule="auto" w:before="0" w:after="120"/>
        <w:jc w:val="both"/>
      </w:pPr>
      <w:r>
        <w:rPr>
          <w:rFonts w:ascii="Times New Roman" w:hAnsi="Times New Roman" w:eastAsia="Times New Roman"/>
          <w:b w:val="0"/>
          <w:i w:val="0"/>
          <w:sz w:val="24"/>
        </w:rPr>
        <w:t>Portable devices Handheld analyzers High</w:t>
      </w:r>
    </w:p>
    <w:p>
      <w:pPr>
        <w:spacing w:line="360" w:lineRule="auto" w:before="0" w:after="120"/>
        <w:jc w:val="both"/>
      </w:pPr>
      <w:r>
        <w:rPr>
          <w:rFonts w:ascii="Times New Roman" w:hAnsi="Times New Roman" w:eastAsia="Times New Roman"/>
          <w:b w:val="0"/>
          <w:i w:val="0"/>
          <w:sz w:val="24"/>
        </w:rPr>
        <w:t>Microfluidics Sample-preparation cartridges Future relevance</w:t>
      </w:r>
    </w:p>
    <w:p>
      <w:pPr>
        <w:spacing w:line="360" w:lineRule="auto" w:before="0" w:after="120"/>
        <w:jc w:val="both"/>
      </w:pPr>
      <w:r>
        <w:rPr>
          <w:rFonts w:ascii="Times New Roman" w:hAnsi="Times New Roman" w:eastAsia="Times New Roman"/>
          <w:b w:val="0"/>
          <w:i w:val="0"/>
          <w:sz w:val="24"/>
        </w:rPr>
        <w:t>Neonatal diagnostics Low-volume workflows Strategic niche</w:t>
      </w:r>
    </w:p>
    <w:p>
      <w:pPr>
        <w:spacing w:before="200" w:after="80"/>
        <w:jc w:val="left"/>
      </w:pPr>
      <w:r>
        <w:rPr>
          <w:rFonts w:ascii="Times New Roman" w:hAnsi="Times New Roman" w:eastAsia="Times New Roman"/>
          <w:b w:val="0"/>
          <w:i/>
          <w:sz w:val="24"/>
        </w:rPr>
        <w:t>2.4 Existing Patent Trends in Sepsis Diagnostics</w:t>
      </w:r>
    </w:p>
    <w:p>
      <w:pPr>
        <w:spacing w:line="360" w:lineRule="auto" w:before="0" w:after="120"/>
        <w:jc w:val="both"/>
      </w:pPr>
      <w:r>
        <w:rPr>
          <w:rFonts w:ascii="Times New Roman" w:hAnsi="Times New Roman" w:eastAsia="Times New Roman"/>
          <w:b w:val="0"/>
          <w:i w:val="0"/>
          <w:sz w:val="24"/>
        </w:rPr>
        <w:t>Most filings are concentrated in host biomarker diagnostics, molecular pathogen detection platforms, and culture-automation improvements. While valuable, these categories do not fully solve the rapid, low-volume, direct structural evidence gap.</w:t>
      </w:r>
    </w:p>
    <w:p>
      <w:pPr>
        <w:spacing w:before="80" w:after="160"/>
        <w:jc w:val="center"/>
      </w:pPr>
      <w:r>
        <w:rPr>
          <w:rFonts w:ascii="Times New Roman" w:hAnsi="Times New Roman" w:eastAsia="Times New Roman"/>
          <w:b w:val="0"/>
          <w:i w:val="0"/>
          <w:sz w:val="24"/>
        </w:rPr>
        <w:t>Figure 2.1: Existing Sepsis Patent Categories.</w:t>
      </w:r>
    </w:p>
    <w:p>
      <w:pPr>
        <w:spacing w:before="200" w:after="80"/>
        <w:jc w:val="left"/>
      </w:pPr>
      <w:r>
        <w:rPr>
          <w:rFonts w:ascii="Times New Roman" w:hAnsi="Times New Roman" w:eastAsia="Times New Roman"/>
          <w:b w:val="0"/>
          <w:i/>
          <w:sz w:val="24"/>
        </w:rPr>
        <w:t>2.5 Existing Patent Trends in Raman and SERS Diagnostics</w:t>
      </w:r>
    </w:p>
    <w:p>
      <w:pPr>
        <w:spacing w:line="360" w:lineRule="auto" w:before="0" w:after="120"/>
        <w:jc w:val="both"/>
      </w:pPr>
      <w:r>
        <w:rPr>
          <w:rFonts w:ascii="Times New Roman" w:hAnsi="Times New Roman" w:eastAsia="Times New Roman"/>
          <w:b w:val="0"/>
          <w:i w:val="0"/>
          <w:sz w:val="24"/>
        </w:rPr>
        <w:t>Raman patents commonly focus on laboratory classification workflows. SERS patents are heavily concentrated on substrate engineering and enhancement architecture. Portable optical device patents exist but are often not infection-specific.</w:t>
      </w:r>
    </w:p>
    <w:p>
      <w:pPr>
        <w:spacing w:before="200" w:after="80"/>
        <w:jc w:val="left"/>
      </w:pPr>
      <w:r>
        <w:rPr>
          <w:rFonts w:ascii="Times New Roman" w:hAnsi="Times New Roman" w:eastAsia="Times New Roman"/>
          <w:b w:val="0"/>
          <w:i/>
          <w:sz w:val="24"/>
        </w:rPr>
        <w:t>2.6 White-Space Opportunities</w:t>
      </w:r>
    </w:p>
    <w:p>
      <w:pPr>
        <w:spacing w:line="360" w:lineRule="auto" w:before="0" w:after="120"/>
        <w:jc w:val="both"/>
      </w:pPr>
      <w:r>
        <w:rPr>
          <w:rFonts w:ascii="Times New Roman" w:hAnsi="Times New Roman" w:eastAsia="Times New Roman"/>
          <w:b w:val="0"/>
          <w:i w:val="0"/>
          <w:sz w:val="24"/>
        </w:rPr>
        <w:t>Key opportunities include structural biomarker panels for rapid screening, DFT-supported explainable diagnostics, neonatal low-volume testing workflows, and integrated portable reader-cartridge systems.</w:t>
      </w:r>
    </w:p>
    <w:p>
      <w:pPr>
        <w:spacing w:before="80" w:after="160"/>
        <w:jc w:val="center"/>
      </w:pPr>
      <w:r>
        <w:rPr>
          <w:rFonts w:ascii="Times New Roman" w:hAnsi="Times New Roman" w:eastAsia="Times New Roman"/>
          <w:b w:val="0"/>
          <w:i w:val="0"/>
          <w:sz w:val="24"/>
        </w:rPr>
        <w:t>Figure 2.2: White-Space Opportunity Matrix.</w:t>
      </w:r>
    </w:p>
    <w:p>
      <w:pPr>
        <w:spacing w:before="200" w:after="80"/>
        <w:jc w:val="left"/>
      </w:pPr>
      <w:r>
        <w:rPr>
          <w:rFonts w:ascii="Times New Roman" w:hAnsi="Times New Roman" w:eastAsia="Times New Roman"/>
          <w:b w:val="0"/>
          <w:i/>
          <w:sz w:val="24"/>
        </w:rPr>
        <w:t>2.7 Potential Patentable Outputs from This Thesis</w:t>
      </w:r>
    </w:p>
    <w:p>
      <w:pPr>
        <w:spacing w:before="160" w:after="80"/>
        <w:jc w:val="center"/>
      </w:pPr>
      <w:r>
        <w:rPr>
          <w:rFonts w:ascii="Times New Roman" w:hAnsi="Times New Roman" w:eastAsia="Times New Roman"/>
          <w:b w:val="0"/>
          <w:i w:val="0"/>
          <w:sz w:val="24"/>
        </w:rPr>
        <w:t>Table 2.2: Potential IP Portfolio from Thesis.</w:t>
      </w:r>
    </w:p>
    <w:p>
      <w:pPr>
        <w:spacing w:line="360" w:lineRule="auto" w:before="0" w:after="120"/>
        <w:jc w:val="both"/>
      </w:pPr>
      <w:r>
        <w:rPr>
          <w:rFonts w:ascii="Times New Roman" w:hAnsi="Times New Roman" w:eastAsia="Times New Roman"/>
          <w:b w:val="0"/>
          <w:i w:val="0"/>
          <w:sz w:val="24"/>
        </w:rPr>
        <w:t>Category Potential Output</w:t>
      </w:r>
    </w:p>
    <w:p>
      <w:pPr>
        <w:spacing w:line="360" w:lineRule="auto" w:before="0" w:after="120"/>
        <w:jc w:val="both"/>
      </w:pPr>
      <w:r>
        <w:rPr>
          <w:rFonts w:ascii="Times New Roman" w:hAnsi="Times New Roman" w:eastAsia="Times New Roman"/>
          <w:b w:val="0"/>
          <w:i w:val="0"/>
          <w:sz w:val="24"/>
        </w:rPr>
        <w:t>Method Raman/SERS biomarker detection workflow and Gram-oriented logic</w:t>
      </w:r>
    </w:p>
    <w:p>
      <w:pPr>
        <w:spacing w:line="360" w:lineRule="auto" w:before="0" w:after="120"/>
        <w:jc w:val="both"/>
      </w:pPr>
      <w:r>
        <w:rPr>
          <w:rFonts w:ascii="Times New Roman" w:hAnsi="Times New Roman" w:eastAsia="Times New Roman"/>
          <w:b w:val="0"/>
          <w:i w:val="0"/>
          <w:sz w:val="24"/>
        </w:rPr>
        <w:t>Device Portable optical reader and low-volume cartridge</w:t>
      </w:r>
    </w:p>
    <w:p>
      <w:pPr>
        <w:spacing w:line="360" w:lineRule="auto" w:before="0" w:after="120"/>
        <w:jc w:val="both"/>
      </w:pPr>
      <w:r>
        <w:rPr>
          <w:rFonts w:ascii="Times New Roman" w:hAnsi="Times New Roman" w:eastAsia="Times New Roman"/>
          <w:b w:val="0"/>
          <w:i w:val="0"/>
          <w:sz w:val="24"/>
        </w:rPr>
        <w:t>Material Reproducible Ag/Au SERS substrate and functionalized surface</w:t>
      </w:r>
    </w:p>
    <w:p>
      <w:pPr>
        <w:spacing w:line="360" w:lineRule="auto" w:before="0" w:after="120"/>
        <w:jc w:val="both"/>
      </w:pPr>
      <w:r>
        <w:rPr>
          <w:rFonts w:ascii="Times New Roman" w:hAnsi="Times New Roman" w:eastAsia="Times New Roman"/>
          <w:b w:val="0"/>
          <w:i w:val="0"/>
          <w:sz w:val="24"/>
        </w:rPr>
        <w:t>Software Preprocessing engine, classifier, and explainability module</w:t>
      </w:r>
    </w:p>
    <w:p>
      <w:pPr>
        <w:spacing w:before="200" w:after="80"/>
        <w:jc w:val="left"/>
      </w:pPr>
      <w:r>
        <w:rPr>
          <w:rFonts w:ascii="Times New Roman" w:hAnsi="Times New Roman" w:eastAsia="Times New Roman"/>
          <w:b w:val="0"/>
          <w:i/>
          <w:sz w:val="24"/>
        </w:rPr>
        <w:t>2.8 Competitive Comparison with Existing Technologies</w:t>
      </w:r>
    </w:p>
    <w:p>
      <w:pPr>
        <w:spacing w:line="360" w:lineRule="auto" w:before="0" w:after="120"/>
        <w:jc w:val="both"/>
      </w:pPr>
      <w:r>
        <w:rPr>
          <w:rFonts w:ascii="Times New Roman" w:hAnsi="Times New Roman" w:eastAsia="Times New Roman"/>
          <w:b w:val="0"/>
          <w:i w:val="0"/>
          <w:sz w:val="24"/>
        </w:rPr>
        <w:t>This approach is positioned as a rapid and interpretable screening layer that complements existing diagnostic pathways.</w:t>
      </w:r>
    </w:p>
    <w:p>
      <w:pPr>
        <w:spacing w:before="80" w:after="160"/>
        <w:jc w:val="center"/>
      </w:pPr>
      <w:r>
        <w:rPr>
          <w:rFonts w:ascii="Times New Roman" w:hAnsi="Times New Roman" w:eastAsia="Times New Roman"/>
          <w:b w:val="0"/>
          <w:i w:val="0"/>
          <w:sz w:val="24"/>
        </w:rPr>
        <w:t>Figure 2.3: Competitive Positioning Map.</w:t>
      </w:r>
    </w:p>
    <w:p>
      <w:pPr>
        <w:spacing w:before="200" w:after="80"/>
        <w:jc w:val="left"/>
      </w:pPr>
      <w:r>
        <w:rPr>
          <w:rFonts w:ascii="Times New Roman" w:hAnsi="Times New Roman" w:eastAsia="Times New Roman"/>
          <w:b w:val="0"/>
          <w:i/>
          <w:sz w:val="24"/>
        </w:rPr>
        <w:t>2.9 Freedom-to-Operate Considerations</w:t>
      </w:r>
    </w:p>
    <w:p>
      <w:pPr>
        <w:spacing w:line="360" w:lineRule="auto" w:before="0" w:after="120"/>
        <w:jc w:val="both"/>
      </w:pPr>
      <w:r>
        <w:rPr>
          <w:rFonts w:ascii="Times New Roman" w:hAnsi="Times New Roman" w:eastAsia="Times New Roman"/>
          <w:b w:val="0"/>
          <w:i w:val="0"/>
          <w:sz w:val="24"/>
        </w:rPr>
        <w:t>This chapter is strategic and does not constitute a legal FTO opinion. Formal patent counsel review is required before commercialization.</w:t>
      </w:r>
    </w:p>
    <w:p>
      <w:pPr>
        <w:spacing w:before="200" w:after="80"/>
        <w:jc w:val="left"/>
      </w:pPr>
      <w:r>
        <w:rPr>
          <w:rFonts w:ascii="Times New Roman" w:hAnsi="Times New Roman" w:eastAsia="Times New Roman"/>
          <w:b w:val="0"/>
          <w:i/>
          <w:sz w:val="24"/>
        </w:rPr>
        <w:t>2.10 Current Status vs Future IP Readiness</w:t>
      </w:r>
    </w:p>
    <w:p>
      <w:pPr>
        <w:spacing w:line="360" w:lineRule="auto" w:before="0" w:after="120"/>
        <w:jc w:val="both"/>
      </w:pPr>
      <w:r>
        <w:rPr>
          <w:rFonts w:ascii="Times New Roman" w:hAnsi="Times New Roman" w:eastAsia="Times New Roman"/>
          <w:b w:val="0"/>
          <w:i w:val="0"/>
          <w:sz w:val="24"/>
        </w:rPr>
        <w:t>Current outputs support conceptual differentiation. Stronger filings are expected after expanded performance data, prototype stabilization, and comparative validation.</w:t>
      </w:r>
    </w:p>
    <w:p>
      <w:pPr>
        <w:spacing w:before="200" w:after="80"/>
        <w:jc w:val="left"/>
      </w:pPr>
      <w:r>
        <w:rPr>
          <w:rFonts w:ascii="Times New Roman" w:hAnsi="Times New Roman" w:eastAsia="Times New Roman"/>
          <w:b w:val="0"/>
          <w:i/>
          <w:sz w:val="24"/>
        </w:rPr>
        <w:t>2.11 Strategic Conclusion</w:t>
      </w:r>
    </w:p>
    <w:p>
      <w:pPr>
        <w:spacing w:line="360" w:lineRule="auto" w:before="0" w:after="120"/>
        <w:jc w:val="both"/>
      </w:pPr>
      <w:r>
        <w:rPr>
          <w:rFonts w:ascii="Times New Roman" w:hAnsi="Times New Roman" w:eastAsia="Times New Roman"/>
          <w:b w:val="0"/>
          <w:i w:val="0"/>
          <w:sz w:val="24"/>
        </w:rPr>
        <w:t>The landscape is active but fragmented. The project appears to occupy a potentially differentiated white-space in explainable, low-volume, and portable bacterial screening.</w:t>
      </w:r>
    </w:p>
    <w:p>
      <w:pPr>
        <w:spacing w:before="200" w:after="80"/>
        <w:jc w:val="left"/>
      </w:pPr>
      <w:r>
        <w:rPr>
          <w:rFonts w:ascii="Times New Roman" w:hAnsi="Times New Roman" w:eastAsia="Times New Roman"/>
          <w:b w:val="0"/>
          <w:i/>
          <w:sz w:val="24"/>
        </w:rPr>
        <w:t>2.12 Chapter Summary</w:t>
      </w:r>
    </w:p>
    <w:p>
      <w:pPr>
        <w:spacing w:line="360" w:lineRule="auto" w:before="0" w:after="120"/>
        <w:jc w:val="both"/>
      </w:pPr>
      <w:r>
        <w:rPr>
          <w:rFonts w:ascii="Times New Roman" w:hAnsi="Times New Roman" w:eastAsia="Times New Roman"/>
          <w:b w:val="0"/>
          <w:i w:val="0"/>
          <w:sz w:val="24"/>
        </w:rPr>
        <w:t>This chapter summarized relevant patent domains, existing trends, and practical future IP pathways.</w:t>
      </w:r>
    </w:p>
    <w:p>
      <w:pPr>
        <w:spacing w:before="240" w:after="120"/>
        <w:jc w:val="left"/>
      </w:pPr>
      <w:r>
        <w:rPr>
          <w:rFonts w:ascii="Times New Roman" w:hAnsi="Times New Roman" w:eastAsia="Times New Roman"/>
          <w:b/>
          <w:i w:val="0"/>
          <w:sz w:val="28"/>
        </w:rPr>
        <w:t>3. OBJECTIVES AND METHODOLOGY</w:t>
      </w:r>
    </w:p>
    <w:p>
      <w:pPr>
        <w:spacing w:before="200" w:after="80"/>
        <w:jc w:val="left"/>
      </w:pPr>
      <w:r>
        <w:rPr>
          <w:rFonts w:ascii="Times New Roman" w:hAnsi="Times New Roman" w:eastAsia="Times New Roman"/>
          <w:b w:val="0"/>
          <w:i/>
          <w:sz w:val="24"/>
        </w:rPr>
        <w:t>3.1 Introduction</w:t>
      </w:r>
    </w:p>
    <w:p>
      <w:pPr>
        <w:spacing w:line="360" w:lineRule="auto" w:before="0" w:after="120"/>
        <w:jc w:val="both"/>
      </w:pPr>
      <w:r>
        <w:rPr>
          <w:rFonts w:ascii="Times New Roman" w:hAnsi="Times New Roman" w:eastAsia="Times New Roman"/>
          <w:b w:val="0"/>
          <w:i w:val="0"/>
          <w:sz w:val="24"/>
        </w:rPr>
        <w:t>This chapter defines project objectives and the methodological framework used to establish biomarker-focused Raman feasibility with future SERS translation.</w:t>
      </w:r>
    </w:p>
    <w:p>
      <w:pPr>
        <w:spacing w:before="200" w:after="80"/>
        <w:jc w:val="left"/>
      </w:pPr>
      <w:r>
        <w:rPr>
          <w:rFonts w:ascii="Times New Roman" w:hAnsi="Times New Roman" w:eastAsia="Times New Roman"/>
          <w:b w:val="0"/>
          <w:i/>
          <w:sz w:val="24"/>
        </w:rPr>
        <w:t>3.2 Research Objectives</w:t>
      </w:r>
    </w:p>
    <w:p>
      <w:pPr>
        <w:spacing w:line="360" w:lineRule="auto" w:before="0" w:after="120"/>
        <w:jc w:val="both"/>
      </w:pPr>
      <w:r>
        <w:rPr>
          <w:rFonts w:ascii="Times New Roman" w:hAnsi="Times New Roman" w:eastAsia="Times New Roman"/>
          <w:b w:val="0"/>
          <w:i w:val="0"/>
          <w:sz w:val="24"/>
        </w:rPr>
        <w:t>Objective 1: Detect Raman signatures of NAM, LTA, and LPS under optimized acquisition conditions.</w:t>
      </w:r>
    </w:p>
    <w:p>
      <w:pPr>
        <w:spacing w:line="360" w:lineRule="auto" w:before="0" w:after="120"/>
        <w:jc w:val="both"/>
      </w:pPr>
      <w:r>
        <w:rPr>
          <w:rFonts w:ascii="Times New Roman" w:hAnsi="Times New Roman" w:eastAsia="Times New Roman"/>
          <w:b w:val="0"/>
          <w:i w:val="0"/>
          <w:sz w:val="24"/>
        </w:rPr>
        <w:t>Objective 2: Validate spectral interpretation using DFT-based vibrational analysis.</w:t>
      </w:r>
    </w:p>
    <w:p>
      <w:pPr>
        <w:spacing w:line="360" w:lineRule="auto" w:before="0" w:after="120"/>
        <w:jc w:val="both"/>
      </w:pPr>
      <w:r>
        <w:rPr>
          <w:rFonts w:ascii="Times New Roman" w:hAnsi="Times New Roman" w:eastAsia="Times New Roman"/>
          <w:b w:val="0"/>
          <w:i w:val="0"/>
          <w:sz w:val="24"/>
        </w:rPr>
        <w:t>Objective 3: Develop a reproducible preprocessing and analysis pipeline.</w:t>
      </w:r>
    </w:p>
    <w:p>
      <w:pPr>
        <w:spacing w:line="360" w:lineRule="auto" w:before="0" w:after="120"/>
        <w:jc w:val="both"/>
      </w:pPr>
      <w:r>
        <w:rPr>
          <w:rFonts w:ascii="Times New Roman" w:hAnsi="Times New Roman" w:eastAsia="Times New Roman"/>
          <w:b w:val="0"/>
          <w:i w:val="0"/>
          <w:sz w:val="24"/>
        </w:rPr>
        <w:t>Objective 4: Define a translational pathway toward a portable SERS screening platform.</w:t>
      </w:r>
    </w:p>
    <w:p>
      <w:pPr>
        <w:spacing w:before="160" w:after="80"/>
        <w:jc w:val="center"/>
      </w:pPr>
      <w:r>
        <w:rPr>
          <w:rFonts w:ascii="Times New Roman" w:hAnsi="Times New Roman" w:eastAsia="Times New Roman"/>
          <w:b w:val="0"/>
          <w:i w:val="0"/>
          <w:sz w:val="24"/>
        </w:rPr>
        <w:t>Table 3.1: Objectives, Methods, and Expected Outputs.</w:t>
      </w:r>
    </w:p>
    <w:p>
      <w:pPr>
        <w:spacing w:line="360" w:lineRule="auto" w:before="0" w:after="120"/>
        <w:jc w:val="both"/>
      </w:pPr>
      <w:r>
        <w:rPr>
          <w:rFonts w:ascii="Times New Roman" w:hAnsi="Times New Roman" w:eastAsia="Times New Roman"/>
          <w:b w:val="0"/>
          <w:i w:val="0"/>
          <w:sz w:val="24"/>
        </w:rPr>
        <w:t>Objective Method Output</w:t>
      </w:r>
    </w:p>
    <w:p>
      <w:pPr>
        <w:spacing w:line="360" w:lineRule="auto" w:before="0" w:after="120"/>
        <w:jc w:val="both"/>
      </w:pPr>
      <w:r>
        <w:rPr>
          <w:rFonts w:ascii="Times New Roman" w:hAnsi="Times New Roman" w:eastAsia="Times New Roman"/>
          <w:b w:val="0"/>
          <w:i w:val="0"/>
          <w:sz w:val="24"/>
        </w:rPr>
        <w:t>Biomarker detection Raman experiments Spectral signature library</w:t>
      </w:r>
    </w:p>
    <w:p>
      <w:pPr>
        <w:spacing w:line="360" w:lineRule="auto" w:before="0" w:after="120"/>
        <w:jc w:val="both"/>
      </w:pPr>
      <w:r>
        <w:rPr>
          <w:rFonts w:ascii="Times New Roman" w:hAnsi="Times New Roman" w:eastAsia="Times New Roman"/>
          <w:b w:val="0"/>
          <w:i w:val="0"/>
          <w:sz w:val="24"/>
        </w:rPr>
        <w:t>Computational validation DFT simulations Peak assignments</w:t>
      </w:r>
    </w:p>
    <w:p>
      <w:pPr>
        <w:spacing w:line="360" w:lineRule="auto" w:before="0" w:after="120"/>
        <w:jc w:val="both"/>
      </w:pPr>
      <w:r>
        <w:rPr>
          <w:rFonts w:ascii="Times New Roman" w:hAnsi="Times New Roman" w:eastAsia="Times New Roman"/>
          <w:b w:val="0"/>
          <w:i w:val="0"/>
          <w:sz w:val="24"/>
        </w:rPr>
        <w:t>Data pipeline Signal processing Reproducible spectra</w:t>
      </w:r>
    </w:p>
    <w:p>
      <w:pPr>
        <w:spacing w:line="360" w:lineRule="auto" w:before="0" w:after="120"/>
        <w:jc w:val="both"/>
      </w:pPr>
      <w:r>
        <w:rPr>
          <w:rFonts w:ascii="Times New Roman" w:hAnsi="Times New Roman" w:eastAsia="Times New Roman"/>
          <w:b w:val="0"/>
          <w:i w:val="0"/>
          <w:sz w:val="24"/>
        </w:rPr>
        <w:t>Translation planning Concept design Future prototype roadmap</w:t>
      </w:r>
    </w:p>
    <w:p>
      <w:pPr>
        <w:spacing w:before="200" w:after="80"/>
        <w:jc w:val="left"/>
      </w:pPr>
      <w:r>
        <w:rPr>
          <w:rFonts w:ascii="Times New Roman" w:hAnsi="Times New Roman" w:eastAsia="Times New Roman"/>
          <w:b w:val="0"/>
          <w:i/>
          <w:sz w:val="24"/>
        </w:rPr>
        <w:t>3.3 Overall Methodological Framework</w:t>
      </w:r>
    </w:p>
    <w:p>
      <w:pPr>
        <w:spacing w:line="360" w:lineRule="auto" w:before="0" w:after="120"/>
        <w:jc w:val="both"/>
      </w:pPr>
      <w:r>
        <w:rPr>
          <w:rFonts w:ascii="Times New Roman" w:hAnsi="Times New Roman" w:eastAsia="Times New Roman"/>
          <w:b w:val="0"/>
          <w:i w:val="0"/>
          <w:sz w:val="24"/>
        </w:rPr>
        <w:t>The workflow was designed as a phased process: biomarker selection, controlled sample preparation, Raman acquisition, preprocessing, peak analysis, DFT validation, and translational planning.</w:t>
      </w:r>
    </w:p>
    <w:p>
      <w:pPr>
        <w:spacing w:before="80" w:after="160"/>
        <w:jc w:val="center"/>
      </w:pPr>
      <w:r>
        <w:rPr>
          <w:rFonts w:ascii="Times New Roman" w:hAnsi="Times New Roman" w:eastAsia="Times New Roman"/>
          <w:b w:val="0"/>
          <w:i w:val="0"/>
          <w:sz w:val="24"/>
        </w:rPr>
        <w:t>Figure 3.1: Full Experimental Workflow.</w:t>
      </w:r>
    </w:p>
    <w:p>
      <w:pPr>
        <w:spacing w:before="200" w:after="80"/>
        <w:jc w:val="left"/>
      </w:pPr>
      <w:r>
        <w:rPr>
          <w:rFonts w:ascii="Times New Roman" w:hAnsi="Times New Roman" w:eastAsia="Times New Roman"/>
          <w:b w:val="0"/>
          <w:i/>
          <w:sz w:val="24"/>
        </w:rPr>
        <w:t>3.4 Phase I - Current Experimental Methodology</w:t>
      </w:r>
    </w:p>
    <w:p>
      <w:pPr>
        <w:spacing w:before="200" w:after="80"/>
        <w:jc w:val="left"/>
      </w:pPr>
      <w:r>
        <w:rPr>
          <w:rFonts w:ascii="Times New Roman" w:hAnsi="Times New Roman" w:eastAsia="Times New Roman"/>
          <w:b w:val="0"/>
          <w:i/>
          <w:sz w:val="24"/>
        </w:rPr>
        <w:t>3.4.1 Biomarker Selection Strategy</w:t>
      </w:r>
    </w:p>
    <w:p>
      <w:pPr>
        <w:spacing w:line="360" w:lineRule="auto" w:before="0" w:after="120"/>
        <w:jc w:val="both"/>
      </w:pPr>
      <w:r>
        <w:rPr>
          <w:rFonts w:ascii="Times New Roman" w:hAnsi="Times New Roman" w:eastAsia="Times New Roman"/>
          <w:b w:val="0"/>
          <w:i w:val="0"/>
          <w:sz w:val="24"/>
        </w:rPr>
        <w:t>Biomarkers were selected based on biological relevance, literature support, and interpretability.</w:t>
      </w:r>
    </w:p>
    <w:p>
      <w:pPr>
        <w:spacing w:before="200" w:after="80"/>
        <w:jc w:val="left"/>
      </w:pPr>
      <w:r>
        <w:rPr>
          <w:rFonts w:ascii="Times New Roman" w:hAnsi="Times New Roman" w:eastAsia="Times New Roman"/>
          <w:b w:val="0"/>
          <w:i/>
          <w:sz w:val="24"/>
        </w:rPr>
        <w:t>3.4.2 Materials and Sample Preparation</w:t>
      </w:r>
    </w:p>
    <w:p>
      <w:pPr>
        <w:spacing w:line="360" w:lineRule="auto" w:before="0" w:after="120"/>
        <w:jc w:val="both"/>
      </w:pPr>
      <w:r>
        <w:rPr>
          <w:rFonts w:ascii="Times New Roman" w:hAnsi="Times New Roman" w:eastAsia="Times New Roman"/>
          <w:b w:val="0"/>
          <w:i w:val="0"/>
          <w:sz w:val="24"/>
        </w:rPr>
        <w:t>Analytical-grade biomolecular standards were used to establish controlled reference spectra.</w:t>
      </w:r>
    </w:p>
    <w:p>
      <w:pPr>
        <w:spacing w:before="160" w:after="80"/>
        <w:jc w:val="center"/>
      </w:pPr>
      <w:r>
        <w:rPr>
          <w:rFonts w:ascii="Times New Roman" w:hAnsi="Times New Roman" w:eastAsia="Times New Roman"/>
          <w:b w:val="0"/>
          <w:i w:val="0"/>
          <w:sz w:val="24"/>
        </w:rPr>
        <w:t>Table 3.2: Experimental Materials Summary.</w:t>
      </w:r>
    </w:p>
    <w:p>
      <w:pPr>
        <w:spacing w:line="360" w:lineRule="auto" w:before="0" w:after="120"/>
        <w:jc w:val="both"/>
      </w:pPr>
      <w:r>
        <w:rPr>
          <w:rFonts w:ascii="Times New Roman" w:hAnsi="Times New Roman" w:eastAsia="Times New Roman"/>
          <w:b w:val="0"/>
          <w:i w:val="0"/>
          <w:sz w:val="24"/>
        </w:rPr>
        <w:t>Material Purpose Status</w:t>
      </w:r>
    </w:p>
    <w:p>
      <w:pPr>
        <w:spacing w:line="360" w:lineRule="auto" w:before="0" w:after="120"/>
        <w:jc w:val="both"/>
      </w:pPr>
      <w:r>
        <w:rPr>
          <w:rFonts w:ascii="Times New Roman" w:hAnsi="Times New Roman" w:eastAsia="Times New Roman"/>
          <w:b w:val="0"/>
          <w:i w:val="0"/>
          <w:sz w:val="24"/>
        </w:rPr>
        <w:t>NAM General biomarker study Completed</w:t>
      </w:r>
    </w:p>
    <w:p>
      <w:pPr>
        <w:spacing w:line="360" w:lineRule="auto" w:before="0" w:after="120"/>
        <w:jc w:val="both"/>
      </w:pPr>
      <w:r>
        <w:rPr>
          <w:rFonts w:ascii="Times New Roman" w:hAnsi="Times New Roman" w:eastAsia="Times New Roman"/>
          <w:b w:val="0"/>
          <w:i w:val="0"/>
          <w:sz w:val="24"/>
        </w:rPr>
        <w:t>LTA Gram-positive biomarker Completed</w:t>
      </w:r>
    </w:p>
    <w:p>
      <w:pPr>
        <w:spacing w:line="360" w:lineRule="auto" w:before="0" w:after="120"/>
        <w:jc w:val="both"/>
      </w:pPr>
      <w:r>
        <w:rPr>
          <w:rFonts w:ascii="Times New Roman" w:hAnsi="Times New Roman" w:eastAsia="Times New Roman"/>
          <w:b w:val="0"/>
          <w:i w:val="0"/>
          <w:sz w:val="24"/>
        </w:rPr>
        <w:t>LPS Gram-negative biomarker Ongoing</w:t>
      </w:r>
    </w:p>
    <w:p>
      <w:pPr>
        <w:spacing w:line="360" w:lineRule="auto" w:before="0" w:after="120"/>
        <w:jc w:val="both"/>
      </w:pPr>
      <w:r>
        <w:rPr>
          <w:rFonts w:ascii="Times New Roman" w:hAnsi="Times New Roman" w:eastAsia="Times New Roman"/>
          <w:b w:val="0"/>
          <w:i w:val="0"/>
          <w:sz w:val="24"/>
        </w:rPr>
        <w:t>Rhodamine B Reference workflow validation Completed</w:t>
      </w:r>
    </w:p>
    <w:p>
      <w:pPr>
        <w:spacing w:before="200" w:after="80"/>
        <w:jc w:val="left"/>
      </w:pPr>
      <w:r>
        <w:rPr>
          <w:rFonts w:ascii="Times New Roman" w:hAnsi="Times New Roman" w:eastAsia="Times New Roman"/>
          <w:b w:val="0"/>
          <w:i/>
          <w:sz w:val="24"/>
        </w:rPr>
        <w:t>3.4.3 Raman Instrumentation</w:t>
      </w:r>
    </w:p>
    <w:p>
      <w:pPr>
        <w:spacing w:line="360" w:lineRule="auto" w:before="0" w:after="120"/>
        <w:jc w:val="both"/>
      </w:pPr>
      <w:r>
        <w:rPr>
          <w:rFonts w:ascii="Times New Roman" w:hAnsi="Times New Roman" w:eastAsia="Times New Roman"/>
          <w:b w:val="0"/>
          <w:i w:val="0"/>
          <w:sz w:val="24"/>
        </w:rPr>
        <w:t>Acquisition variables included laser power, integration time, accumulations, spectral range, and replicate scans.</w:t>
      </w:r>
    </w:p>
    <w:p>
      <w:pPr>
        <w:spacing w:before="160" w:after="80"/>
        <w:jc w:val="center"/>
      </w:pPr>
      <w:r>
        <w:rPr>
          <w:rFonts w:ascii="Times New Roman" w:hAnsi="Times New Roman" w:eastAsia="Times New Roman"/>
          <w:b w:val="0"/>
          <w:i w:val="0"/>
          <w:sz w:val="24"/>
        </w:rPr>
        <w:t>Table 3.3: Instrument and Acquisition Parameters.</w:t>
      </w:r>
    </w:p>
    <w:p>
      <w:pPr>
        <w:spacing w:line="360" w:lineRule="auto" w:before="0" w:after="120"/>
        <w:jc w:val="both"/>
      </w:pPr>
      <w:r>
        <w:rPr>
          <w:rFonts w:ascii="Times New Roman" w:hAnsi="Times New Roman" w:eastAsia="Times New Roman"/>
          <w:b w:val="0"/>
          <w:i w:val="0"/>
          <w:sz w:val="24"/>
        </w:rPr>
        <w:t>(Insert instrument-specific values.)</w:t>
      </w:r>
    </w:p>
    <w:p>
      <w:pPr>
        <w:spacing w:before="200" w:after="80"/>
        <w:jc w:val="left"/>
      </w:pPr>
      <w:r>
        <w:rPr>
          <w:rFonts w:ascii="Times New Roman" w:hAnsi="Times New Roman" w:eastAsia="Times New Roman"/>
          <w:b w:val="0"/>
          <w:i/>
          <w:sz w:val="24"/>
        </w:rPr>
        <w:t>3.4.4 Experimental Design and Optimization</w:t>
      </w:r>
    </w:p>
    <w:p>
      <w:pPr>
        <w:spacing w:line="360" w:lineRule="auto" w:before="0" w:after="120"/>
        <w:jc w:val="both"/>
      </w:pPr>
      <w:r>
        <w:rPr>
          <w:rFonts w:ascii="Times New Roman" w:hAnsi="Times New Roman" w:eastAsia="Times New Roman"/>
          <w:b w:val="0"/>
          <w:i w:val="0"/>
          <w:sz w:val="24"/>
        </w:rPr>
        <w:t>Systematic condition matrices were used to identify robust settings for quality and reproducibility.</w:t>
      </w:r>
    </w:p>
    <w:p>
      <w:pPr>
        <w:spacing w:before="200" w:after="80"/>
        <w:jc w:val="left"/>
      </w:pPr>
      <w:r>
        <w:rPr>
          <w:rFonts w:ascii="Times New Roman" w:hAnsi="Times New Roman" w:eastAsia="Times New Roman"/>
          <w:b w:val="0"/>
          <w:i/>
          <w:sz w:val="24"/>
        </w:rPr>
        <w:t>3.4.5 Raw Data Preprocessing Pipeline</w:t>
      </w:r>
    </w:p>
    <w:p>
      <w:pPr>
        <w:spacing w:line="360" w:lineRule="auto" w:before="0" w:after="120"/>
        <w:jc w:val="both"/>
      </w:pPr>
      <w:r>
        <w:rPr>
          <w:rFonts w:ascii="Times New Roman" w:hAnsi="Times New Roman" w:eastAsia="Times New Roman"/>
          <w:b w:val="0"/>
          <w:i w:val="0"/>
          <w:sz w:val="24"/>
        </w:rPr>
        <w:t>Preprocessing included dark correction (where applicable), ALS baseline correction, Savitzky-Golay smoothing, normalization, and peak annotation.</w:t>
      </w:r>
    </w:p>
    <w:p>
      <w:pPr>
        <w:spacing w:before="200" w:after="80"/>
        <w:jc w:val="left"/>
      </w:pPr>
      <w:r>
        <w:rPr>
          <w:rFonts w:ascii="Times New Roman" w:hAnsi="Times New Roman" w:eastAsia="Times New Roman"/>
          <w:b w:val="0"/>
          <w:i/>
          <w:sz w:val="24"/>
        </w:rPr>
        <w:t>3.4.6 Signal-to-Noise Ratio (SNR) Analysis</w:t>
      </w:r>
    </w:p>
    <w:p>
      <w:pPr>
        <w:spacing w:line="360" w:lineRule="auto" w:before="0" w:after="120"/>
        <w:jc w:val="both"/>
      </w:pPr>
      <w:r>
        <w:rPr>
          <w:rFonts w:ascii="Times New Roman" w:hAnsi="Times New Roman" w:eastAsia="Times New Roman"/>
          <w:b w:val="0"/>
          <w:i w:val="0"/>
          <w:sz w:val="24"/>
        </w:rPr>
        <w:t>Equation (3.1): SNR = Isignal / sigmanoise</w:t>
      </w:r>
    </w:p>
    <w:p>
      <w:pPr>
        <w:spacing w:before="200" w:after="80"/>
        <w:jc w:val="left"/>
      </w:pPr>
      <w:r>
        <w:rPr>
          <w:rFonts w:ascii="Times New Roman" w:hAnsi="Times New Roman" w:eastAsia="Times New Roman"/>
          <w:b w:val="0"/>
          <w:i/>
          <w:sz w:val="24"/>
        </w:rPr>
        <w:t>3.5 Computational Methodology (DFT)</w:t>
      </w:r>
    </w:p>
    <w:p>
      <w:pPr>
        <w:spacing w:before="200" w:after="80"/>
        <w:jc w:val="left"/>
      </w:pPr>
      <w:r>
        <w:rPr>
          <w:rFonts w:ascii="Times New Roman" w:hAnsi="Times New Roman" w:eastAsia="Times New Roman"/>
          <w:b w:val="0"/>
          <w:i/>
          <w:sz w:val="24"/>
        </w:rPr>
        <w:t>3.5.1 Software Environment</w:t>
      </w:r>
    </w:p>
    <w:p>
      <w:pPr>
        <w:spacing w:line="360" w:lineRule="auto" w:before="0" w:after="120"/>
        <w:jc w:val="both"/>
      </w:pPr>
      <w:r>
        <w:rPr>
          <w:rFonts w:ascii="Times New Roman" w:hAnsi="Times New Roman" w:eastAsia="Times New Roman"/>
          <w:b w:val="0"/>
          <w:i w:val="0"/>
          <w:sz w:val="24"/>
        </w:rPr>
        <w:t>DFT and molecular visualization tools were used for vibrational interpretation.</w:t>
      </w:r>
    </w:p>
    <w:p>
      <w:pPr>
        <w:spacing w:before="200" w:after="80"/>
        <w:jc w:val="left"/>
      </w:pPr>
      <w:r>
        <w:rPr>
          <w:rFonts w:ascii="Times New Roman" w:hAnsi="Times New Roman" w:eastAsia="Times New Roman"/>
          <w:b w:val="0"/>
          <w:i/>
          <w:sz w:val="24"/>
        </w:rPr>
        <w:t>3.5.2 General Workflow</w:t>
      </w:r>
    </w:p>
    <w:p>
      <w:pPr>
        <w:spacing w:line="360" w:lineRule="auto" w:before="0" w:after="120"/>
        <w:jc w:val="both"/>
      </w:pPr>
      <w:r>
        <w:rPr>
          <w:rFonts w:ascii="Times New Roman" w:hAnsi="Times New Roman" w:eastAsia="Times New Roman"/>
          <w:b w:val="0"/>
          <w:i w:val="0"/>
          <w:sz w:val="24"/>
        </w:rPr>
        <w:t>Structure preparation, optimization, frequency calculation, scaling, and spectrum comparison were performed.</w:t>
      </w:r>
    </w:p>
    <w:p>
      <w:pPr>
        <w:spacing w:before="200" w:after="80"/>
        <w:jc w:val="left"/>
      </w:pPr>
      <w:r>
        <w:rPr>
          <w:rFonts w:ascii="Times New Roman" w:hAnsi="Times New Roman" w:eastAsia="Times New Roman"/>
          <w:b w:val="0"/>
          <w:i/>
          <w:sz w:val="24"/>
        </w:rPr>
        <w:t>3.5.3 Typical Computational Settings</w:t>
      </w:r>
    </w:p>
    <w:p>
      <w:pPr>
        <w:spacing w:line="360" w:lineRule="auto" w:before="0" w:after="120"/>
        <w:jc w:val="both"/>
      </w:pPr>
      <w:r>
        <w:rPr>
          <w:rFonts w:ascii="Times New Roman" w:hAnsi="Times New Roman" w:eastAsia="Times New Roman"/>
          <w:b w:val="0"/>
          <w:i w:val="0"/>
          <w:sz w:val="24"/>
        </w:rPr>
        <w:t>Representative functionals and basis sets were selected according to standard computational spectroscopy practice.</w:t>
      </w:r>
    </w:p>
    <w:p>
      <w:pPr>
        <w:spacing w:before="200" w:after="80"/>
        <w:jc w:val="left"/>
      </w:pPr>
      <w:r>
        <w:rPr>
          <w:rFonts w:ascii="Times New Roman" w:hAnsi="Times New Roman" w:eastAsia="Times New Roman"/>
          <w:b w:val="0"/>
          <w:i/>
          <w:sz w:val="24"/>
        </w:rPr>
        <w:t>3.5.4 Frequency Scaling</w:t>
      </w:r>
    </w:p>
    <w:p>
      <w:pPr>
        <w:spacing w:line="360" w:lineRule="auto" w:before="0" w:after="120"/>
        <w:jc w:val="both"/>
      </w:pPr>
      <w:r>
        <w:rPr>
          <w:rFonts w:ascii="Times New Roman" w:hAnsi="Times New Roman" w:eastAsia="Times New Roman"/>
          <w:b w:val="0"/>
          <w:i w:val="0"/>
          <w:sz w:val="24"/>
        </w:rPr>
        <w:t>Equation (3.2): nuscaled = nucalc x f</w:t>
      </w:r>
    </w:p>
    <w:p>
      <w:pPr>
        <w:spacing w:before="200" w:after="80"/>
        <w:jc w:val="left"/>
      </w:pPr>
      <w:r>
        <w:rPr>
          <w:rFonts w:ascii="Times New Roman" w:hAnsi="Times New Roman" w:eastAsia="Times New Roman"/>
          <w:b w:val="0"/>
          <w:i/>
          <w:sz w:val="24"/>
        </w:rPr>
        <w:t>3.5.5 Comparison Metrics</w:t>
      </w:r>
    </w:p>
    <w:p>
      <w:pPr>
        <w:spacing w:line="360" w:lineRule="auto" w:before="0" w:after="120"/>
        <w:jc w:val="both"/>
      </w:pPr>
      <w:r>
        <w:rPr>
          <w:rFonts w:ascii="Times New Roman" w:hAnsi="Times New Roman" w:eastAsia="Times New Roman"/>
          <w:b w:val="0"/>
          <w:i w:val="0"/>
          <w:sz w:val="24"/>
        </w:rPr>
        <w:t>Peak match count, mean absolute deviation, and RMSE were used to evaluate agreement quality.</w:t>
      </w:r>
    </w:p>
    <w:p>
      <w:pPr>
        <w:spacing w:before="200" w:after="80"/>
        <w:jc w:val="left"/>
      </w:pPr>
      <w:r>
        <w:rPr>
          <w:rFonts w:ascii="Times New Roman" w:hAnsi="Times New Roman" w:eastAsia="Times New Roman"/>
          <w:b w:val="0"/>
          <w:i/>
          <w:sz w:val="24"/>
        </w:rPr>
        <w:t>3.5.6 Component-Based Modeling for Large Molecules</w:t>
      </w:r>
    </w:p>
    <w:p>
      <w:pPr>
        <w:spacing w:line="360" w:lineRule="auto" w:before="0" w:after="120"/>
        <w:jc w:val="both"/>
      </w:pPr>
      <w:r>
        <w:rPr>
          <w:rFonts w:ascii="Times New Roman" w:hAnsi="Times New Roman" w:eastAsia="Times New Roman"/>
          <w:b w:val="0"/>
          <w:i w:val="0"/>
          <w:sz w:val="24"/>
        </w:rPr>
        <w:t>Fragment-based modeling was used for large biomolecules to preserve interpretability while maintaining feasibility.</w:t>
      </w:r>
    </w:p>
    <w:p>
      <w:pPr>
        <w:spacing w:before="200" w:after="80"/>
        <w:jc w:val="left"/>
      </w:pPr>
      <w:r>
        <w:rPr>
          <w:rFonts w:ascii="Times New Roman" w:hAnsi="Times New Roman" w:eastAsia="Times New Roman"/>
          <w:b w:val="0"/>
          <w:i/>
          <w:sz w:val="24"/>
        </w:rPr>
        <w:t>3.6 Validation Framework</w:t>
      </w:r>
    </w:p>
    <w:p>
      <w:pPr>
        <w:spacing w:line="360" w:lineRule="auto" w:before="0" w:after="120"/>
        <w:jc w:val="both"/>
      </w:pPr>
      <w:r>
        <w:rPr>
          <w:rFonts w:ascii="Times New Roman" w:hAnsi="Times New Roman" w:eastAsia="Times New Roman"/>
          <w:b w:val="0"/>
          <w:i w:val="0"/>
          <w:sz w:val="24"/>
        </w:rPr>
        <w:t>A three-layer framework was adopted: experimental evidence, DFT-supported interpretation, and literature consistency.</w:t>
      </w:r>
    </w:p>
    <w:p>
      <w:pPr>
        <w:spacing w:before="200" w:after="80"/>
        <w:jc w:val="left"/>
      </w:pPr>
      <w:r>
        <w:rPr>
          <w:rFonts w:ascii="Times New Roman" w:hAnsi="Times New Roman" w:eastAsia="Times New Roman"/>
          <w:b w:val="0"/>
          <w:i/>
          <w:sz w:val="24"/>
        </w:rPr>
        <w:t>3.7 Current Status of Method Execution</w:t>
      </w:r>
    </w:p>
    <w:p>
      <w:pPr>
        <w:spacing w:line="360" w:lineRule="auto" w:before="0" w:after="120"/>
        <w:jc w:val="both"/>
      </w:pPr>
      <w:r>
        <w:rPr>
          <w:rFonts w:ascii="Times New Roman" w:hAnsi="Times New Roman" w:eastAsia="Times New Roman"/>
          <w:b w:val="0"/>
          <w:i w:val="0"/>
          <w:sz w:val="24"/>
        </w:rPr>
        <w:t>Completed: NAM and LTA Raman analysis, preprocessing workflow, and DFT framework.</w:t>
      </w:r>
    </w:p>
    <w:p>
      <w:pPr>
        <w:spacing w:line="360" w:lineRule="auto" w:before="0" w:after="120"/>
        <w:jc w:val="both"/>
      </w:pPr>
      <w:r>
        <w:rPr>
          <w:rFonts w:ascii="Times New Roman" w:hAnsi="Times New Roman" w:eastAsia="Times New Roman"/>
          <w:b w:val="0"/>
          <w:i w:val="0"/>
          <w:sz w:val="24"/>
        </w:rPr>
        <w:t>Ongoing: LPS expansion and reproducibility studies.</w:t>
      </w:r>
    </w:p>
    <w:p>
      <w:pPr>
        <w:spacing w:line="360" w:lineRule="auto" w:before="0" w:after="120"/>
        <w:jc w:val="both"/>
      </w:pPr>
      <w:r>
        <w:rPr>
          <w:rFonts w:ascii="Times New Roman" w:hAnsi="Times New Roman" w:eastAsia="Times New Roman"/>
          <w:b w:val="0"/>
          <w:i w:val="0"/>
          <w:sz w:val="24"/>
        </w:rPr>
        <w:t>Future: SERS integration, AI modeling, and clinical benchmarking.</w:t>
      </w:r>
    </w:p>
    <w:p>
      <w:pPr>
        <w:spacing w:before="200" w:after="80"/>
        <w:jc w:val="left"/>
      </w:pPr>
      <w:r>
        <w:rPr>
          <w:rFonts w:ascii="Times New Roman" w:hAnsi="Times New Roman" w:eastAsia="Times New Roman"/>
          <w:b w:val="0"/>
          <w:i/>
          <w:sz w:val="24"/>
        </w:rPr>
        <w:t>3.8 Methodological Strengths</w:t>
      </w:r>
    </w:p>
    <w:p>
      <w:pPr>
        <w:spacing w:line="360" w:lineRule="auto" w:before="0" w:after="120"/>
        <w:jc w:val="both"/>
      </w:pPr>
      <w:r>
        <w:rPr>
          <w:rFonts w:ascii="Times New Roman" w:hAnsi="Times New Roman" w:eastAsia="Times New Roman"/>
          <w:b w:val="0"/>
          <w:i w:val="0"/>
          <w:sz w:val="24"/>
        </w:rPr>
        <w:t>The methodology is structured, reproducible, and explainable, with clear progression from feasibility to translational readiness.</w:t>
      </w:r>
    </w:p>
    <w:p>
      <w:pPr>
        <w:spacing w:before="200" w:after="80"/>
        <w:jc w:val="left"/>
      </w:pPr>
      <w:r>
        <w:rPr>
          <w:rFonts w:ascii="Times New Roman" w:hAnsi="Times New Roman" w:eastAsia="Times New Roman"/>
          <w:b w:val="0"/>
          <w:i/>
          <w:sz w:val="24"/>
        </w:rPr>
        <w:t>3.9 Chapter Summary</w:t>
      </w:r>
    </w:p>
    <w:p>
      <w:pPr>
        <w:spacing w:line="360" w:lineRule="auto" w:before="0" w:after="120"/>
        <w:jc w:val="both"/>
      </w:pPr>
      <w:r>
        <w:rPr>
          <w:rFonts w:ascii="Times New Roman" w:hAnsi="Times New Roman" w:eastAsia="Times New Roman"/>
          <w:b w:val="0"/>
          <w:i w:val="0"/>
          <w:sz w:val="24"/>
        </w:rPr>
        <w:t>This chapter presented objectives, workflow design, computational support, and implementation status.</w:t>
      </w:r>
    </w:p>
    <w:p>
      <w:pPr>
        <w:spacing w:before="240" w:after="120"/>
        <w:jc w:val="left"/>
      </w:pPr>
      <w:r>
        <w:rPr>
          <w:rFonts w:ascii="Times New Roman" w:hAnsi="Times New Roman" w:eastAsia="Times New Roman"/>
          <w:b/>
          <w:i w:val="0"/>
          <w:sz w:val="28"/>
        </w:rPr>
        <w:t>4. DETAIL OF WORK DONE</w:t>
      </w:r>
    </w:p>
    <w:p>
      <w:pPr>
        <w:spacing w:before="200" w:after="80"/>
        <w:jc w:val="left"/>
      </w:pPr>
      <w:r>
        <w:rPr>
          <w:rFonts w:ascii="Times New Roman" w:hAnsi="Times New Roman" w:eastAsia="Times New Roman"/>
          <w:b w:val="0"/>
          <w:i/>
          <w:sz w:val="24"/>
        </w:rPr>
        <w:t>4.1 Introduction</w:t>
      </w:r>
    </w:p>
    <w:p>
      <w:pPr>
        <w:spacing w:line="360" w:lineRule="auto" w:before="0" w:after="120"/>
        <w:jc w:val="both"/>
      </w:pPr>
      <w:r>
        <w:rPr>
          <w:rFonts w:ascii="Times New Roman" w:hAnsi="Times New Roman" w:eastAsia="Times New Roman"/>
          <w:b w:val="0"/>
          <w:i w:val="0"/>
          <w:sz w:val="24"/>
        </w:rPr>
        <w:t>This chapter presents the executed experimental and computational work, including optimization, validation, and interpretation outcomes.</w:t>
      </w:r>
    </w:p>
    <w:p>
      <w:pPr>
        <w:spacing w:before="200" w:after="80"/>
        <w:jc w:val="left"/>
      </w:pPr>
      <w:r>
        <w:rPr>
          <w:rFonts w:ascii="Times New Roman" w:hAnsi="Times New Roman" w:eastAsia="Times New Roman"/>
          <w:b w:val="0"/>
          <w:i/>
          <w:sz w:val="24"/>
        </w:rPr>
        <w:t>4.2 Research Execution Summary</w:t>
      </w:r>
    </w:p>
    <w:p>
      <w:pPr>
        <w:spacing w:before="160" w:after="80"/>
        <w:jc w:val="center"/>
      </w:pPr>
      <w:r>
        <w:rPr>
          <w:rFonts w:ascii="Times New Roman" w:hAnsi="Times New Roman" w:eastAsia="Times New Roman"/>
          <w:b w:val="0"/>
          <w:i w:val="0"/>
          <w:sz w:val="24"/>
        </w:rPr>
        <w:t>Table 4.1: Work Status Summary.</w:t>
      </w:r>
    </w:p>
    <w:p>
      <w:pPr>
        <w:spacing w:line="360" w:lineRule="auto" w:before="0" w:after="120"/>
        <w:jc w:val="both"/>
      </w:pPr>
      <w:r>
        <w:rPr>
          <w:rFonts w:ascii="Times New Roman" w:hAnsi="Times New Roman" w:eastAsia="Times New Roman"/>
          <w:b w:val="0"/>
          <w:i w:val="0"/>
          <w:sz w:val="24"/>
        </w:rPr>
        <w:t>Activity Status</w:t>
      </w:r>
    </w:p>
    <w:p>
      <w:pPr>
        <w:spacing w:line="360" w:lineRule="auto" w:before="0" w:after="120"/>
        <w:jc w:val="both"/>
      </w:pPr>
      <w:r>
        <w:rPr>
          <w:rFonts w:ascii="Times New Roman" w:hAnsi="Times New Roman" w:eastAsia="Times New Roman"/>
          <w:b w:val="0"/>
          <w:i w:val="0"/>
          <w:sz w:val="24"/>
        </w:rPr>
        <w:t>NAM Raman Completed</w:t>
      </w:r>
    </w:p>
    <w:p>
      <w:pPr>
        <w:spacing w:line="360" w:lineRule="auto" w:before="0" w:after="120"/>
        <w:jc w:val="both"/>
      </w:pPr>
      <w:r>
        <w:rPr>
          <w:rFonts w:ascii="Times New Roman" w:hAnsi="Times New Roman" w:eastAsia="Times New Roman"/>
          <w:b w:val="0"/>
          <w:i w:val="0"/>
          <w:sz w:val="24"/>
        </w:rPr>
        <w:t>NAM DFT Completed</w:t>
      </w:r>
    </w:p>
    <w:p>
      <w:pPr>
        <w:spacing w:line="360" w:lineRule="auto" w:before="0" w:after="120"/>
        <w:jc w:val="both"/>
      </w:pPr>
      <w:r>
        <w:rPr>
          <w:rFonts w:ascii="Times New Roman" w:hAnsi="Times New Roman" w:eastAsia="Times New Roman"/>
          <w:b w:val="0"/>
          <w:i w:val="0"/>
          <w:sz w:val="24"/>
        </w:rPr>
        <w:t>LTA Raman Completed</w:t>
      </w:r>
    </w:p>
    <w:p>
      <w:pPr>
        <w:spacing w:line="360" w:lineRule="auto" w:before="0" w:after="120"/>
        <w:jc w:val="both"/>
      </w:pPr>
      <w:r>
        <w:rPr>
          <w:rFonts w:ascii="Times New Roman" w:hAnsi="Times New Roman" w:eastAsia="Times New Roman"/>
          <w:b w:val="0"/>
          <w:i w:val="0"/>
          <w:sz w:val="24"/>
        </w:rPr>
        <w:t>LTA component modeling Completed</w:t>
      </w:r>
    </w:p>
    <w:p>
      <w:pPr>
        <w:spacing w:line="360" w:lineRule="auto" w:before="0" w:after="120"/>
        <w:jc w:val="both"/>
      </w:pPr>
      <w:r>
        <w:rPr>
          <w:rFonts w:ascii="Times New Roman" w:hAnsi="Times New Roman" w:eastAsia="Times New Roman"/>
          <w:b w:val="0"/>
          <w:i w:val="0"/>
          <w:sz w:val="24"/>
        </w:rPr>
        <w:t>LPS study Ongoing</w:t>
      </w:r>
    </w:p>
    <w:p>
      <w:pPr>
        <w:spacing w:line="360" w:lineRule="auto" w:before="0" w:after="120"/>
        <w:jc w:val="both"/>
      </w:pPr>
      <w:r>
        <w:rPr>
          <w:rFonts w:ascii="Times New Roman" w:hAnsi="Times New Roman" w:eastAsia="Times New Roman"/>
          <w:b w:val="0"/>
          <w:i w:val="0"/>
          <w:sz w:val="24"/>
        </w:rPr>
        <w:t>Dilution studies Ongoing</w:t>
      </w:r>
    </w:p>
    <w:p>
      <w:pPr>
        <w:spacing w:line="360" w:lineRule="auto" w:before="0" w:after="120"/>
        <w:jc w:val="both"/>
      </w:pPr>
      <w:r>
        <w:rPr>
          <w:rFonts w:ascii="Times New Roman" w:hAnsi="Times New Roman" w:eastAsia="Times New Roman"/>
          <w:b w:val="0"/>
          <w:i w:val="0"/>
          <w:sz w:val="24"/>
        </w:rPr>
        <w:t>Portable prototype Future</w:t>
      </w:r>
    </w:p>
    <w:p>
      <w:pPr>
        <w:spacing w:before="200" w:after="80"/>
        <w:jc w:val="left"/>
      </w:pPr>
      <w:r>
        <w:rPr>
          <w:rFonts w:ascii="Times New Roman" w:hAnsi="Times New Roman" w:eastAsia="Times New Roman"/>
          <w:b w:val="0"/>
          <w:i/>
          <w:sz w:val="24"/>
        </w:rPr>
        <w:t>4.3 Stage I - Workflow Validation Using Rhodamine B</w:t>
      </w:r>
    </w:p>
    <w:p>
      <w:pPr>
        <w:spacing w:line="360" w:lineRule="auto" w:before="0" w:after="120"/>
        <w:jc w:val="both"/>
      </w:pPr>
      <w:r>
        <w:rPr>
          <w:rFonts w:ascii="Times New Roman" w:hAnsi="Times New Roman" w:eastAsia="Times New Roman"/>
          <w:b w:val="0"/>
          <w:i w:val="0"/>
          <w:sz w:val="24"/>
        </w:rPr>
        <w:t>Rhodamine B was used as a reference molecule to validate the analysis pipeline before biomarker-specific interpretation.</w:t>
      </w:r>
    </w:p>
    <w:p>
      <w:pPr>
        <w:spacing w:before="80" w:after="160"/>
        <w:jc w:val="center"/>
      </w:pPr>
      <w:r>
        <w:rPr>
          <w:rFonts w:ascii="Times New Roman" w:hAnsi="Times New Roman" w:eastAsia="Times New Roman"/>
          <w:b w:val="0"/>
          <w:i w:val="0"/>
          <w:sz w:val="24"/>
        </w:rPr>
        <w:t>Figure 4.1: Rhodamine B Molecular Structure.</w:t>
      </w:r>
    </w:p>
    <w:p>
      <w:pPr>
        <w:spacing w:before="80" w:after="160"/>
        <w:jc w:val="center"/>
      </w:pPr>
      <w:r>
        <w:rPr>
          <w:rFonts w:ascii="Times New Roman" w:hAnsi="Times New Roman" w:eastAsia="Times New Roman"/>
          <w:b w:val="0"/>
          <w:i w:val="0"/>
          <w:sz w:val="24"/>
        </w:rPr>
        <w:t>Figure 4.2: Rhodamine B Experimental vs Simulated Spectrum.</w:t>
      </w:r>
    </w:p>
    <w:p>
      <w:pPr>
        <w:spacing w:before="200" w:after="80"/>
        <w:jc w:val="left"/>
      </w:pPr>
      <w:r>
        <w:rPr>
          <w:rFonts w:ascii="Times New Roman" w:hAnsi="Times New Roman" w:eastAsia="Times New Roman"/>
          <w:b w:val="0"/>
          <w:i/>
          <w:sz w:val="24"/>
        </w:rPr>
        <w:t>4.4 Stage II - Experimental Raman Study of NAM</w:t>
      </w:r>
    </w:p>
    <w:p>
      <w:pPr>
        <w:spacing w:line="360" w:lineRule="auto" w:before="0" w:after="120"/>
        <w:jc w:val="both"/>
      </w:pPr>
      <w:r>
        <w:rPr>
          <w:rFonts w:ascii="Times New Roman" w:hAnsi="Times New Roman" w:eastAsia="Times New Roman"/>
          <w:b w:val="0"/>
          <w:i w:val="0"/>
          <w:sz w:val="24"/>
        </w:rPr>
        <w:t>NAM spectra were collected across multiple settings, preprocessed, and ranked using SNR to select optimal conditions.</w:t>
      </w:r>
    </w:p>
    <w:p>
      <w:pPr>
        <w:spacing w:before="160" w:after="80"/>
        <w:jc w:val="center"/>
      </w:pPr>
      <w:r>
        <w:rPr>
          <w:rFonts w:ascii="Times New Roman" w:hAnsi="Times New Roman" w:eastAsia="Times New Roman"/>
          <w:b w:val="0"/>
          <w:i w:val="0"/>
          <w:sz w:val="24"/>
        </w:rPr>
        <w:t>Table 4.2: NAM Experimental Conditions.</w:t>
      </w:r>
    </w:p>
    <w:p>
      <w:pPr>
        <w:spacing w:before="80" w:after="160"/>
        <w:jc w:val="center"/>
      </w:pPr>
      <w:r>
        <w:rPr>
          <w:rFonts w:ascii="Times New Roman" w:hAnsi="Times New Roman" w:eastAsia="Times New Roman"/>
          <w:b w:val="0"/>
          <w:i w:val="0"/>
          <w:sz w:val="24"/>
        </w:rPr>
        <w:t>Figure 4.3: Raw vs Processed NAM Spectrum.</w:t>
      </w:r>
    </w:p>
    <w:p>
      <w:pPr>
        <w:spacing w:before="80" w:after="160"/>
        <w:jc w:val="center"/>
      </w:pPr>
      <w:r>
        <w:rPr>
          <w:rFonts w:ascii="Times New Roman" w:hAnsi="Times New Roman" w:eastAsia="Times New Roman"/>
          <w:b w:val="0"/>
          <w:i w:val="0"/>
          <w:sz w:val="24"/>
        </w:rPr>
        <w:t>Figure 4.4: NAM SNR Ranking Chart.</w:t>
      </w:r>
    </w:p>
    <w:p>
      <w:pPr>
        <w:spacing w:before="80" w:after="160"/>
        <w:jc w:val="center"/>
      </w:pPr>
      <w:r>
        <w:rPr>
          <w:rFonts w:ascii="Times New Roman" w:hAnsi="Times New Roman" w:eastAsia="Times New Roman"/>
          <w:b w:val="0"/>
          <w:i w:val="0"/>
          <w:sz w:val="24"/>
        </w:rPr>
        <w:t>Figure 4.5: NAM Optimization Heatmap.</w:t>
      </w:r>
    </w:p>
    <w:p>
      <w:pPr>
        <w:spacing w:before="80" w:after="160"/>
        <w:jc w:val="center"/>
      </w:pPr>
      <w:r>
        <w:rPr>
          <w:rFonts w:ascii="Times New Roman" w:hAnsi="Times New Roman" w:eastAsia="Times New Roman"/>
          <w:b w:val="0"/>
          <w:i w:val="0"/>
          <w:sz w:val="24"/>
        </w:rPr>
        <w:t>Figure 4.6: Best NAM Spectrum with Peak Labels.</w:t>
      </w:r>
    </w:p>
    <w:p>
      <w:pPr>
        <w:spacing w:before="160" w:after="80"/>
        <w:jc w:val="center"/>
      </w:pPr>
      <w:r>
        <w:rPr>
          <w:rFonts w:ascii="Times New Roman" w:hAnsi="Times New Roman" w:eastAsia="Times New Roman"/>
          <w:b w:val="0"/>
          <w:i w:val="0"/>
          <w:sz w:val="24"/>
        </w:rPr>
        <w:t>Table 4.3: NAM Experimental Peak Table.</w:t>
      </w:r>
    </w:p>
    <w:p>
      <w:pPr>
        <w:spacing w:before="200" w:after="80"/>
        <w:jc w:val="left"/>
      </w:pPr>
      <w:r>
        <w:rPr>
          <w:rFonts w:ascii="Times New Roman" w:hAnsi="Times New Roman" w:eastAsia="Times New Roman"/>
          <w:b w:val="0"/>
          <w:i/>
          <w:sz w:val="24"/>
        </w:rPr>
        <w:t>4.5 Stage III - DFT Validation of NAM</w:t>
      </w:r>
    </w:p>
    <w:p>
      <w:pPr>
        <w:spacing w:line="360" w:lineRule="auto" w:before="0" w:after="120"/>
        <w:jc w:val="both"/>
      </w:pPr>
      <w:r>
        <w:rPr>
          <w:rFonts w:ascii="Times New Roman" w:hAnsi="Times New Roman" w:eastAsia="Times New Roman"/>
          <w:b w:val="0"/>
          <w:i w:val="0"/>
          <w:sz w:val="24"/>
        </w:rPr>
        <w:t>DFT-generated frequencies were compared with experimental peaks to support assignment confidence.</w:t>
      </w:r>
    </w:p>
    <w:p>
      <w:pPr>
        <w:spacing w:before="80" w:after="160"/>
        <w:jc w:val="center"/>
      </w:pPr>
      <w:r>
        <w:rPr>
          <w:rFonts w:ascii="Times New Roman" w:hAnsi="Times New Roman" w:eastAsia="Times New Roman"/>
          <w:b w:val="0"/>
          <w:i w:val="0"/>
          <w:sz w:val="24"/>
        </w:rPr>
        <w:t>Figure 4.7: NAM Experimental vs DFT Overlay.</w:t>
      </w:r>
    </w:p>
    <w:p>
      <w:pPr>
        <w:spacing w:before="160" w:after="80"/>
        <w:jc w:val="center"/>
      </w:pPr>
      <w:r>
        <w:rPr>
          <w:rFonts w:ascii="Times New Roman" w:hAnsi="Times New Roman" w:eastAsia="Times New Roman"/>
          <w:b w:val="0"/>
          <w:i w:val="0"/>
          <w:sz w:val="24"/>
        </w:rPr>
        <w:t>Table 4.4: NAM Validation Table.</w:t>
      </w:r>
    </w:p>
    <w:p>
      <w:pPr>
        <w:spacing w:before="200" w:after="80"/>
        <w:jc w:val="left"/>
      </w:pPr>
      <w:r>
        <w:rPr>
          <w:rFonts w:ascii="Times New Roman" w:hAnsi="Times New Roman" w:eastAsia="Times New Roman"/>
          <w:b w:val="0"/>
          <w:i/>
          <w:sz w:val="24"/>
        </w:rPr>
        <w:t>4.6 Stage IV - Experimental Raman Study of LTA</w:t>
      </w:r>
    </w:p>
    <w:p>
      <w:pPr>
        <w:spacing w:line="360" w:lineRule="auto" w:before="0" w:after="120"/>
        <w:jc w:val="both"/>
      </w:pPr>
      <w:r>
        <w:rPr>
          <w:rFonts w:ascii="Times New Roman" w:hAnsi="Times New Roman" w:eastAsia="Times New Roman"/>
          <w:b w:val="0"/>
          <w:i w:val="0"/>
          <w:sz w:val="24"/>
        </w:rPr>
        <w:t>LTA analysis showed broad and complex spectral bands, requiring region-focused interpretation.</w:t>
      </w:r>
    </w:p>
    <w:p>
      <w:pPr>
        <w:spacing w:before="80" w:after="160"/>
        <w:jc w:val="center"/>
      </w:pPr>
      <w:r>
        <w:rPr>
          <w:rFonts w:ascii="Times New Roman" w:hAnsi="Times New Roman" w:eastAsia="Times New Roman"/>
          <w:b w:val="0"/>
          <w:i w:val="0"/>
          <w:sz w:val="24"/>
        </w:rPr>
        <w:t>Figure 4.8: Simplified LTA Structure.</w:t>
      </w:r>
    </w:p>
    <w:p>
      <w:pPr>
        <w:spacing w:before="80" w:after="160"/>
        <w:jc w:val="center"/>
      </w:pPr>
      <w:r>
        <w:rPr>
          <w:rFonts w:ascii="Times New Roman" w:hAnsi="Times New Roman" w:eastAsia="Times New Roman"/>
          <w:b w:val="0"/>
          <w:i w:val="0"/>
          <w:sz w:val="24"/>
        </w:rPr>
        <w:t>Figure 4.9: LTA Parameter Comparison Spectra.</w:t>
      </w:r>
    </w:p>
    <w:p>
      <w:pPr>
        <w:spacing w:before="80" w:after="160"/>
        <w:jc w:val="center"/>
      </w:pPr>
      <w:r>
        <w:rPr>
          <w:rFonts w:ascii="Times New Roman" w:hAnsi="Times New Roman" w:eastAsia="Times New Roman"/>
          <w:b w:val="0"/>
          <w:i w:val="0"/>
          <w:sz w:val="24"/>
        </w:rPr>
        <w:t>Figure 4.10: Best LTA Spectrum with Region Labels.</w:t>
      </w:r>
    </w:p>
    <w:p>
      <w:pPr>
        <w:spacing w:before="160" w:after="80"/>
        <w:jc w:val="center"/>
      </w:pPr>
      <w:r>
        <w:rPr>
          <w:rFonts w:ascii="Times New Roman" w:hAnsi="Times New Roman" w:eastAsia="Times New Roman"/>
          <w:b w:val="0"/>
          <w:i w:val="0"/>
          <w:sz w:val="24"/>
        </w:rPr>
        <w:t>Table 4.5: LTA Region Interpretation Table.</w:t>
      </w:r>
    </w:p>
    <w:p>
      <w:pPr>
        <w:spacing w:before="200" w:after="80"/>
        <w:jc w:val="left"/>
      </w:pPr>
      <w:r>
        <w:rPr>
          <w:rFonts w:ascii="Times New Roman" w:hAnsi="Times New Roman" w:eastAsia="Times New Roman"/>
          <w:b w:val="0"/>
          <w:i/>
          <w:sz w:val="24"/>
        </w:rPr>
        <w:t>4.7 Stage V - Component-Based Modeling of LTA</w:t>
      </w:r>
    </w:p>
    <w:p>
      <w:pPr>
        <w:spacing w:line="360" w:lineRule="auto" w:before="0" w:after="120"/>
        <w:jc w:val="both"/>
      </w:pPr>
      <w:r>
        <w:rPr>
          <w:rFonts w:ascii="Times New Roman" w:hAnsi="Times New Roman" w:eastAsia="Times New Roman"/>
          <w:b w:val="0"/>
          <w:i w:val="0"/>
          <w:sz w:val="24"/>
        </w:rPr>
        <w:t>Representative LTA fragments were modeled to map major structural contributions with computational efficiency.</w:t>
      </w:r>
    </w:p>
    <w:p>
      <w:pPr>
        <w:spacing w:before="80" w:after="160"/>
        <w:jc w:val="center"/>
      </w:pPr>
      <w:r>
        <w:rPr>
          <w:rFonts w:ascii="Times New Roman" w:hAnsi="Times New Roman" w:eastAsia="Times New Roman"/>
          <w:b w:val="0"/>
          <w:i w:val="0"/>
          <w:sz w:val="24"/>
        </w:rPr>
        <w:t>Figure 4.11: LTA Fragment Strategy Diagram.</w:t>
      </w:r>
    </w:p>
    <w:p>
      <w:pPr>
        <w:spacing w:before="80" w:after="160"/>
        <w:jc w:val="center"/>
      </w:pPr>
      <w:r>
        <w:rPr>
          <w:rFonts w:ascii="Times New Roman" w:hAnsi="Times New Roman" w:eastAsia="Times New Roman"/>
          <w:b w:val="0"/>
          <w:i w:val="0"/>
          <w:sz w:val="24"/>
        </w:rPr>
        <w:t>Figure 4.12: Simulated Component Spectra.</w:t>
      </w:r>
    </w:p>
    <w:p>
      <w:pPr>
        <w:spacing w:before="200" w:after="80"/>
        <w:jc w:val="left"/>
      </w:pPr>
      <w:r>
        <w:rPr>
          <w:rFonts w:ascii="Times New Roman" w:hAnsi="Times New Roman" w:eastAsia="Times New Roman"/>
          <w:b w:val="0"/>
          <w:i/>
          <w:sz w:val="24"/>
        </w:rPr>
        <w:t>4.8 Stage VI - LPS Work Status</w:t>
      </w:r>
    </w:p>
    <w:p>
      <w:pPr>
        <w:spacing w:line="360" w:lineRule="auto" w:before="0" w:after="120"/>
        <w:jc w:val="both"/>
      </w:pPr>
      <w:r>
        <w:rPr>
          <w:rFonts w:ascii="Times New Roman" w:hAnsi="Times New Roman" w:eastAsia="Times New Roman"/>
          <w:b w:val="0"/>
          <w:i w:val="0"/>
          <w:sz w:val="24"/>
        </w:rPr>
        <w:t>LPS experimental and computational workflows are underway, with focus on robust signal extraction and interpretability.</w:t>
      </w:r>
    </w:p>
    <w:p>
      <w:pPr>
        <w:spacing w:before="80" w:after="160"/>
        <w:jc w:val="center"/>
      </w:pPr>
      <w:r>
        <w:rPr>
          <w:rFonts w:ascii="Times New Roman" w:hAnsi="Times New Roman" w:eastAsia="Times New Roman"/>
          <w:b w:val="0"/>
          <w:i w:val="0"/>
          <w:sz w:val="24"/>
        </w:rPr>
        <w:t>Figure 4.13: Simplified LPS Structure.</w:t>
      </w:r>
    </w:p>
    <w:p>
      <w:pPr>
        <w:spacing w:before="80" w:after="160"/>
        <w:jc w:val="center"/>
      </w:pPr>
      <w:r>
        <w:rPr>
          <w:rFonts w:ascii="Times New Roman" w:hAnsi="Times New Roman" w:eastAsia="Times New Roman"/>
          <w:b w:val="0"/>
          <w:i w:val="0"/>
          <w:sz w:val="24"/>
        </w:rPr>
        <w:t>Figure 4.14: Planned LPS Validation Workflow.</w:t>
      </w:r>
    </w:p>
    <w:p>
      <w:pPr>
        <w:spacing w:before="200" w:after="80"/>
        <w:jc w:val="left"/>
      </w:pPr>
      <w:r>
        <w:rPr>
          <w:rFonts w:ascii="Times New Roman" w:hAnsi="Times New Roman" w:eastAsia="Times New Roman"/>
          <w:b w:val="0"/>
          <w:i/>
          <w:sz w:val="24"/>
        </w:rPr>
        <w:t>4.9 Unified Validation Framework Developed During Thesis</w:t>
      </w:r>
    </w:p>
    <w:p>
      <w:pPr>
        <w:spacing w:line="360" w:lineRule="auto" w:before="0" w:after="120"/>
        <w:jc w:val="both"/>
      </w:pPr>
      <w:r>
        <w:rPr>
          <w:rFonts w:ascii="Times New Roman" w:hAnsi="Times New Roman" w:eastAsia="Times New Roman"/>
          <w:b w:val="0"/>
          <w:i w:val="0"/>
          <w:sz w:val="24"/>
        </w:rPr>
        <w:t>A common validation model integrating experiment, computation, and literature evidence was established for all biomarkers.</w:t>
      </w:r>
    </w:p>
    <w:p>
      <w:pPr>
        <w:spacing w:before="200" w:after="80"/>
        <w:jc w:val="left"/>
      </w:pPr>
      <w:r>
        <w:rPr>
          <w:rFonts w:ascii="Times New Roman" w:hAnsi="Times New Roman" w:eastAsia="Times New Roman"/>
          <w:b w:val="0"/>
          <w:i/>
          <w:sz w:val="24"/>
        </w:rPr>
        <w:t>4.10 Major Quantitative Findings</w:t>
      </w:r>
    </w:p>
    <w:p>
      <w:pPr>
        <w:spacing w:before="160" w:after="80"/>
        <w:jc w:val="center"/>
      </w:pPr>
      <w:r>
        <w:rPr>
          <w:rFonts w:ascii="Times New Roman" w:hAnsi="Times New Roman" w:eastAsia="Times New Roman"/>
          <w:b w:val="0"/>
          <w:i w:val="0"/>
          <w:sz w:val="24"/>
        </w:rPr>
        <w:t>Table 4.6: Thesis Key Metrics Summary.</w:t>
      </w:r>
    </w:p>
    <w:p>
      <w:pPr>
        <w:spacing w:line="360" w:lineRule="auto" w:before="0" w:after="120"/>
        <w:jc w:val="both"/>
      </w:pPr>
      <w:r>
        <w:rPr>
          <w:rFonts w:ascii="Times New Roman" w:hAnsi="Times New Roman" w:eastAsia="Times New Roman"/>
          <w:b w:val="0"/>
          <w:i w:val="0"/>
          <w:sz w:val="24"/>
        </w:rPr>
        <w:t>(Insert final measured values.)</w:t>
      </w:r>
    </w:p>
    <w:p>
      <w:pPr>
        <w:spacing w:before="200" w:after="80"/>
        <w:jc w:val="left"/>
      </w:pPr>
      <w:r>
        <w:rPr>
          <w:rFonts w:ascii="Times New Roman" w:hAnsi="Times New Roman" w:eastAsia="Times New Roman"/>
          <w:b w:val="0"/>
          <w:i/>
          <w:sz w:val="24"/>
        </w:rPr>
        <w:t>4.11 Key Learnings</w:t>
      </w:r>
    </w:p>
    <w:p>
      <w:pPr>
        <w:spacing w:line="360" w:lineRule="auto" w:before="0" w:after="120"/>
        <w:jc w:val="both"/>
      </w:pPr>
      <w:r>
        <w:rPr>
          <w:rFonts w:ascii="Times New Roman" w:hAnsi="Times New Roman" w:eastAsia="Times New Roman"/>
          <w:b w:val="0"/>
          <w:i w:val="0"/>
          <w:sz w:val="24"/>
        </w:rPr>
        <w:t>Optimization of acquisition parameters, standardized preprocessing, and theory-assisted assignment are central to reliable Raman biomarker interpretation.</w:t>
      </w:r>
    </w:p>
    <w:p>
      <w:pPr>
        <w:spacing w:before="200" w:after="80"/>
        <w:jc w:val="left"/>
      </w:pPr>
      <w:r>
        <w:rPr>
          <w:rFonts w:ascii="Times New Roman" w:hAnsi="Times New Roman" w:eastAsia="Times New Roman"/>
          <w:b w:val="0"/>
          <w:i/>
          <w:sz w:val="24"/>
        </w:rPr>
        <w:t>4.12 Limitations of Current Work</w:t>
      </w:r>
    </w:p>
    <w:p>
      <w:pPr>
        <w:spacing w:line="360" w:lineRule="auto" w:before="0" w:after="120"/>
        <w:jc w:val="both"/>
      </w:pPr>
      <w:r>
        <w:rPr>
          <w:rFonts w:ascii="Times New Roman" w:hAnsi="Times New Roman" w:eastAsia="Times New Roman"/>
          <w:b w:val="0"/>
          <w:i w:val="0"/>
          <w:sz w:val="24"/>
        </w:rPr>
        <w:t>Current limitations include pure-standard datasets, incomplete LPS expansion, and absence of clinical sensitivity/specificity validation.</w:t>
      </w:r>
    </w:p>
    <w:p>
      <w:pPr>
        <w:spacing w:before="200" w:after="80"/>
        <w:jc w:val="left"/>
      </w:pPr>
      <w:r>
        <w:rPr>
          <w:rFonts w:ascii="Times New Roman" w:hAnsi="Times New Roman" w:eastAsia="Times New Roman"/>
          <w:b w:val="0"/>
          <w:i/>
          <w:sz w:val="24"/>
        </w:rPr>
        <w:t>4.13 Chapter Conclusion</w:t>
      </w:r>
    </w:p>
    <w:p>
      <w:pPr>
        <w:spacing w:line="360" w:lineRule="auto" w:before="0" w:after="120"/>
        <w:jc w:val="both"/>
      </w:pPr>
      <w:r>
        <w:rPr>
          <w:rFonts w:ascii="Times New Roman" w:hAnsi="Times New Roman" w:eastAsia="Times New Roman"/>
          <w:b w:val="0"/>
          <w:i w:val="0"/>
          <w:sz w:val="24"/>
        </w:rPr>
        <w:t>The completed work provides a scientifically credible foundation for future SERS-enabled translational development.</w:t>
      </w:r>
    </w:p>
    <w:p>
      <w:pPr>
        <w:spacing w:before="240" w:after="120"/>
        <w:jc w:val="left"/>
      </w:pPr>
      <w:r>
        <w:rPr>
          <w:rFonts w:ascii="Times New Roman" w:hAnsi="Times New Roman" w:eastAsia="Times New Roman"/>
          <w:b/>
          <w:i w:val="0"/>
          <w:sz w:val="28"/>
        </w:rPr>
        <w:t>5. CONCLUSION</w:t>
      </w:r>
    </w:p>
    <w:p>
      <w:pPr>
        <w:spacing w:before="200" w:after="80"/>
        <w:jc w:val="left"/>
      </w:pPr>
      <w:r>
        <w:rPr>
          <w:rFonts w:ascii="Times New Roman" w:hAnsi="Times New Roman" w:eastAsia="Times New Roman"/>
          <w:b w:val="0"/>
          <w:i/>
          <w:sz w:val="24"/>
        </w:rPr>
        <w:t>5.1 Introduction</w:t>
      </w:r>
    </w:p>
    <w:p>
      <w:pPr>
        <w:spacing w:line="360" w:lineRule="auto" w:before="0" w:after="120"/>
        <w:jc w:val="both"/>
      </w:pPr>
      <w:r>
        <w:rPr>
          <w:rFonts w:ascii="Times New Roman" w:hAnsi="Times New Roman" w:eastAsia="Times New Roman"/>
          <w:b w:val="0"/>
          <w:i w:val="0"/>
          <w:sz w:val="24"/>
        </w:rPr>
        <w:t>This chapter summarizes the principal outcomes, contribution, and future direction of the project.</w:t>
      </w:r>
    </w:p>
    <w:p>
      <w:pPr>
        <w:spacing w:before="200" w:after="80"/>
        <w:jc w:val="left"/>
      </w:pPr>
      <w:r>
        <w:rPr>
          <w:rFonts w:ascii="Times New Roman" w:hAnsi="Times New Roman" w:eastAsia="Times New Roman"/>
          <w:b w:val="0"/>
          <w:i/>
          <w:sz w:val="24"/>
        </w:rPr>
        <w:t>5.2 Summary of Major Contributions</w:t>
      </w:r>
    </w:p>
    <w:p>
      <w:pPr>
        <w:spacing w:line="360" w:lineRule="auto" w:before="0" w:after="120"/>
        <w:jc w:val="both"/>
      </w:pPr>
      <w:r>
        <w:rPr>
          <w:rFonts w:ascii="Times New Roman" w:hAnsi="Times New Roman" w:eastAsia="Times New Roman"/>
          <w:b w:val="0"/>
          <w:i w:val="0"/>
          <w:sz w:val="24"/>
        </w:rPr>
        <w:t>The project established biomarker-focused Raman feasibility, optimized acquisition and preprocessing strategy, DFT-supported interpretation, and a translational roadmap toward portable screening.</w:t>
      </w:r>
    </w:p>
    <w:p>
      <w:pPr>
        <w:spacing w:before="200" w:after="80"/>
        <w:jc w:val="left"/>
      </w:pPr>
      <w:r>
        <w:rPr>
          <w:rFonts w:ascii="Times New Roman" w:hAnsi="Times New Roman" w:eastAsia="Times New Roman"/>
          <w:b w:val="0"/>
          <w:i/>
          <w:sz w:val="24"/>
        </w:rPr>
        <w:t>5.3 Scientific Conclusions</w:t>
      </w:r>
    </w:p>
    <w:p>
      <w:pPr>
        <w:spacing w:line="360" w:lineRule="auto" w:before="0" w:after="120"/>
        <w:jc w:val="both"/>
      </w:pPr>
      <w:r>
        <w:rPr>
          <w:rFonts w:ascii="Times New Roman" w:hAnsi="Times New Roman" w:eastAsia="Times New Roman"/>
          <w:b w:val="0"/>
          <w:i w:val="0"/>
          <w:sz w:val="24"/>
        </w:rPr>
        <w:t>The study demonstrates that selected bacterial structural biomarkers can be characterized under optimized Raman conditions and interpreted with improved confidence using DFT-assisted analysis.</w:t>
      </w:r>
    </w:p>
    <w:p>
      <w:pPr>
        <w:spacing w:before="200" w:after="80"/>
        <w:jc w:val="left"/>
      </w:pPr>
      <w:r>
        <w:rPr>
          <w:rFonts w:ascii="Times New Roman" w:hAnsi="Times New Roman" w:eastAsia="Times New Roman"/>
          <w:b w:val="0"/>
          <w:i/>
          <w:sz w:val="24"/>
        </w:rPr>
        <w:t>5.4 Clinical and Technological Relevance</w:t>
      </w:r>
    </w:p>
    <w:p>
      <w:pPr>
        <w:spacing w:line="360" w:lineRule="auto" w:before="0" w:after="120"/>
        <w:jc w:val="both"/>
      </w:pPr>
      <w:r>
        <w:rPr>
          <w:rFonts w:ascii="Times New Roman" w:hAnsi="Times New Roman" w:eastAsia="Times New Roman"/>
          <w:b w:val="0"/>
          <w:i w:val="0"/>
          <w:sz w:val="24"/>
        </w:rPr>
        <w:t>Although pre-clinical, the framework has potential relevance for rapid triage support in high-acuity and low-resource care settings, subject to formal validation.</w:t>
      </w:r>
    </w:p>
    <w:p>
      <w:pPr>
        <w:spacing w:before="200" w:after="80"/>
        <w:jc w:val="left"/>
      </w:pPr>
      <w:r>
        <w:rPr>
          <w:rFonts w:ascii="Times New Roman" w:hAnsi="Times New Roman" w:eastAsia="Times New Roman"/>
          <w:b w:val="0"/>
          <w:i/>
          <w:sz w:val="24"/>
        </w:rPr>
        <w:t>5.5 Limitations of the Present Thesis</w:t>
      </w:r>
    </w:p>
    <w:p>
      <w:pPr>
        <w:spacing w:line="360" w:lineRule="auto" w:before="0" w:after="120"/>
        <w:jc w:val="both"/>
      </w:pPr>
      <w:r>
        <w:rPr>
          <w:rFonts w:ascii="Times New Roman" w:hAnsi="Times New Roman" w:eastAsia="Times New Roman"/>
          <w:b w:val="0"/>
          <w:i w:val="0"/>
          <w:sz w:val="24"/>
        </w:rPr>
        <w:t>Clinical matrix validation, larger reproducibility datasets, and SERS/AI integration remain future priorities.</w:t>
      </w:r>
    </w:p>
    <w:p>
      <w:pPr>
        <w:spacing w:before="200" w:after="80"/>
        <w:jc w:val="left"/>
      </w:pPr>
      <w:r>
        <w:rPr>
          <w:rFonts w:ascii="Times New Roman" w:hAnsi="Times New Roman" w:eastAsia="Times New Roman"/>
          <w:b w:val="0"/>
          <w:i/>
          <w:sz w:val="24"/>
        </w:rPr>
        <w:t>5.6 Future Scope</w:t>
      </w:r>
    </w:p>
    <w:p>
      <w:pPr>
        <w:spacing w:line="360" w:lineRule="auto" w:before="0" w:after="120"/>
        <w:jc w:val="both"/>
      </w:pPr>
      <w:r>
        <w:rPr>
          <w:rFonts w:ascii="Times New Roman" w:hAnsi="Times New Roman" w:eastAsia="Times New Roman"/>
          <w:b w:val="0"/>
          <w:i w:val="0"/>
          <w:sz w:val="24"/>
        </w:rPr>
        <w:t>Future work includes LPS completion, dilution-based semi-quantitative studies, reproducible SERS substrate development, AI model training, and clinical benchmarking.</w:t>
      </w:r>
    </w:p>
    <w:p>
      <w:pPr>
        <w:spacing w:before="200" w:after="80"/>
        <w:jc w:val="left"/>
      </w:pPr>
      <w:r>
        <w:rPr>
          <w:rFonts w:ascii="Times New Roman" w:hAnsi="Times New Roman" w:eastAsia="Times New Roman"/>
          <w:b w:val="0"/>
          <w:i/>
          <w:sz w:val="24"/>
        </w:rPr>
        <w:t>5.7 Final Conclusion</w:t>
      </w:r>
    </w:p>
    <w:p>
      <w:pPr>
        <w:spacing w:line="360" w:lineRule="auto" w:before="0" w:after="120"/>
        <w:jc w:val="both"/>
      </w:pPr>
      <w:r>
        <w:rPr>
          <w:rFonts w:ascii="Times New Roman" w:hAnsi="Times New Roman" w:eastAsia="Times New Roman"/>
          <w:b w:val="0"/>
          <w:i w:val="0"/>
          <w:sz w:val="24"/>
        </w:rPr>
        <w:t>This thesis provides a rigorous and explainable foundation for developing future rapid infection-screening systems based on Raman/SERS technologies.</w:t>
      </w:r>
    </w:p>
    <w:p>
      <w:pPr>
        <w:spacing w:before="200" w:after="80"/>
        <w:jc w:val="left"/>
      </w:pPr>
      <w:r>
        <w:rPr>
          <w:rFonts w:ascii="Times New Roman" w:hAnsi="Times New Roman" w:eastAsia="Times New Roman"/>
          <w:b w:val="0"/>
          <w:i/>
          <w:sz w:val="24"/>
        </w:rPr>
        <w:t>5.8 Chapter Summary</w:t>
      </w:r>
    </w:p>
    <w:p>
      <w:pPr>
        <w:spacing w:line="360" w:lineRule="auto" w:before="0" w:after="120"/>
        <w:jc w:val="both"/>
      </w:pPr>
      <w:r>
        <w:rPr>
          <w:rFonts w:ascii="Times New Roman" w:hAnsi="Times New Roman" w:eastAsia="Times New Roman"/>
          <w:b w:val="0"/>
          <w:i w:val="0"/>
          <w:sz w:val="24"/>
        </w:rPr>
        <w:t>The chapter consolidated achievements, limitations, and a practical translational path forward.</w:t>
      </w:r>
    </w:p>
    <w:p>
      <w:pPr>
        <w:spacing w:before="240" w:after="120"/>
        <w:jc w:val="left"/>
      </w:pPr>
      <w:r>
        <w:rPr>
          <w:rFonts w:ascii="Times New Roman" w:hAnsi="Times New Roman" w:eastAsia="Times New Roman"/>
          <w:b/>
          <w:i w:val="0"/>
          <w:sz w:val="28"/>
        </w:rPr>
        <w:t>6. NOVELTY</w:t>
      </w:r>
    </w:p>
    <w:p>
      <w:pPr>
        <w:spacing w:before="200" w:after="80"/>
        <w:jc w:val="left"/>
      </w:pPr>
      <w:r>
        <w:rPr>
          <w:rFonts w:ascii="Times New Roman" w:hAnsi="Times New Roman" w:eastAsia="Times New Roman"/>
          <w:b w:val="0"/>
          <w:i/>
          <w:sz w:val="24"/>
        </w:rPr>
        <w:t>6.1 Introduction</w:t>
      </w:r>
    </w:p>
    <w:p>
      <w:pPr>
        <w:spacing w:line="360" w:lineRule="auto" w:before="0" w:after="120"/>
        <w:jc w:val="both"/>
      </w:pPr>
      <w:r>
        <w:rPr>
          <w:rFonts w:ascii="Times New Roman" w:hAnsi="Times New Roman" w:eastAsia="Times New Roman"/>
          <w:b w:val="0"/>
          <w:i w:val="0"/>
          <w:sz w:val="24"/>
        </w:rPr>
        <w:t>Novelty in this work arises from integrated design rather than a single isolated contribution.</w:t>
      </w:r>
    </w:p>
    <w:p>
      <w:pPr>
        <w:spacing w:before="200" w:after="80"/>
        <w:jc w:val="left"/>
      </w:pPr>
      <w:r>
        <w:rPr>
          <w:rFonts w:ascii="Times New Roman" w:hAnsi="Times New Roman" w:eastAsia="Times New Roman"/>
          <w:b w:val="0"/>
          <w:i/>
          <w:sz w:val="24"/>
        </w:rPr>
        <w:t>6.2 Core Novelty Elements</w:t>
      </w:r>
    </w:p>
    <w:p>
      <w:pPr>
        <w:spacing w:before="200" w:after="80"/>
        <w:jc w:val="left"/>
      </w:pPr>
      <w:r>
        <w:rPr>
          <w:rFonts w:ascii="Times New Roman" w:hAnsi="Times New Roman" w:eastAsia="Times New Roman"/>
          <w:b w:val="0"/>
          <w:i/>
          <w:sz w:val="24"/>
        </w:rPr>
        <w:t>6.2.1 Structural biomarker-first detection strategy.</w:t>
      </w:r>
    </w:p>
    <w:p>
      <w:pPr>
        <w:spacing w:before="200" w:after="80"/>
        <w:jc w:val="left"/>
      </w:pPr>
      <w:r>
        <w:rPr>
          <w:rFonts w:ascii="Times New Roman" w:hAnsi="Times New Roman" w:eastAsia="Times New Roman"/>
          <w:b w:val="0"/>
          <w:i/>
          <w:sz w:val="24"/>
        </w:rPr>
        <w:t>6.2.2 Label-free Raman fingerprinting framework.</w:t>
      </w:r>
    </w:p>
    <w:p>
      <w:pPr>
        <w:spacing w:before="200" w:after="80"/>
        <w:jc w:val="left"/>
      </w:pPr>
      <w:r>
        <w:rPr>
          <w:rFonts w:ascii="Times New Roman" w:hAnsi="Times New Roman" w:eastAsia="Times New Roman"/>
          <w:b w:val="0"/>
          <w:i/>
          <w:sz w:val="24"/>
        </w:rPr>
        <w:t>6.2.3 DFT-supported explainable interpretation.</w:t>
      </w:r>
    </w:p>
    <w:p>
      <w:pPr>
        <w:spacing w:before="200" w:after="80"/>
        <w:jc w:val="left"/>
      </w:pPr>
      <w:r>
        <w:rPr>
          <w:rFonts w:ascii="Times New Roman" w:hAnsi="Times New Roman" w:eastAsia="Times New Roman"/>
          <w:b w:val="0"/>
          <w:i/>
          <w:sz w:val="24"/>
        </w:rPr>
        <w:t>6.2.4 Fragment-based modeling for large biomolecules.</w:t>
      </w:r>
    </w:p>
    <w:p>
      <w:pPr>
        <w:spacing w:before="200" w:after="80"/>
        <w:jc w:val="left"/>
      </w:pPr>
      <w:r>
        <w:rPr>
          <w:rFonts w:ascii="Times New Roman" w:hAnsi="Times New Roman" w:eastAsia="Times New Roman"/>
          <w:b w:val="0"/>
          <w:i/>
          <w:sz w:val="24"/>
        </w:rPr>
        <w:t>6.2.5 Built-in translational pathway toward SERS-enabled portable screening.</w:t>
      </w:r>
    </w:p>
    <w:p>
      <w:pPr>
        <w:spacing w:before="200" w:after="80"/>
        <w:jc w:val="left"/>
      </w:pPr>
      <w:r>
        <w:rPr>
          <w:rFonts w:ascii="Times New Roman" w:hAnsi="Times New Roman" w:eastAsia="Times New Roman"/>
          <w:b w:val="0"/>
          <w:i/>
          <w:sz w:val="24"/>
        </w:rPr>
        <w:t>6.3 Novelty Compared with Existing Technologies</w:t>
      </w:r>
    </w:p>
    <w:p>
      <w:pPr>
        <w:spacing w:before="160" w:after="80"/>
        <w:jc w:val="center"/>
      </w:pPr>
      <w:r>
        <w:rPr>
          <w:rFonts w:ascii="Times New Roman" w:hAnsi="Times New Roman" w:eastAsia="Times New Roman"/>
          <w:b w:val="0"/>
          <w:i w:val="0"/>
          <w:sz w:val="24"/>
        </w:rPr>
        <w:t>Table 6.1: Technology Comparison Matrix.</w:t>
      </w:r>
    </w:p>
    <w:p>
      <w:pPr>
        <w:spacing w:line="360" w:lineRule="auto" w:before="0" w:after="120"/>
        <w:jc w:val="both"/>
      </w:pPr>
      <w:r>
        <w:rPr>
          <w:rFonts w:ascii="Times New Roman" w:hAnsi="Times New Roman" w:eastAsia="Times New Roman"/>
          <w:b w:val="0"/>
          <w:i w:val="0"/>
          <w:sz w:val="24"/>
        </w:rPr>
        <w:t>(Insert final comparative data in tabular form.)</w:t>
      </w:r>
    </w:p>
    <w:p>
      <w:pPr>
        <w:spacing w:before="200" w:after="80"/>
        <w:jc w:val="left"/>
      </w:pPr>
      <w:r>
        <w:rPr>
          <w:rFonts w:ascii="Times New Roman" w:hAnsi="Times New Roman" w:eastAsia="Times New Roman"/>
          <w:b w:val="0"/>
          <w:i/>
          <w:sz w:val="24"/>
        </w:rPr>
        <w:t>6.4 Novelty Relative to Published Research</w:t>
      </w:r>
    </w:p>
    <w:p>
      <w:pPr>
        <w:spacing w:line="360" w:lineRule="auto" w:before="0" w:after="120"/>
        <w:jc w:val="both"/>
      </w:pPr>
      <w:r>
        <w:rPr>
          <w:rFonts w:ascii="Times New Roman" w:hAnsi="Times New Roman" w:eastAsia="Times New Roman"/>
          <w:b w:val="0"/>
          <w:i w:val="0"/>
          <w:sz w:val="24"/>
        </w:rPr>
        <w:t>The thesis contributes systems-level integration across biomarker logic, spectroscopy, computational validation, and translational planning.</w:t>
      </w:r>
    </w:p>
    <w:p>
      <w:pPr>
        <w:spacing w:before="200" w:after="80"/>
        <w:jc w:val="left"/>
      </w:pPr>
      <w:r>
        <w:rPr>
          <w:rFonts w:ascii="Times New Roman" w:hAnsi="Times New Roman" w:eastAsia="Times New Roman"/>
          <w:b w:val="0"/>
          <w:i/>
          <w:sz w:val="24"/>
        </w:rPr>
        <w:t>6.5 Novelty in Methodological Design</w:t>
      </w:r>
    </w:p>
    <w:p>
      <w:pPr>
        <w:spacing w:line="360" w:lineRule="auto" w:before="0" w:after="120"/>
        <w:jc w:val="both"/>
      </w:pPr>
      <w:r>
        <w:rPr>
          <w:rFonts w:ascii="Times New Roman" w:hAnsi="Times New Roman" w:eastAsia="Times New Roman"/>
          <w:b w:val="0"/>
          <w:i w:val="0"/>
          <w:sz w:val="24"/>
        </w:rPr>
        <w:t>A multi-layer validation framework and staged progression were used to improve robustness and reduce translational risk.</w:t>
      </w:r>
    </w:p>
    <w:p>
      <w:pPr>
        <w:spacing w:before="200" w:after="80"/>
        <w:jc w:val="left"/>
      </w:pPr>
      <w:r>
        <w:rPr>
          <w:rFonts w:ascii="Times New Roman" w:hAnsi="Times New Roman" w:eastAsia="Times New Roman"/>
          <w:b w:val="0"/>
          <w:i/>
          <w:sz w:val="24"/>
        </w:rPr>
        <w:t>6.6 Novelty in Market Positioning</w:t>
      </w:r>
    </w:p>
    <w:p>
      <w:pPr>
        <w:spacing w:line="360" w:lineRule="auto" w:before="0" w:after="120"/>
        <w:jc w:val="both"/>
      </w:pPr>
      <w:r>
        <w:rPr>
          <w:rFonts w:ascii="Times New Roman" w:hAnsi="Times New Roman" w:eastAsia="Times New Roman"/>
          <w:b w:val="0"/>
          <w:i w:val="0"/>
          <w:sz w:val="24"/>
        </w:rPr>
        <w:t>The approach aims for differentiated positioning through speed, interpretability, and future portability.</w:t>
      </w:r>
    </w:p>
    <w:p>
      <w:pPr>
        <w:spacing w:before="200" w:after="80"/>
        <w:jc w:val="left"/>
      </w:pPr>
      <w:r>
        <w:rPr>
          <w:rFonts w:ascii="Times New Roman" w:hAnsi="Times New Roman" w:eastAsia="Times New Roman"/>
          <w:b w:val="0"/>
          <w:i/>
          <w:sz w:val="24"/>
        </w:rPr>
        <w:t>6.7 Completed vs Future Novel Scope</w:t>
      </w:r>
    </w:p>
    <w:p>
      <w:pPr>
        <w:spacing w:line="360" w:lineRule="auto" w:before="0" w:after="120"/>
        <w:jc w:val="both"/>
      </w:pPr>
      <w:r>
        <w:rPr>
          <w:rFonts w:ascii="Times New Roman" w:hAnsi="Times New Roman" w:eastAsia="Times New Roman"/>
          <w:b w:val="0"/>
          <w:i w:val="0"/>
          <w:sz w:val="24"/>
        </w:rPr>
        <w:t>Current novelty is methodological and foundational; future novelty depends on validated SERS performance and clinical utility outcomes.</w:t>
      </w:r>
    </w:p>
    <w:p>
      <w:pPr>
        <w:spacing w:before="200" w:after="80"/>
        <w:jc w:val="left"/>
      </w:pPr>
      <w:r>
        <w:rPr>
          <w:rFonts w:ascii="Times New Roman" w:hAnsi="Times New Roman" w:eastAsia="Times New Roman"/>
          <w:b w:val="0"/>
          <w:i/>
          <w:sz w:val="24"/>
        </w:rPr>
        <w:t>6.8 Unique Value Proposition</w:t>
      </w:r>
    </w:p>
    <w:p>
      <w:pPr>
        <w:spacing w:line="360" w:lineRule="auto" w:before="0" w:after="120"/>
        <w:jc w:val="both"/>
      </w:pPr>
      <w:r>
        <w:rPr>
          <w:rFonts w:ascii="Times New Roman" w:hAnsi="Times New Roman" w:eastAsia="Times New Roman"/>
          <w:b w:val="0"/>
          <w:i w:val="0"/>
          <w:sz w:val="24"/>
        </w:rPr>
        <w:t>Rapid, explainable, biomarker-based optical bacterial screening with future low-volume and portable deployment potential.</w:t>
      </w:r>
    </w:p>
    <w:p>
      <w:pPr>
        <w:spacing w:before="200" w:after="80"/>
        <w:jc w:val="left"/>
      </w:pPr>
      <w:r>
        <w:rPr>
          <w:rFonts w:ascii="Times New Roman" w:hAnsi="Times New Roman" w:eastAsia="Times New Roman"/>
          <w:b w:val="0"/>
          <w:i/>
          <w:sz w:val="24"/>
        </w:rPr>
        <w:t>6.9 Chapter Conclusion</w:t>
      </w:r>
    </w:p>
    <w:p>
      <w:pPr>
        <w:spacing w:line="360" w:lineRule="auto" w:before="0" w:after="120"/>
        <w:jc w:val="both"/>
      </w:pPr>
      <w:r>
        <w:rPr>
          <w:rFonts w:ascii="Times New Roman" w:hAnsi="Times New Roman" w:eastAsia="Times New Roman"/>
          <w:b w:val="0"/>
          <w:i w:val="0"/>
          <w:sz w:val="24"/>
        </w:rPr>
        <w:t>The novelty is academically defensible and aligned with translational healthcare needs.</w:t>
      </w:r>
    </w:p>
    <w:p>
      <w:pPr>
        <w:spacing w:before="200" w:after="80"/>
        <w:jc w:val="left"/>
      </w:pPr>
      <w:r>
        <w:rPr>
          <w:rFonts w:ascii="Times New Roman" w:hAnsi="Times New Roman" w:eastAsia="Times New Roman"/>
          <w:b w:val="0"/>
          <w:i/>
          <w:sz w:val="24"/>
        </w:rPr>
        <w:t>6.10 Chapter Summary</w:t>
      </w:r>
    </w:p>
    <w:p>
      <w:pPr>
        <w:spacing w:line="360" w:lineRule="auto" w:before="0" w:after="120"/>
        <w:jc w:val="both"/>
      </w:pPr>
      <w:r>
        <w:rPr>
          <w:rFonts w:ascii="Times New Roman" w:hAnsi="Times New Roman" w:eastAsia="Times New Roman"/>
          <w:b w:val="0"/>
          <w:i w:val="0"/>
          <w:sz w:val="24"/>
        </w:rPr>
        <w:t>This chapter defined and contextualized the novelty contribution of the project.</w:t>
      </w:r>
    </w:p>
    <w:p>
      <w:pPr>
        <w:spacing w:before="240" w:after="120"/>
        <w:jc w:val="left"/>
      </w:pPr>
      <w:r>
        <w:rPr>
          <w:rFonts w:ascii="Times New Roman" w:hAnsi="Times New Roman" w:eastAsia="Times New Roman"/>
          <w:b/>
          <w:i w:val="0"/>
          <w:sz w:val="28"/>
        </w:rPr>
        <w:t>7. POTENTIAL SOCIETAL AND MARKET IMPACT OF THE PROPOSED INNOVATION</w:t>
      </w:r>
    </w:p>
    <w:p>
      <w:pPr>
        <w:spacing w:before="200" w:after="80"/>
        <w:jc w:val="left"/>
      </w:pPr>
      <w:r>
        <w:rPr>
          <w:rFonts w:ascii="Times New Roman" w:hAnsi="Times New Roman" w:eastAsia="Times New Roman"/>
          <w:b w:val="0"/>
          <w:i/>
          <w:sz w:val="24"/>
        </w:rPr>
        <w:t>7.1 Introduction</w:t>
      </w:r>
    </w:p>
    <w:p>
      <w:pPr>
        <w:spacing w:line="360" w:lineRule="auto" w:before="0" w:after="120"/>
        <w:jc w:val="both"/>
      </w:pPr>
      <w:r>
        <w:rPr>
          <w:rFonts w:ascii="Times New Roman" w:hAnsi="Times New Roman" w:eastAsia="Times New Roman"/>
          <w:b w:val="0"/>
          <w:i w:val="0"/>
          <w:sz w:val="24"/>
        </w:rPr>
        <w:t>This chapter evaluates potential impact across patient care, public health, healthcare systems, and market deployment.</w:t>
      </w:r>
    </w:p>
    <w:p>
      <w:pPr>
        <w:spacing w:before="200" w:after="80"/>
        <w:jc w:val="left"/>
      </w:pPr>
      <w:r>
        <w:rPr>
          <w:rFonts w:ascii="Times New Roman" w:hAnsi="Times New Roman" w:eastAsia="Times New Roman"/>
          <w:b w:val="0"/>
          <w:i/>
          <w:sz w:val="24"/>
        </w:rPr>
        <w:t>7.2 Potential Societal Impact - Clinical Care</w:t>
      </w:r>
    </w:p>
    <w:p>
      <w:pPr>
        <w:spacing w:line="360" w:lineRule="auto" w:before="0" w:after="120"/>
        <w:jc w:val="both"/>
      </w:pPr>
      <w:r>
        <w:rPr>
          <w:rFonts w:ascii="Times New Roman" w:hAnsi="Times New Roman" w:eastAsia="Times New Roman"/>
          <w:b w:val="0"/>
          <w:i w:val="0"/>
          <w:sz w:val="24"/>
        </w:rPr>
        <w:t>A rapid screening layer may reduce diagnostic uncertainty and support earlier decisions in acute care, particularly for vulnerable groups.</w:t>
      </w:r>
    </w:p>
    <w:p>
      <w:pPr>
        <w:spacing w:before="200" w:after="80"/>
        <w:jc w:val="left"/>
      </w:pPr>
      <w:r>
        <w:rPr>
          <w:rFonts w:ascii="Times New Roman" w:hAnsi="Times New Roman" w:eastAsia="Times New Roman"/>
          <w:b w:val="0"/>
          <w:i/>
          <w:sz w:val="24"/>
        </w:rPr>
        <w:t>7.3 Public Health Impact</w:t>
      </w:r>
    </w:p>
    <w:p>
      <w:pPr>
        <w:spacing w:line="360" w:lineRule="auto" w:before="0" w:after="120"/>
        <w:jc w:val="both"/>
      </w:pPr>
      <w:r>
        <w:rPr>
          <w:rFonts w:ascii="Times New Roman" w:hAnsi="Times New Roman" w:eastAsia="Times New Roman"/>
          <w:b w:val="0"/>
          <w:i w:val="0"/>
          <w:sz w:val="24"/>
        </w:rPr>
        <w:t>Improved diagnostic support can strengthen antimicrobial stewardship and contribute indirectly to AMR mitigation.</w:t>
      </w:r>
    </w:p>
    <w:p>
      <w:pPr>
        <w:spacing w:before="200" w:after="80"/>
        <w:jc w:val="left"/>
      </w:pPr>
      <w:r>
        <w:rPr>
          <w:rFonts w:ascii="Times New Roman" w:hAnsi="Times New Roman" w:eastAsia="Times New Roman"/>
          <w:b w:val="0"/>
          <w:i/>
          <w:sz w:val="24"/>
        </w:rPr>
        <w:t>7.4 Healthcare System Impact</w:t>
      </w:r>
    </w:p>
    <w:p>
      <w:pPr>
        <w:spacing w:line="360" w:lineRule="auto" w:before="0" w:after="120"/>
        <w:jc w:val="both"/>
      </w:pPr>
      <w:r>
        <w:rPr>
          <w:rFonts w:ascii="Times New Roman" w:hAnsi="Times New Roman" w:eastAsia="Times New Roman"/>
          <w:b w:val="0"/>
          <w:i w:val="0"/>
          <w:sz w:val="24"/>
        </w:rPr>
        <w:t>Potential effects include improved triage efficiency, reduced avoidable investigations, and better resource utilization.</w:t>
      </w:r>
    </w:p>
    <w:p>
      <w:pPr>
        <w:spacing w:before="200" w:after="80"/>
        <w:jc w:val="left"/>
      </w:pPr>
      <w:r>
        <w:rPr>
          <w:rFonts w:ascii="Times New Roman" w:hAnsi="Times New Roman" w:eastAsia="Times New Roman"/>
          <w:b w:val="0"/>
          <w:i/>
          <w:sz w:val="24"/>
        </w:rPr>
        <w:t>7.5 Educational and Research Impact</w:t>
      </w:r>
    </w:p>
    <w:p>
      <w:pPr>
        <w:spacing w:line="360" w:lineRule="auto" w:before="0" w:after="120"/>
        <w:jc w:val="both"/>
      </w:pPr>
      <w:r>
        <w:rPr>
          <w:rFonts w:ascii="Times New Roman" w:hAnsi="Times New Roman" w:eastAsia="Times New Roman"/>
          <w:b w:val="0"/>
          <w:i w:val="0"/>
          <w:sz w:val="24"/>
        </w:rPr>
        <w:t>The project supports interdisciplinary training in spectroscopy, computational analysis, and translational innovation.</w:t>
      </w:r>
    </w:p>
    <w:p>
      <w:pPr>
        <w:spacing w:before="200" w:after="80"/>
        <w:jc w:val="left"/>
      </w:pPr>
      <w:r>
        <w:rPr>
          <w:rFonts w:ascii="Times New Roman" w:hAnsi="Times New Roman" w:eastAsia="Times New Roman"/>
          <w:b w:val="0"/>
          <w:i/>
          <w:sz w:val="24"/>
        </w:rPr>
        <w:t>7.6 Market Opportunity</w:t>
      </w:r>
    </w:p>
    <w:p>
      <w:pPr>
        <w:spacing w:before="160" w:after="80"/>
        <w:jc w:val="center"/>
      </w:pPr>
      <w:r>
        <w:rPr>
          <w:rFonts w:ascii="Times New Roman" w:hAnsi="Times New Roman" w:eastAsia="Times New Roman"/>
          <w:b w:val="0"/>
          <w:i w:val="0"/>
          <w:sz w:val="24"/>
        </w:rPr>
        <w:t>Table 7.1: Target Market Segments.</w:t>
      </w:r>
    </w:p>
    <w:p>
      <w:pPr>
        <w:spacing w:line="360" w:lineRule="auto" w:before="0" w:after="120"/>
        <w:jc w:val="both"/>
      </w:pPr>
      <w:r>
        <w:rPr>
          <w:rFonts w:ascii="Times New Roman" w:hAnsi="Times New Roman" w:eastAsia="Times New Roman"/>
          <w:b w:val="0"/>
          <w:i w:val="0"/>
          <w:sz w:val="24"/>
        </w:rPr>
        <w:t>Segment Potential Need</w:t>
      </w:r>
    </w:p>
    <w:p>
      <w:pPr>
        <w:spacing w:line="360" w:lineRule="auto" w:before="0" w:after="120"/>
        <w:jc w:val="both"/>
      </w:pPr>
      <w:r>
        <w:rPr>
          <w:rFonts w:ascii="Times New Roman" w:hAnsi="Times New Roman" w:eastAsia="Times New Roman"/>
          <w:b w:val="0"/>
          <w:i w:val="0"/>
          <w:sz w:val="24"/>
        </w:rPr>
        <w:t>Tertiary hospitals Rapid infection support</w:t>
      </w:r>
    </w:p>
    <w:p>
      <w:pPr>
        <w:spacing w:line="360" w:lineRule="auto" w:before="0" w:after="120"/>
        <w:jc w:val="both"/>
      </w:pPr>
      <w:r>
        <w:rPr>
          <w:rFonts w:ascii="Times New Roman" w:hAnsi="Times New Roman" w:eastAsia="Times New Roman"/>
          <w:b w:val="0"/>
          <w:i w:val="0"/>
          <w:sz w:val="24"/>
        </w:rPr>
        <w:t>NICUs/PICUs Low-volume screening</w:t>
      </w:r>
    </w:p>
    <w:p>
      <w:pPr>
        <w:spacing w:line="360" w:lineRule="auto" w:before="0" w:after="120"/>
        <w:jc w:val="both"/>
      </w:pPr>
      <w:r>
        <w:rPr>
          <w:rFonts w:ascii="Times New Roman" w:hAnsi="Times New Roman" w:eastAsia="Times New Roman"/>
          <w:b w:val="0"/>
          <w:i w:val="0"/>
          <w:sz w:val="24"/>
        </w:rPr>
        <w:t>Emergency departments Fast triage</w:t>
      </w:r>
    </w:p>
    <w:p>
      <w:pPr>
        <w:spacing w:line="360" w:lineRule="auto" w:before="0" w:after="120"/>
        <w:jc w:val="both"/>
      </w:pPr>
      <w:r>
        <w:rPr>
          <w:rFonts w:ascii="Times New Roman" w:hAnsi="Times New Roman" w:eastAsia="Times New Roman"/>
          <w:b w:val="0"/>
          <w:i w:val="0"/>
          <w:sz w:val="24"/>
        </w:rPr>
        <w:t>Diagnostic networks Advanced rapid testing</w:t>
      </w:r>
    </w:p>
    <w:p>
      <w:pPr>
        <w:spacing w:line="360" w:lineRule="auto" w:before="0" w:after="120"/>
        <w:jc w:val="both"/>
      </w:pPr>
      <w:r>
        <w:rPr>
          <w:rFonts w:ascii="Times New Roman" w:hAnsi="Times New Roman" w:eastAsia="Times New Roman"/>
          <w:b w:val="0"/>
          <w:i w:val="0"/>
          <w:sz w:val="24"/>
        </w:rPr>
        <w:t>Rural clinics Portable screening</w:t>
      </w:r>
    </w:p>
    <w:p>
      <w:pPr>
        <w:spacing w:line="360" w:lineRule="auto" w:before="0" w:after="120"/>
        <w:jc w:val="both"/>
      </w:pPr>
      <w:r>
        <w:rPr>
          <w:rFonts w:ascii="Times New Roman" w:hAnsi="Times New Roman" w:eastAsia="Times New Roman"/>
          <w:b w:val="0"/>
          <w:i w:val="0"/>
          <w:sz w:val="24"/>
        </w:rPr>
        <w:t>Public health programs Scalable deployment</w:t>
      </w:r>
    </w:p>
    <w:p>
      <w:pPr>
        <w:spacing w:line="360" w:lineRule="auto" w:before="0" w:after="120"/>
        <w:jc w:val="both"/>
      </w:pPr>
      <w:r>
        <w:rPr>
          <w:rFonts w:ascii="Times New Roman" w:hAnsi="Times New Roman" w:eastAsia="Times New Roman"/>
          <w:b w:val="0"/>
          <w:i w:val="0"/>
          <w:sz w:val="24"/>
        </w:rPr>
        <w:t>Global health organizations Low-resource diagnostics</w:t>
      </w:r>
    </w:p>
    <w:p>
      <w:pPr>
        <w:spacing w:before="200" w:after="80"/>
        <w:jc w:val="left"/>
      </w:pPr>
      <w:r>
        <w:rPr>
          <w:rFonts w:ascii="Times New Roman" w:hAnsi="Times New Roman" w:eastAsia="Times New Roman"/>
          <w:b w:val="0"/>
          <w:i/>
          <w:sz w:val="24"/>
        </w:rPr>
        <w:t>7.7 Competitive Market Position</w:t>
      </w:r>
    </w:p>
    <w:p>
      <w:pPr>
        <w:spacing w:line="360" w:lineRule="auto" w:before="0" w:after="120"/>
        <w:jc w:val="both"/>
      </w:pPr>
      <w:r>
        <w:rPr>
          <w:rFonts w:ascii="Times New Roman" w:hAnsi="Times New Roman" w:eastAsia="Times New Roman"/>
          <w:b w:val="0"/>
          <w:i w:val="0"/>
          <w:sz w:val="24"/>
        </w:rPr>
        <w:t>The technology is positioned as a complementary rapid screening layer, not a replacement for gold-standard diagnostics.</w:t>
      </w:r>
    </w:p>
    <w:p>
      <w:pPr>
        <w:spacing w:before="200" w:after="80"/>
        <w:jc w:val="left"/>
      </w:pPr>
      <w:r>
        <w:rPr>
          <w:rFonts w:ascii="Times New Roman" w:hAnsi="Times New Roman" w:eastAsia="Times New Roman"/>
          <w:b w:val="0"/>
          <w:i/>
          <w:sz w:val="24"/>
        </w:rPr>
        <w:t>7.8 Current Impact vs Future Impact</w:t>
      </w:r>
    </w:p>
    <w:p>
      <w:pPr>
        <w:spacing w:line="360" w:lineRule="auto" w:before="0" w:after="120"/>
        <w:jc w:val="both"/>
      </w:pPr>
      <w:r>
        <w:rPr>
          <w:rFonts w:ascii="Times New Roman" w:hAnsi="Times New Roman" w:eastAsia="Times New Roman"/>
          <w:b w:val="0"/>
          <w:i w:val="0"/>
          <w:sz w:val="24"/>
        </w:rPr>
        <w:t>Current impact is scientific and methodological; large-scale impact depends on prototype validation and clinical adoption.</w:t>
      </w:r>
    </w:p>
    <w:p>
      <w:pPr>
        <w:spacing w:before="200" w:after="80"/>
        <w:jc w:val="left"/>
      </w:pPr>
      <w:r>
        <w:rPr>
          <w:rFonts w:ascii="Times New Roman" w:hAnsi="Times New Roman" w:eastAsia="Times New Roman"/>
          <w:b w:val="0"/>
          <w:i/>
          <w:sz w:val="24"/>
        </w:rPr>
        <w:t>7.9 Measurable Impact Indicators</w:t>
      </w:r>
    </w:p>
    <w:p>
      <w:pPr>
        <w:spacing w:before="160" w:after="80"/>
        <w:jc w:val="center"/>
      </w:pPr>
      <w:r>
        <w:rPr>
          <w:rFonts w:ascii="Times New Roman" w:hAnsi="Times New Roman" w:eastAsia="Times New Roman"/>
          <w:b w:val="0"/>
          <w:i w:val="0"/>
          <w:sz w:val="24"/>
        </w:rPr>
        <w:t>Table 7.2: Future Impact Metrics.</w:t>
      </w:r>
    </w:p>
    <w:p>
      <w:pPr>
        <w:spacing w:line="360" w:lineRule="auto" w:before="0" w:after="120"/>
        <w:jc w:val="both"/>
      </w:pPr>
      <w:r>
        <w:rPr>
          <w:rFonts w:ascii="Times New Roman" w:hAnsi="Times New Roman" w:eastAsia="Times New Roman"/>
          <w:b w:val="0"/>
          <w:i w:val="0"/>
          <w:sz w:val="24"/>
        </w:rPr>
        <w:t>Metric Example</w:t>
      </w:r>
    </w:p>
    <w:p>
      <w:pPr>
        <w:spacing w:line="360" w:lineRule="auto" w:before="0" w:after="120"/>
        <w:jc w:val="both"/>
      </w:pPr>
      <w:r>
        <w:rPr>
          <w:rFonts w:ascii="Times New Roman" w:hAnsi="Times New Roman" w:eastAsia="Times New Roman"/>
          <w:b w:val="0"/>
          <w:i w:val="0"/>
          <w:sz w:val="24"/>
        </w:rPr>
        <w:t>Time-to-result Minutes versus hours/days</w:t>
      </w:r>
    </w:p>
    <w:p>
      <w:pPr>
        <w:spacing w:line="360" w:lineRule="auto" w:before="0" w:after="120"/>
        <w:jc w:val="both"/>
      </w:pPr>
      <w:r>
        <w:rPr>
          <w:rFonts w:ascii="Times New Roman" w:hAnsi="Times New Roman" w:eastAsia="Times New Roman"/>
          <w:b w:val="0"/>
          <w:i w:val="0"/>
          <w:sz w:val="24"/>
        </w:rPr>
        <w:t>Sensitivity/Specificity Against reference standards</w:t>
      </w:r>
    </w:p>
    <w:p>
      <w:pPr>
        <w:spacing w:line="360" w:lineRule="auto" w:before="0" w:after="120"/>
        <w:jc w:val="both"/>
      </w:pPr>
      <w:r>
        <w:rPr>
          <w:rFonts w:ascii="Times New Roman" w:hAnsi="Times New Roman" w:eastAsia="Times New Roman"/>
          <w:b w:val="0"/>
          <w:i w:val="0"/>
          <w:sz w:val="24"/>
        </w:rPr>
        <w:t>Cost per test Compared with current options</w:t>
      </w:r>
    </w:p>
    <w:p>
      <w:pPr>
        <w:spacing w:line="360" w:lineRule="auto" w:before="0" w:after="120"/>
        <w:jc w:val="both"/>
      </w:pPr>
      <w:r>
        <w:rPr>
          <w:rFonts w:ascii="Times New Roman" w:hAnsi="Times New Roman" w:eastAsia="Times New Roman"/>
          <w:b w:val="0"/>
          <w:i w:val="0"/>
          <w:sz w:val="24"/>
        </w:rPr>
        <w:t>Adoption rate Number of deployment sites</w:t>
      </w:r>
    </w:p>
    <w:p>
      <w:pPr>
        <w:spacing w:line="360" w:lineRule="auto" w:before="0" w:after="120"/>
        <w:jc w:val="both"/>
      </w:pPr>
      <w:r>
        <w:rPr>
          <w:rFonts w:ascii="Times New Roman" w:hAnsi="Times New Roman" w:eastAsia="Times New Roman"/>
          <w:b w:val="0"/>
          <w:i w:val="0"/>
          <w:sz w:val="24"/>
        </w:rPr>
        <w:t>Antibiotic decision support Change in prescribing behavior</w:t>
      </w:r>
    </w:p>
    <w:p>
      <w:pPr>
        <w:spacing w:line="360" w:lineRule="auto" w:before="0" w:after="120"/>
        <w:jc w:val="both"/>
      </w:pPr>
      <w:r>
        <w:rPr>
          <w:rFonts w:ascii="Times New Roman" w:hAnsi="Times New Roman" w:eastAsia="Times New Roman"/>
          <w:b w:val="0"/>
          <w:i w:val="0"/>
          <w:sz w:val="24"/>
        </w:rPr>
        <w:t>Sample volume Micro-volume compatibility</w:t>
      </w:r>
    </w:p>
    <w:p>
      <w:pPr>
        <w:spacing w:before="200" w:after="80"/>
        <w:jc w:val="left"/>
      </w:pPr>
      <w:r>
        <w:rPr>
          <w:rFonts w:ascii="Times New Roman" w:hAnsi="Times New Roman" w:eastAsia="Times New Roman"/>
          <w:b w:val="0"/>
          <w:i/>
          <w:sz w:val="24"/>
        </w:rPr>
        <w:t>7.10 Chapter Conclusion</w:t>
      </w:r>
    </w:p>
    <w:p>
      <w:pPr>
        <w:spacing w:line="360" w:lineRule="auto" w:before="0" w:after="120"/>
        <w:jc w:val="both"/>
      </w:pPr>
      <w:r>
        <w:rPr>
          <w:rFonts w:ascii="Times New Roman" w:hAnsi="Times New Roman" w:eastAsia="Times New Roman"/>
          <w:b w:val="0"/>
          <w:i w:val="0"/>
          <w:sz w:val="24"/>
        </w:rPr>
        <w:t>The project has meaningful societal and market potential, contingent on phased evidence generation.</w:t>
      </w:r>
    </w:p>
    <w:p>
      <w:pPr>
        <w:spacing w:before="200" w:after="80"/>
        <w:jc w:val="left"/>
      </w:pPr>
      <w:r>
        <w:rPr>
          <w:rFonts w:ascii="Times New Roman" w:hAnsi="Times New Roman" w:eastAsia="Times New Roman"/>
          <w:b w:val="0"/>
          <w:i/>
          <w:sz w:val="24"/>
        </w:rPr>
        <w:t>7.11 Chapter Summary</w:t>
      </w:r>
    </w:p>
    <w:p>
      <w:pPr>
        <w:spacing w:line="360" w:lineRule="auto" w:before="0" w:after="120"/>
        <w:jc w:val="both"/>
      </w:pPr>
      <w:r>
        <w:rPr>
          <w:rFonts w:ascii="Times New Roman" w:hAnsi="Times New Roman" w:eastAsia="Times New Roman"/>
          <w:b w:val="0"/>
          <w:i w:val="0"/>
          <w:sz w:val="24"/>
        </w:rPr>
        <w:t>This chapter outlined impact pathways and measurable outcomes for future translational stages.</w:t>
      </w:r>
    </w:p>
    <w:p>
      <w:pPr>
        <w:spacing w:before="240" w:after="120"/>
        <w:jc w:val="left"/>
      </w:pPr>
      <w:r>
        <w:rPr>
          <w:rFonts w:ascii="Times New Roman" w:hAnsi="Times New Roman" w:eastAsia="Times New Roman"/>
          <w:b/>
          <w:i w:val="0"/>
          <w:sz w:val="28"/>
        </w:rPr>
        <w:t>8. CHALLENGES OR RISK FACTORS ASSOCIATED WITH THE PROJECT</w:t>
      </w:r>
    </w:p>
    <w:p>
      <w:pPr>
        <w:spacing w:before="200" w:after="80"/>
        <w:jc w:val="left"/>
      </w:pPr>
      <w:r>
        <w:rPr>
          <w:rFonts w:ascii="Times New Roman" w:hAnsi="Times New Roman" w:eastAsia="Times New Roman"/>
          <w:b w:val="0"/>
          <w:i/>
          <w:sz w:val="24"/>
        </w:rPr>
        <w:t>8.1 Introduction</w:t>
      </w:r>
    </w:p>
    <w:p>
      <w:pPr>
        <w:spacing w:line="360" w:lineRule="auto" w:before="0" w:after="120"/>
        <w:jc w:val="both"/>
      </w:pPr>
      <w:r>
        <w:rPr>
          <w:rFonts w:ascii="Times New Roman" w:hAnsi="Times New Roman" w:eastAsia="Times New Roman"/>
          <w:b w:val="0"/>
          <w:i w:val="0"/>
          <w:sz w:val="24"/>
        </w:rPr>
        <w:t>This chapter identifies major risks affecting technical development, clinical translation, and eventual adoption.</w:t>
      </w:r>
    </w:p>
    <w:p>
      <w:pPr>
        <w:spacing w:before="200" w:after="80"/>
        <w:jc w:val="left"/>
      </w:pPr>
      <w:r>
        <w:rPr>
          <w:rFonts w:ascii="Times New Roman" w:hAnsi="Times New Roman" w:eastAsia="Times New Roman"/>
          <w:b w:val="0"/>
          <w:i/>
          <w:sz w:val="24"/>
        </w:rPr>
        <w:t>8.2 Risk Assessment Framework</w:t>
      </w:r>
    </w:p>
    <w:p>
      <w:pPr>
        <w:spacing w:line="360" w:lineRule="auto" w:before="0" w:after="120"/>
        <w:jc w:val="both"/>
      </w:pPr>
      <w:r>
        <w:rPr>
          <w:rFonts w:ascii="Times New Roman" w:hAnsi="Times New Roman" w:eastAsia="Times New Roman"/>
          <w:b w:val="0"/>
          <w:i w:val="0"/>
          <w:sz w:val="24"/>
        </w:rPr>
        <w:t>Risks are prioritized by probability and impact to guide mitigation planning.</w:t>
      </w:r>
    </w:p>
    <w:p>
      <w:pPr>
        <w:spacing w:before="200" w:after="80"/>
        <w:jc w:val="left"/>
      </w:pPr>
      <w:r>
        <w:rPr>
          <w:rFonts w:ascii="Times New Roman" w:hAnsi="Times New Roman" w:eastAsia="Times New Roman"/>
          <w:b w:val="0"/>
          <w:i/>
          <w:sz w:val="24"/>
        </w:rPr>
        <w:t>8.3 Technical Risks</w:t>
      </w:r>
    </w:p>
    <w:p>
      <w:pPr>
        <w:spacing w:line="360" w:lineRule="auto" w:before="0" w:after="120"/>
        <w:jc w:val="both"/>
      </w:pPr>
      <w:r>
        <w:rPr>
          <w:rFonts w:ascii="Times New Roman" w:hAnsi="Times New Roman" w:eastAsia="Times New Roman"/>
          <w:b w:val="0"/>
          <w:i w:val="0"/>
          <w:sz w:val="24"/>
        </w:rPr>
        <w:t>Weak signal at low concentrations, baseline/noise artifacts, and substrate variability are primary technical risks.</w:t>
      </w:r>
    </w:p>
    <w:p>
      <w:pPr>
        <w:spacing w:before="160" w:after="80"/>
        <w:jc w:val="center"/>
      </w:pPr>
      <w:r>
        <w:rPr>
          <w:rFonts w:ascii="Times New Roman" w:hAnsi="Times New Roman" w:eastAsia="Times New Roman"/>
          <w:b w:val="0"/>
          <w:i w:val="0"/>
          <w:sz w:val="24"/>
        </w:rPr>
        <w:t>Table 8.1: Technical Risks and Mitigation.</w:t>
      </w:r>
    </w:p>
    <w:p>
      <w:pPr>
        <w:spacing w:line="360" w:lineRule="auto" w:before="0" w:after="120"/>
        <w:jc w:val="both"/>
      </w:pPr>
      <w:r>
        <w:rPr>
          <w:rFonts w:ascii="Times New Roman" w:hAnsi="Times New Roman" w:eastAsia="Times New Roman"/>
          <w:b w:val="0"/>
          <w:i w:val="0"/>
          <w:sz w:val="24"/>
        </w:rPr>
        <w:t>Risk Impact Mitigation</w:t>
      </w:r>
    </w:p>
    <w:p>
      <w:pPr>
        <w:spacing w:line="360" w:lineRule="auto" w:before="0" w:after="120"/>
        <w:jc w:val="both"/>
      </w:pPr>
      <w:r>
        <w:rPr>
          <w:rFonts w:ascii="Times New Roman" w:hAnsi="Times New Roman" w:eastAsia="Times New Roman"/>
          <w:b w:val="0"/>
          <w:i w:val="0"/>
          <w:sz w:val="24"/>
        </w:rPr>
        <w:t>Weak signal Missed detection Optimization and SERS enhancement</w:t>
      </w:r>
    </w:p>
    <w:p>
      <w:pPr>
        <w:spacing w:line="360" w:lineRule="auto" w:before="0" w:after="120"/>
        <w:jc w:val="both"/>
      </w:pPr>
      <w:r>
        <w:rPr>
          <w:rFonts w:ascii="Times New Roman" w:hAnsi="Times New Roman" w:eastAsia="Times New Roman"/>
          <w:b w:val="0"/>
          <w:i w:val="0"/>
          <w:sz w:val="24"/>
        </w:rPr>
        <w:t>Noise artifacts Misinterpretation Standardized preprocessing and QC</w:t>
      </w:r>
    </w:p>
    <w:p>
      <w:pPr>
        <w:spacing w:line="360" w:lineRule="auto" w:before="0" w:after="120"/>
        <w:jc w:val="both"/>
      </w:pPr>
      <w:r>
        <w:rPr>
          <w:rFonts w:ascii="Times New Roman" w:hAnsi="Times New Roman" w:eastAsia="Times New Roman"/>
          <w:b w:val="0"/>
          <w:i w:val="0"/>
          <w:sz w:val="24"/>
        </w:rPr>
        <w:t>Substrate variability Poor reproducibility Batch control and characterization</w:t>
      </w:r>
    </w:p>
    <w:p>
      <w:pPr>
        <w:spacing w:before="200" w:after="80"/>
        <w:jc w:val="left"/>
      </w:pPr>
      <w:r>
        <w:rPr>
          <w:rFonts w:ascii="Times New Roman" w:hAnsi="Times New Roman" w:eastAsia="Times New Roman"/>
          <w:b w:val="0"/>
          <w:i/>
          <w:sz w:val="24"/>
        </w:rPr>
        <w:t>8.4 Scientific Risks</w:t>
      </w:r>
    </w:p>
    <w:p>
      <w:pPr>
        <w:spacing w:line="360" w:lineRule="auto" w:before="0" w:after="120"/>
        <w:jc w:val="both"/>
      </w:pPr>
      <w:r>
        <w:rPr>
          <w:rFonts w:ascii="Times New Roman" w:hAnsi="Times New Roman" w:eastAsia="Times New Roman"/>
          <w:b w:val="0"/>
          <w:i w:val="0"/>
          <w:sz w:val="24"/>
        </w:rPr>
        <w:t>Specificity limitations and interpretation in complex clinical matrices require cautious, multi-marker validation.</w:t>
      </w:r>
    </w:p>
    <w:p>
      <w:pPr>
        <w:spacing w:before="200" w:after="80"/>
        <w:jc w:val="left"/>
      </w:pPr>
      <w:r>
        <w:rPr>
          <w:rFonts w:ascii="Times New Roman" w:hAnsi="Times New Roman" w:eastAsia="Times New Roman"/>
          <w:b w:val="0"/>
          <w:i/>
          <w:sz w:val="24"/>
        </w:rPr>
        <w:t>8.5 Experimental and Data Risks</w:t>
      </w:r>
    </w:p>
    <w:p>
      <w:pPr>
        <w:spacing w:line="360" w:lineRule="auto" w:before="0" w:after="120"/>
        <w:jc w:val="both"/>
      </w:pPr>
      <w:r>
        <w:rPr>
          <w:rFonts w:ascii="Times New Roman" w:hAnsi="Times New Roman" w:eastAsia="Times New Roman"/>
          <w:b w:val="0"/>
          <w:i w:val="0"/>
          <w:sz w:val="24"/>
        </w:rPr>
        <w:t>Small datasets, cross-day variation, and quantification uncertainty require expanded studies and standardized protocols.</w:t>
      </w:r>
    </w:p>
    <w:p>
      <w:pPr>
        <w:spacing w:before="160" w:after="80"/>
        <w:jc w:val="center"/>
      </w:pPr>
      <w:r>
        <w:rPr>
          <w:rFonts w:ascii="Times New Roman" w:hAnsi="Times New Roman" w:eastAsia="Times New Roman"/>
          <w:b w:val="0"/>
          <w:i w:val="0"/>
          <w:sz w:val="24"/>
        </w:rPr>
        <w:t>Table 8.2: Data Risks and Controls.</w:t>
      </w:r>
    </w:p>
    <w:p>
      <w:pPr>
        <w:spacing w:before="200" w:after="80"/>
        <w:jc w:val="left"/>
      </w:pPr>
      <w:r>
        <w:rPr>
          <w:rFonts w:ascii="Times New Roman" w:hAnsi="Times New Roman" w:eastAsia="Times New Roman"/>
          <w:b w:val="0"/>
          <w:i/>
          <w:sz w:val="24"/>
        </w:rPr>
        <w:t>8.6 Clinical Translation Risks</w:t>
      </w:r>
    </w:p>
    <w:p>
      <w:pPr>
        <w:spacing w:line="360" w:lineRule="auto" w:before="0" w:after="120"/>
        <w:jc w:val="both"/>
      </w:pPr>
      <w:r>
        <w:rPr>
          <w:rFonts w:ascii="Times New Roman" w:hAnsi="Times New Roman" w:eastAsia="Times New Roman"/>
          <w:b w:val="0"/>
          <w:i w:val="0"/>
          <w:sz w:val="24"/>
        </w:rPr>
        <w:t>Benchmarking against standard methods and workflow integration are essential for clinician acceptance.</w:t>
      </w:r>
    </w:p>
    <w:p>
      <w:pPr>
        <w:spacing w:before="200" w:after="80"/>
        <w:jc w:val="left"/>
      </w:pPr>
      <w:r>
        <w:rPr>
          <w:rFonts w:ascii="Times New Roman" w:hAnsi="Times New Roman" w:eastAsia="Times New Roman"/>
          <w:b w:val="0"/>
          <w:i/>
          <w:sz w:val="24"/>
        </w:rPr>
        <w:t>8.7 Regulatory and Ethical Risks</w:t>
      </w:r>
    </w:p>
    <w:p>
      <w:pPr>
        <w:spacing w:line="360" w:lineRule="auto" w:before="0" w:after="120"/>
        <w:jc w:val="both"/>
      </w:pPr>
      <w:r>
        <w:rPr>
          <w:rFonts w:ascii="Times New Roman" w:hAnsi="Times New Roman" w:eastAsia="Times New Roman"/>
          <w:b w:val="0"/>
          <w:i w:val="0"/>
          <w:sz w:val="24"/>
        </w:rPr>
        <w:t>Regulatory compliance and data governance are critical for clinical deployment readiness.</w:t>
      </w:r>
    </w:p>
    <w:p>
      <w:pPr>
        <w:spacing w:before="200" w:after="80"/>
        <w:jc w:val="left"/>
      </w:pPr>
      <w:r>
        <w:rPr>
          <w:rFonts w:ascii="Times New Roman" w:hAnsi="Times New Roman" w:eastAsia="Times New Roman"/>
          <w:b w:val="0"/>
          <w:i/>
          <w:sz w:val="24"/>
        </w:rPr>
        <w:t>8.8 Manufacturing and Commercial Risks</w:t>
      </w:r>
    </w:p>
    <w:p>
      <w:pPr>
        <w:spacing w:line="360" w:lineRule="auto" w:before="0" w:after="120"/>
        <w:jc w:val="both"/>
      </w:pPr>
      <w:r>
        <w:rPr>
          <w:rFonts w:ascii="Times New Roman" w:hAnsi="Times New Roman" w:eastAsia="Times New Roman"/>
          <w:b w:val="0"/>
          <w:i w:val="0"/>
          <w:sz w:val="24"/>
        </w:rPr>
        <w:t>Scale-up cost, competition, and procurement economics may affect adoption.</w:t>
      </w:r>
    </w:p>
    <w:p>
      <w:pPr>
        <w:spacing w:before="160" w:after="80"/>
        <w:jc w:val="center"/>
      </w:pPr>
      <w:r>
        <w:rPr>
          <w:rFonts w:ascii="Times New Roman" w:hAnsi="Times New Roman" w:eastAsia="Times New Roman"/>
          <w:b w:val="0"/>
          <w:i w:val="0"/>
          <w:sz w:val="24"/>
        </w:rPr>
        <w:t>Table 8.3: Commercial Risks and Responses.</w:t>
      </w:r>
    </w:p>
    <w:p>
      <w:pPr>
        <w:spacing w:before="200" w:after="80"/>
        <w:jc w:val="left"/>
      </w:pPr>
      <w:r>
        <w:rPr>
          <w:rFonts w:ascii="Times New Roman" w:hAnsi="Times New Roman" w:eastAsia="Times New Roman"/>
          <w:b w:val="0"/>
          <w:i/>
          <w:sz w:val="24"/>
        </w:rPr>
        <w:t>8.9 Project-Specific Critical Success Factors</w:t>
      </w:r>
    </w:p>
    <w:p>
      <w:pPr>
        <w:spacing w:line="360" w:lineRule="auto" w:before="0" w:after="120"/>
        <w:jc w:val="both"/>
      </w:pPr>
      <w:r>
        <w:rPr>
          <w:rFonts w:ascii="Times New Roman" w:hAnsi="Times New Roman" w:eastAsia="Times New Roman"/>
          <w:b w:val="0"/>
          <w:i w:val="0"/>
          <w:sz w:val="24"/>
        </w:rPr>
        <w:t>Critical factors include reproducible spectra, robust discrimination logic, validated performance, usability, and scalable implementation.</w:t>
      </w:r>
    </w:p>
    <w:p>
      <w:pPr>
        <w:spacing w:before="200" w:after="80"/>
        <w:jc w:val="left"/>
      </w:pPr>
      <w:r>
        <w:rPr>
          <w:rFonts w:ascii="Times New Roman" w:hAnsi="Times New Roman" w:eastAsia="Times New Roman"/>
          <w:b w:val="0"/>
          <w:i/>
          <w:sz w:val="24"/>
        </w:rPr>
        <w:t>8.10 Current Status vs Future Risk Exposure</w:t>
      </w:r>
    </w:p>
    <w:p>
      <w:pPr>
        <w:spacing w:line="360" w:lineRule="auto" w:before="0" w:after="120"/>
        <w:jc w:val="both"/>
      </w:pPr>
      <w:r>
        <w:rPr>
          <w:rFonts w:ascii="Times New Roman" w:hAnsi="Times New Roman" w:eastAsia="Times New Roman"/>
          <w:b w:val="0"/>
          <w:i w:val="0"/>
          <w:sz w:val="24"/>
        </w:rPr>
        <w:t>Current risks are manageable at research scale; regulatory and commercialization risks increase in later stages.</w:t>
      </w:r>
    </w:p>
    <w:p>
      <w:pPr>
        <w:spacing w:before="200" w:after="80"/>
        <w:jc w:val="left"/>
      </w:pPr>
      <w:r>
        <w:rPr>
          <w:rFonts w:ascii="Times New Roman" w:hAnsi="Times New Roman" w:eastAsia="Times New Roman"/>
          <w:b w:val="0"/>
          <w:i/>
          <w:sz w:val="24"/>
        </w:rPr>
        <w:t>8.11 Overall Risk Assessment</w:t>
      </w:r>
    </w:p>
    <w:p>
      <w:pPr>
        <w:spacing w:line="360" w:lineRule="auto" w:before="0" w:after="120"/>
        <w:jc w:val="both"/>
      </w:pPr>
      <w:r>
        <w:rPr>
          <w:rFonts w:ascii="Times New Roman" w:hAnsi="Times New Roman" w:eastAsia="Times New Roman"/>
          <w:b w:val="0"/>
          <w:i w:val="0"/>
          <w:sz w:val="24"/>
        </w:rPr>
        <w:t>The project carries moderate translational risk typical of early biomedical technologies.</w:t>
      </w:r>
    </w:p>
    <w:p>
      <w:pPr>
        <w:spacing w:before="200" w:after="80"/>
        <w:jc w:val="left"/>
      </w:pPr>
      <w:r>
        <w:rPr>
          <w:rFonts w:ascii="Times New Roman" w:hAnsi="Times New Roman" w:eastAsia="Times New Roman"/>
          <w:b w:val="0"/>
          <w:i/>
          <w:sz w:val="24"/>
        </w:rPr>
        <w:t>8.12 Chapter Conclusion</w:t>
      </w:r>
    </w:p>
    <w:p>
      <w:pPr>
        <w:spacing w:line="360" w:lineRule="auto" w:before="0" w:after="120"/>
        <w:jc w:val="both"/>
      </w:pPr>
      <w:r>
        <w:rPr>
          <w:rFonts w:ascii="Times New Roman" w:hAnsi="Times New Roman" w:eastAsia="Times New Roman"/>
          <w:b w:val="0"/>
          <w:i w:val="0"/>
          <w:sz w:val="24"/>
        </w:rPr>
        <w:t>Risks are significant but addressable through systematic, staged, evidence-driven progression.</w:t>
      </w:r>
    </w:p>
    <w:p>
      <w:pPr>
        <w:spacing w:before="200" w:after="80"/>
        <w:jc w:val="left"/>
      </w:pPr>
      <w:r>
        <w:rPr>
          <w:rFonts w:ascii="Times New Roman" w:hAnsi="Times New Roman" w:eastAsia="Times New Roman"/>
          <w:b w:val="0"/>
          <w:i/>
          <w:sz w:val="24"/>
        </w:rPr>
        <w:t>8.13 Chapter Summary</w:t>
      </w:r>
    </w:p>
    <w:p>
      <w:pPr>
        <w:spacing w:line="360" w:lineRule="auto" w:before="0" w:after="120"/>
        <w:jc w:val="both"/>
      </w:pPr>
      <w:r>
        <w:rPr>
          <w:rFonts w:ascii="Times New Roman" w:hAnsi="Times New Roman" w:eastAsia="Times New Roman"/>
          <w:b w:val="0"/>
          <w:i w:val="0"/>
          <w:sz w:val="24"/>
        </w:rPr>
        <w:t>This chapter provided a structured risk map and mitigation pathway for future development.</w:t>
      </w:r>
    </w:p>
    <w:p>
      <w:pPr>
        <w:spacing w:before="240" w:after="120"/>
        <w:jc w:val="left"/>
      </w:pPr>
      <w:r>
        <w:rPr>
          <w:rFonts w:ascii="Times New Roman" w:hAnsi="Times New Roman" w:eastAsia="Times New Roman"/>
          <w:b/>
          <w:i w:val="0"/>
          <w:sz w:val="28"/>
        </w:rPr>
        <w:t>9. ANY PATENT OR EQUIVALENT FILED</w:t>
      </w:r>
    </w:p>
    <w:p>
      <w:pPr>
        <w:spacing w:before="200" w:after="80"/>
        <w:jc w:val="left"/>
      </w:pPr>
      <w:r>
        <w:rPr>
          <w:rFonts w:ascii="Times New Roman" w:hAnsi="Times New Roman" w:eastAsia="Times New Roman"/>
          <w:b w:val="0"/>
          <w:i/>
          <w:sz w:val="24"/>
        </w:rPr>
        <w:t>9.1 Introduction</w:t>
      </w:r>
    </w:p>
    <w:p>
      <w:pPr>
        <w:spacing w:line="360" w:lineRule="auto" w:before="0" w:after="120"/>
        <w:jc w:val="both"/>
      </w:pPr>
      <w:r>
        <w:rPr>
          <w:rFonts w:ascii="Times New Roman" w:hAnsi="Times New Roman" w:eastAsia="Times New Roman"/>
          <w:b w:val="0"/>
          <w:i w:val="0"/>
          <w:sz w:val="24"/>
        </w:rPr>
        <w:t>This chapter presents current IP status and future protection opportunities arising from the project.</w:t>
      </w:r>
    </w:p>
    <w:p>
      <w:pPr>
        <w:spacing w:before="200" w:after="80"/>
        <w:jc w:val="left"/>
      </w:pPr>
      <w:r>
        <w:rPr>
          <w:rFonts w:ascii="Times New Roman" w:hAnsi="Times New Roman" w:eastAsia="Times New Roman"/>
          <w:b w:val="0"/>
          <w:i/>
          <w:sz w:val="24"/>
        </w:rPr>
        <w:t>9.2 Current Filing Status</w:t>
      </w:r>
    </w:p>
    <w:p>
      <w:pPr>
        <w:spacing w:line="360" w:lineRule="auto" w:before="0" w:after="120"/>
        <w:jc w:val="both"/>
      </w:pPr>
      <w:r>
        <w:rPr>
          <w:rFonts w:ascii="Times New Roman" w:hAnsi="Times New Roman" w:eastAsia="Times New Roman"/>
          <w:b w:val="0"/>
          <w:i w:val="0"/>
          <w:sz w:val="24"/>
        </w:rPr>
        <w:t>As of the present submission stage, no formal patent filing is claimed unless officially documented through institutional channels.</w:t>
      </w:r>
    </w:p>
    <w:p>
      <w:pPr>
        <w:spacing w:before="200" w:after="80"/>
        <w:jc w:val="left"/>
      </w:pPr>
      <w:r>
        <w:rPr>
          <w:rFonts w:ascii="Times New Roman" w:hAnsi="Times New Roman" w:eastAsia="Times New Roman"/>
          <w:b w:val="0"/>
          <w:i/>
          <w:sz w:val="24"/>
        </w:rPr>
        <w:t>9.3 Why Filing May Be Deferred</w:t>
      </w:r>
    </w:p>
    <w:p>
      <w:pPr>
        <w:spacing w:line="360" w:lineRule="auto" w:before="0" w:after="120"/>
        <w:jc w:val="both"/>
      </w:pPr>
      <w:r>
        <w:rPr>
          <w:rFonts w:ascii="Times New Roman" w:hAnsi="Times New Roman" w:eastAsia="Times New Roman"/>
          <w:b w:val="0"/>
          <w:i w:val="0"/>
          <w:sz w:val="24"/>
        </w:rPr>
        <w:t>Deferral may be strategic when stronger claims are expected after expanded data and prototype maturity.</w:t>
      </w:r>
    </w:p>
    <w:p>
      <w:pPr>
        <w:spacing w:before="200" w:after="80"/>
        <w:jc w:val="left"/>
      </w:pPr>
      <w:r>
        <w:rPr>
          <w:rFonts w:ascii="Times New Roman" w:hAnsi="Times New Roman" w:eastAsia="Times New Roman"/>
          <w:b w:val="0"/>
          <w:i/>
          <w:sz w:val="24"/>
        </w:rPr>
        <w:t>9.4 Potentially Patentable Outcomes Identified</w:t>
      </w:r>
    </w:p>
    <w:p>
      <w:pPr>
        <w:spacing w:line="360" w:lineRule="auto" w:before="0" w:after="120"/>
        <w:jc w:val="both"/>
      </w:pPr>
      <w:r>
        <w:rPr>
          <w:rFonts w:ascii="Times New Roman" w:hAnsi="Times New Roman" w:eastAsia="Times New Roman"/>
          <w:b w:val="0"/>
          <w:i w:val="0"/>
          <w:sz w:val="24"/>
        </w:rPr>
        <w:t>Potential assets include method, device, material, and software innovations.</w:t>
      </w:r>
    </w:p>
    <w:p>
      <w:pPr>
        <w:spacing w:before="200" w:after="80"/>
        <w:jc w:val="left"/>
      </w:pPr>
      <w:r>
        <w:rPr>
          <w:rFonts w:ascii="Times New Roman" w:hAnsi="Times New Roman" w:eastAsia="Times New Roman"/>
          <w:b w:val="0"/>
          <w:i/>
          <w:sz w:val="24"/>
        </w:rPr>
        <w:t>9.5 Alignment with Thesis Work</w:t>
      </w:r>
    </w:p>
    <w:p>
      <w:pPr>
        <w:spacing w:line="360" w:lineRule="auto" w:before="0" w:after="120"/>
        <w:jc w:val="both"/>
      </w:pPr>
      <w:r>
        <w:rPr>
          <w:rFonts w:ascii="Times New Roman" w:hAnsi="Times New Roman" w:eastAsia="Times New Roman"/>
          <w:b w:val="0"/>
          <w:i w:val="0"/>
          <w:sz w:val="24"/>
        </w:rPr>
        <w:t>Current outputs support concept-level IP potential and can be strengthened through further validation.</w:t>
      </w:r>
    </w:p>
    <w:p>
      <w:pPr>
        <w:spacing w:before="200" w:after="80"/>
        <w:jc w:val="left"/>
      </w:pPr>
      <w:r>
        <w:rPr>
          <w:rFonts w:ascii="Times New Roman" w:hAnsi="Times New Roman" w:eastAsia="Times New Roman"/>
          <w:b w:val="0"/>
          <w:i/>
          <w:sz w:val="24"/>
        </w:rPr>
        <w:t>9.6 Suggested Future Patent Titles</w:t>
      </w:r>
    </w:p>
    <w:p>
      <w:pPr>
        <w:spacing w:line="360" w:lineRule="auto" w:before="0" w:after="120"/>
        <w:jc w:val="both"/>
      </w:pPr>
      <w:r>
        <w:rPr>
          <w:rFonts w:ascii="Times New Roman" w:hAnsi="Times New Roman" w:eastAsia="Times New Roman"/>
          <w:b w:val="0"/>
          <w:i w:val="0"/>
          <w:sz w:val="24"/>
        </w:rPr>
        <w:t>Potential titles may be finalized after prior-art mapping and institutional IP consultation.</w:t>
      </w:r>
    </w:p>
    <w:p>
      <w:pPr>
        <w:spacing w:before="200" w:after="80"/>
        <w:jc w:val="left"/>
      </w:pPr>
      <w:r>
        <w:rPr>
          <w:rFonts w:ascii="Times New Roman" w:hAnsi="Times New Roman" w:eastAsia="Times New Roman"/>
          <w:b w:val="0"/>
          <w:i/>
          <w:sz w:val="24"/>
        </w:rPr>
        <w:t>9.7 Competitive Positioning of Future IP</w:t>
      </w:r>
    </w:p>
    <w:p>
      <w:pPr>
        <w:spacing w:line="360" w:lineRule="auto" w:before="0" w:after="120"/>
        <w:jc w:val="both"/>
      </w:pPr>
      <w:r>
        <w:rPr>
          <w:rFonts w:ascii="Times New Roman" w:hAnsi="Times New Roman" w:eastAsia="Times New Roman"/>
          <w:b w:val="0"/>
          <w:i w:val="0"/>
          <w:sz w:val="24"/>
        </w:rPr>
        <w:t>Differentiation is expected in explainable structural biomarker screening and integrated translational architecture.</w:t>
      </w:r>
    </w:p>
    <w:p>
      <w:pPr>
        <w:spacing w:before="200" w:after="80"/>
        <w:jc w:val="left"/>
      </w:pPr>
      <w:r>
        <w:rPr>
          <w:rFonts w:ascii="Times New Roman" w:hAnsi="Times New Roman" w:eastAsia="Times New Roman"/>
          <w:b w:val="0"/>
          <w:i/>
          <w:sz w:val="24"/>
        </w:rPr>
        <w:t>9.8 Equivalent Non-Patent Intellectual Property</w:t>
      </w:r>
    </w:p>
    <w:p>
      <w:pPr>
        <w:spacing w:line="360" w:lineRule="auto" w:before="0" w:after="120"/>
        <w:jc w:val="both"/>
      </w:pPr>
      <w:r>
        <w:rPr>
          <w:rFonts w:ascii="Times New Roman" w:hAnsi="Times New Roman" w:eastAsia="Times New Roman"/>
          <w:b w:val="0"/>
          <w:i w:val="0"/>
          <w:sz w:val="24"/>
        </w:rPr>
        <w:t>Non-patent assets include datasets, workflows, SOPs, code, and technical know-how.</w:t>
      </w:r>
    </w:p>
    <w:p>
      <w:pPr>
        <w:spacing w:before="200" w:after="80"/>
        <w:jc w:val="left"/>
      </w:pPr>
      <w:r>
        <w:rPr>
          <w:rFonts w:ascii="Times New Roman" w:hAnsi="Times New Roman" w:eastAsia="Times New Roman"/>
          <w:b w:val="0"/>
          <w:i/>
          <w:sz w:val="24"/>
        </w:rPr>
        <w:t>9.9 Recommended Future IP Roadmap</w:t>
      </w:r>
    </w:p>
    <w:p>
      <w:pPr>
        <w:spacing w:before="160" w:after="80"/>
        <w:jc w:val="center"/>
      </w:pPr>
      <w:r>
        <w:rPr>
          <w:rFonts w:ascii="Times New Roman" w:hAnsi="Times New Roman" w:eastAsia="Times New Roman"/>
          <w:b w:val="0"/>
          <w:i w:val="0"/>
          <w:sz w:val="24"/>
        </w:rPr>
        <w:t>Table 9.1: Future IP Roadmap.</w:t>
      </w:r>
    </w:p>
    <w:p>
      <w:pPr>
        <w:spacing w:line="360" w:lineRule="auto" w:before="0" w:after="120"/>
        <w:jc w:val="both"/>
      </w:pPr>
      <w:r>
        <w:rPr>
          <w:rFonts w:ascii="Times New Roman" w:hAnsi="Times New Roman" w:eastAsia="Times New Roman"/>
          <w:b w:val="0"/>
          <w:i w:val="0"/>
          <w:sz w:val="24"/>
        </w:rPr>
        <w:t>Stage Recommended Action</w:t>
      </w:r>
    </w:p>
    <w:p>
      <w:pPr>
        <w:spacing w:line="360" w:lineRule="auto" w:before="0" w:after="120"/>
        <w:jc w:val="both"/>
      </w:pPr>
      <w:r>
        <w:rPr>
          <w:rFonts w:ascii="Times New Roman" w:hAnsi="Times New Roman" w:eastAsia="Times New Roman"/>
          <w:b w:val="0"/>
          <w:i w:val="0"/>
          <w:sz w:val="24"/>
        </w:rPr>
        <w:t>Current stage Consolidate evidence and claim mapping</w:t>
      </w:r>
    </w:p>
    <w:p>
      <w:pPr>
        <w:spacing w:line="360" w:lineRule="auto" w:before="0" w:after="120"/>
        <w:jc w:val="both"/>
      </w:pPr>
      <w:r>
        <w:rPr>
          <w:rFonts w:ascii="Times New Roman" w:hAnsi="Times New Roman" w:eastAsia="Times New Roman"/>
          <w:b w:val="0"/>
          <w:i w:val="0"/>
          <w:sz w:val="24"/>
        </w:rPr>
        <w:t>Expanded results Prepare invention disclosure</w:t>
      </w:r>
    </w:p>
    <w:p>
      <w:pPr>
        <w:spacing w:line="360" w:lineRule="auto" w:before="0" w:after="120"/>
        <w:jc w:val="both"/>
      </w:pPr>
      <w:r>
        <w:rPr>
          <w:rFonts w:ascii="Times New Roman" w:hAnsi="Times New Roman" w:eastAsia="Times New Roman"/>
          <w:b w:val="0"/>
          <w:i w:val="0"/>
          <w:sz w:val="24"/>
        </w:rPr>
        <w:t>Prototype File provisional patent</w:t>
      </w:r>
    </w:p>
    <w:p>
      <w:pPr>
        <w:spacing w:line="360" w:lineRule="auto" w:before="0" w:after="120"/>
        <w:jc w:val="both"/>
      </w:pPr>
      <w:r>
        <w:rPr>
          <w:rFonts w:ascii="Times New Roman" w:hAnsi="Times New Roman" w:eastAsia="Times New Roman"/>
          <w:b w:val="0"/>
          <w:i w:val="0"/>
          <w:sz w:val="24"/>
        </w:rPr>
        <w:t>Advanced validation File complete patent/PCT</w:t>
      </w:r>
    </w:p>
    <w:p>
      <w:pPr>
        <w:spacing w:line="360" w:lineRule="auto" w:before="0" w:after="120"/>
        <w:jc w:val="both"/>
      </w:pPr>
      <w:r>
        <w:rPr>
          <w:rFonts w:ascii="Times New Roman" w:hAnsi="Times New Roman" w:eastAsia="Times New Roman"/>
          <w:b w:val="0"/>
          <w:i w:val="0"/>
          <w:sz w:val="24"/>
        </w:rPr>
        <w:t>Commercialization License/startup/partnership model</w:t>
      </w:r>
    </w:p>
    <w:p>
      <w:pPr>
        <w:spacing w:before="200" w:after="80"/>
        <w:jc w:val="left"/>
      </w:pPr>
      <w:r>
        <w:rPr>
          <w:rFonts w:ascii="Times New Roman" w:hAnsi="Times New Roman" w:eastAsia="Times New Roman"/>
          <w:b w:val="0"/>
          <w:i/>
          <w:sz w:val="24"/>
        </w:rPr>
        <w:t>9.10 Risks in Future IP Strategy</w:t>
      </w:r>
    </w:p>
    <w:p>
      <w:pPr>
        <w:spacing w:line="360" w:lineRule="auto" w:before="0" w:after="120"/>
        <w:jc w:val="both"/>
      </w:pPr>
      <w:r>
        <w:rPr>
          <w:rFonts w:ascii="Times New Roman" w:hAnsi="Times New Roman" w:eastAsia="Times New Roman"/>
          <w:b w:val="0"/>
          <w:i w:val="0"/>
          <w:sz w:val="24"/>
        </w:rPr>
        <w:t>Prior-art overlap, premature public disclosure, weak claims, and ownership ambiguity are key risks.</w:t>
      </w:r>
    </w:p>
    <w:p>
      <w:pPr>
        <w:spacing w:before="200" w:after="80"/>
        <w:jc w:val="left"/>
      </w:pPr>
      <w:r>
        <w:rPr>
          <w:rFonts w:ascii="Times New Roman" w:hAnsi="Times New Roman" w:eastAsia="Times New Roman"/>
          <w:b w:val="0"/>
          <w:i/>
          <w:sz w:val="24"/>
        </w:rPr>
        <w:t>9.11 Strategic Conclusion</w:t>
      </w:r>
    </w:p>
    <w:p>
      <w:pPr>
        <w:spacing w:line="360" w:lineRule="auto" w:before="0" w:after="120"/>
        <w:jc w:val="both"/>
      </w:pPr>
      <w:r>
        <w:rPr>
          <w:rFonts w:ascii="Times New Roman" w:hAnsi="Times New Roman" w:eastAsia="Times New Roman"/>
          <w:b w:val="0"/>
          <w:i w:val="0"/>
          <w:sz w:val="24"/>
        </w:rPr>
        <w:t>The project supports a platform-oriented IP strategy with potential for multiple complementary filings.</w:t>
      </w:r>
    </w:p>
    <w:p>
      <w:pPr>
        <w:spacing w:before="200" w:after="80"/>
        <w:jc w:val="left"/>
      </w:pPr>
      <w:r>
        <w:rPr>
          <w:rFonts w:ascii="Times New Roman" w:hAnsi="Times New Roman" w:eastAsia="Times New Roman"/>
          <w:b w:val="0"/>
          <w:i/>
          <w:sz w:val="24"/>
        </w:rPr>
        <w:t>9.12 Chapter Summary</w:t>
      </w:r>
    </w:p>
    <w:p>
      <w:pPr>
        <w:spacing w:line="360" w:lineRule="auto" w:before="0" w:after="120"/>
        <w:jc w:val="both"/>
      </w:pPr>
      <w:r>
        <w:rPr>
          <w:rFonts w:ascii="Times New Roman" w:hAnsi="Times New Roman" w:eastAsia="Times New Roman"/>
          <w:b w:val="0"/>
          <w:i w:val="0"/>
          <w:sz w:val="24"/>
        </w:rPr>
        <w:t>This chapter clarified current IP status and practical future filing directions.</w:t>
      </w:r>
    </w:p>
    <w:p>
      <w:pPr>
        <w:spacing w:before="240" w:after="120"/>
        <w:jc w:val="left"/>
      </w:pPr>
      <w:r>
        <w:rPr>
          <w:rFonts w:ascii="Times New Roman" w:hAnsi="Times New Roman" w:eastAsia="Times New Roman"/>
          <w:b/>
          <w:i w:val="0"/>
          <w:sz w:val="28"/>
        </w:rPr>
        <w:t>10. RELEVANT REFERENCES</w:t>
      </w:r>
    </w:p>
    <w:p>
      <w:pPr>
        <w:spacing w:before="200" w:after="80"/>
        <w:jc w:val="left"/>
      </w:pPr>
      <w:r>
        <w:rPr>
          <w:rFonts w:ascii="Times New Roman" w:hAnsi="Times New Roman" w:eastAsia="Times New Roman"/>
          <w:b w:val="0"/>
          <w:i/>
          <w:sz w:val="24"/>
        </w:rPr>
        <w:t>10.1 Introduction</w:t>
      </w:r>
    </w:p>
    <w:p>
      <w:pPr>
        <w:spacing w:line="360" w:lineRule="auto" w:before="0" w:after="120"/>
        <w:jc w:val="both"/>
      </w:pPr>
      <w:r>
        <w:rPr>
          <w:rFonts w:ascii="Times New Roman" w:hAnsi="Times New Roman" w:eastAsia="Times New Roman"/>
          <w:b w:val="0"/>
          <w:i w:val="0"/>
          <w:sz w:val="24"/>
        </w:rPr>
        <w:t>References are listed in IEEE citation order and should match in-text citation sequence.</w:t>
      </w:r>
    </w:p>
    <w:p>
      <w:pPr>
        <w:spacing w:before="200" w:after="80"/>
        <w:jc w:val="left"/>
      </w:pPr>
      <w:r>
        <w:rPr>
          <w:rFonts w:ascii="Times New Roman" w:hAnsi="Times New Roman" w:eastAsia="Times New Roman"/>
          <w:b w:val="0"/>
          <w:i/>
          <w:sz w:val="24"/>
        </w:rPr>
        <w:t>10.2 Recommended Citation Standard</w:t>
      </w:r>
    </w:p>
    <w:p>
      <w:pPr>
        <w:spacing w:line="360" w:lineRule="auto" w:before="0" w:after="120"/>
        <w:jc w:val="both"/>
      </w:pPr>
      <w:r>
        <w:rPr>
          <w:rFonts w:ascii="Times New Roman" w:hAnsi="Times New Roman" w:eastAsia="Times New Roman"/>
          <w:b w:val="0"/>
          <w:i w:val="0"/>
          <w:sz w:val="24"/>
        </w:rPr>
        <w:t>Use numbered bracket citations in text, for example [1], [2], [3], and list entries in order of first appearance.</w:t>
      </w:r>
    </w:p>
    <w:p>
      <w:pPr>
        <w:spacing w:before="200" w:after="80"/>
        <w:jc w:val="left"/>
      </w:pPr>
      <w:r>
        <w:rPr>
          <w:rFonts w:ascii="Times New Roman" w:hAnsi="Times New Roman" w:eastAsia="Times New Roman"/>
          <w:b w:val="0"/>
          <w:i/>
          <w:sz w:val="24"/>
        </w:rPr>
        <w:t>10.3 Core References</w:t>
      </w:r>
    </w:p>
    <w:p>
      <w:pPr>
        <w:spacing w:line="360" w:lineRule="auto" w:before="0" w:after="60"/>
        <w:jc w:val="both"/>
      </w:pPr>
      <w:r>
        <w:rPr>
          <w:rFonts w:ascii="Times New Roman" w:hAnsi="Times New Roman" w:eastAsia="Times New Roman"/>
          <w:b w:val="0"/>
          <w:i w:val="0"/>
          <w:sz w:val="24"/>
        </w:rPr>
        <w:t>[1] M. Singer et al., “The Third International Consensus Definitions for Sepsis and Septic Shock (Sepsis-3),” JAMA, vol. 315, no. 8, pp. 801-810, 2016.</w:t>
      </w:r>
    </w:p>
    <w:p>
      <w:pPr>
        <w:spacing w:line="360" w:lineRule="auto" w:before="0" w:after="60"/>
        <w:jc w:val="both"/>
      </w:pPr>
      <w:r>
        <w:rPr>
          <w:rFonts w:ascii="Times New Roman" w:hAnsi="Times New Roman" w:eastAsia="Times New Roman"/>
          <w:b w:val="0"/>
          <w:i w:val="0"/>
          <w:sz w:val="24"/>
        </w:rPr>
        <w:t>[2] A. Kumar et al., “Duration of hypotension before initiation of effective antimicrobial therapy is the critical determinant of survival in human septic shock,” Critical Care Medicine, vol. 34, no. 6, pp. 1589-1596, 2006.</w:t>
      </w:r>
    </w:p>
    <w:p>
      <w:pPr>
        <w:spacing w:line="360" w:lineRule="auto" w:before="0" w:after="60"/>
        <w:jc w:val="both"/>
      </w:pPr>
      <w:r>
        <w:rPr>
          <w:rFonts w:ascii="Times New Roman" w:hAnsi="Times New Roman" w:eastAsia="Times New Roman"/>
          <w:b w:val="0"/>
          <w:i w:val="0"/>
          <w:sz w:val="24"/>
        </w:rPr>
        <w:t>[3] World Health Organization, “Sepsis: Global Health Resources and Reports.”</w:t>
      </w:r>
    </w:p>
    <w:p>
      <w:pPr>
        <w:spacing w:line="360" w:lineRule="auto" w:before="0" w:after="60"/>
        <w:jc w:val="both"/>
      </w:pPr>
      <w:r>
        <w:rPr>
          <w:rFonts w:ascii="Times New Roman" w:hAnsi="Times New Roman" w:eastAsia="Times New Roman"/>
          <w:b w:val="0"/>
          <w:i w:val="0"/>
          <w:sz w:val="24"/>
        </w:rPr>
        <w:t>[4] K. E. Rudd et al., “Global, regional, and national sepsis incidence and mortality,” The Lancet, 2020.</w:t>
      </w:r>
    </w:p>
    <w:p>
      <w:pPr>
        <w:spacing w:line="360" w:lineRule="auto" w:before="0" w:after="60"/>
        <w:jc w:val="both"/>
      </w:pPr>
      <w:r>
        <w:rPr>
          <w:rFonts w:ascii="Times New Roman" w:hAnsi="Times New Roman" w:eastAsia="Times New Roman"/>
          <w:b w:val="0"/>
          <w:i w:val="0"/>
          <w:sz w:val="24"/>
        </w:rPr>
        <w:t>[5] M. Cecconi et al., “Sepsis and septic shock,” The Lancet, vol. 392, pp. 75-87, 2018.</w:t>
      </w:r>
    </w:p>
    <w:p>
      <w:pPr>
        <w:spacing w:line="360" w:lineRule="auto" w:before="0" w:after="60"/>
        <w:jc w:val="both"/>
      </w:pPr>
      <w:r>
        <w:rPr>
          <w:rFonts w:ascii="Times New Roman" w:hAnsi="Times New Roman" w:eastAsia="Times New Roman"/>
          <w:b w:val="0"/>
          <w:i w:val="0"/>
          <w:sz w:val="24"/>
        </w:rPr>
        <w:t>[6] H. J. Butler et al., “Using Raman spectroscopy to characterize biological materials,” Nature Protocols, 2016.</w:t>
      </w:r>
    </w:p>
    <w:p>
      <w:pPr>
        <w:spacing w:line="360" w:lineRule="auto" w:before="0" w:after="60"/>
        <w:jc w:val="both"/>
      </w:pPr>
      <w:r>
        <w:rPr>
          <w:rFonts w:ascii="Times New Roman" w:hAnsi="Times New Roman" w:eastAsia="Times New Roman"/>
          <w:b w:val="0"/>
          <w:i w:val="0"/>
          <w:sz w:val="24"/>
        </w:rPr>
        <w:t>[7] K. Kong et al., “Raman spectroscopy for medical diagnostics,” Journal of Biophotonics, 2015.</w:t>
      </w:r>
    </w:p>
    <w:p>
      <w:pPr>
        <w:spacing w:line="360" w:lineRule="auto" w:before="0" w:after="60"/>
        <w:jc w:val="both"/>
      </w:pPr>
      <w:r>
        <w:rPr>
          <w:rFonts w:ascii="Times New Roman" w:hAnsi="Times New Roman" w:eastAsia="Times New Roman"/>
          <w:b w:val="0"/>
          <w:i w:val="0"/>
          <w:sz w:val="24"/>
        </w:rPr>
        <w:t>[8] B. Sharma et al., “SERS: materials, applications, and the future,” Materials Today, 2012.</w:t>
      </w:r>
    </w:p>
    <w:p>
      <w:pPr>
        <w:spacing w:line="360" w:lineRule="auto" w:before="0" w:after="60"/>
        <w:jc w:val="both"/>
      </w:pPr>
      <w:r>
        <w:rPr>
          <w:rFonts w:ascii="Times New Roman" w:hAnsi="Times New Roman" w:eastAsia="Times New Roman"/>
          <w:b w:val="0"/>
          <w:i w:val="0"/>
          <w:sz w:val="24"/>
        </w:rPr>
        <w:t>[9] S. Schlucker, “Surface-enhanced Raman spectroscopy: concepts and applications,” Angewandte Chemie International Edition, 2014.</w:t>
      </w:r>
    </w:p>
    <w:p>
      <w:pPr>
        <w:spacing w:line="360" w:lineRule="auto" w:before="0" w:after="60"/>
        <w:jc w:val="both"/>
      </w:pPr>
      <w:r>
        <w:rPr>
          <w:rFonts w:ascii="Times New Roman" w:hAnsi="Times New Roman" w:eastAsia="Times New Roman"/>
          <w:b w:val="0"/>
          <w:i w:val="0"/>
          <w:sz w:val="24"/>
        </w:rPr>
        <w:t>[10] M. J. Frisch et al., Gaussian Software Documentation, Gaussian Inc.</w:t>
      </w:r>
    </w:p>
    <w:p>
      <w:pPr>
        <w:spacing w:line="360" w:lineRule="auto" w:before="0" w:after="60"/>
        <w:jc w:val="both"/>
      </w:pPr>
      <w:r>
        <w:rPr>
          <w:rFonts w:ascii="Times New Roman" w:hAnsi="Times New Roman" w:eastAsia="Times New Roman"/>
          <w:b w:val="0"/>
          <w:i w:val="0"/>
          <w:sz w:val="24"/>
        </w:rPr>
        <w:t>[11] A. D. Becke, “Density-functional thermochemistry. III. The role of exact exchange,” Journal of Chemical Physics, 1993.</w:t>
      </w:r>
    </w:p>
    <w:p>
      <w:pPr>
        <w:spacing w:line="360" w:lineRule="auto" w:before="0" w:after="60"/>
        <w:jc w:val="both"/>
      </w:pPr>
      <w:r>
        <w:rPr>
          <w:rFonts w:ascii="Times New Roman" w:hAnsi="Times New Roman" w:eastAsia="Times New Roman"/>
          <w:b w:val="0"/>
          <w:i w:val="0"/>
          <w:sz w:val="24"/>
        </w:rPr>
        <w:t>[12] C. Lee, W. Yang, and R. G. Parr, “Development of the Colle-Salvetti correlation-energy formula into a functional of the electron density,” Physical Review B, 1988.</w:t>
      </w:r>
    </w:p>
    <w:p>
      <w:pPr>
        <w:spacing w:line="360" w:lineRule="auto" w:before="0" w:after="60"/>
        <w:jc w:val="both"/>
      </w:pPr>
      <w:r>
        <w:rPr>
          <w:rFonts w:ascii="Times New Roman" w:hAnsi="Times New Roman" w:eastAsia="Times New Roman"/>
          <w:b w:val="0"/>
          <w:i w:val="0"/>
          <w:sz w:val="24"/>
        </w:rPr>
        <w:t>[13] A. P. Scott and L. Radom, “Harmonic vibrational frequencies: scale factors for HF and DFT methods,” Journal of Physical Chemistry, 1996.</w:t>
      </w:r>
    </w:p>
    <w:p>
      <w:pPr>
        <w:spacing w:before="200" w:after="80"/>
        <w:jc w:val="left"/>
      </w:pPr>
      <w:r>
        <w:rPr>
          <w:rFonts w:ascii="Times New Roman" w:hAnsi="Times New Roman" w:eastAsia="Times New Roman"/>
          <w:b w:val="0"/>
          <w:i/>
          <w:sz w:val="24"/>
        </w:rPr>
        <w:t>10.4 Thesis-Specific References Pending Finalization</w:t>
      </w:r>
    </w:p>
    <w:p>
      <w:pPr>
        <w:spacing w:before="160" w:after="80"/>
        <w:jc w:val="center"/>
      </w:pPr>
      <w:r>
        <w:rPr>
          <w:rFonts w:ascii="Times New Roman" w:hAnsi="Times New Roman" w:eastAsia="Times New Roman"/>
          <w:b w:val="0"/>
          <w:i w:val="0"/>
          <w:sz w:val="24"/>
        </w:rPr>
        <w:t>Table 10.1: Thesis-Specific References to Finalize.</w:t>
      </w:r>
    </w:p>
    <w:p>
      <w:pPr>
        <w:spacing w:line="360" w:lineRule="auto" w:before="0" w:after="120"/>
        <w:jc w:val="both"/>
      </w:pPr>
      <w:r>
        <w:rPr>
          <w:rFonts w:ascii="Times New Roman" w:hAnsi="Times New Roman" w:eastAsia="Times New Roman"/>
          <w:b w:val="0"/>
          <w:i w:val="0"/>
          <w:sz w:val="24"/>
        </w:rPr>
        <w:t>Category Required Sources</w:t>
      </w:r>
    </w:p>
    <w:p>
      <w:pPr>
        <w:spacing w:line="360" w:lineRule="auto" w:before="0" w:after="120"/>
        <w:jc w:val="both"/>
      </w:pPr>
      <w:r>
        <w:rPr>
          <w:rFonts w:ascii="Times New Roman" w:hAnsi="Times New Roman" w:eastAsia="Times New Roman"/>
          <w:b w:val="0"/>
          <w:i w:val="0"/>
          <w:sz w:val="24"/>
        </w:rPr>
        <w:t>NAM Raman studies Final papers used in this project</w:t>
      </w:r>
    </w:p>
    <w:p>
      <w:pPr>
        <w:spacing w:line="360" w:lineRule="auto" w:before="0" w:after="120"/>
        <w:jc w:val="both"/>
      </w:pPr>
      <w:r>
        <w:rPr>
          <w:rFonts w:ascii="Times New Roman" w:hAnsi="Times New Roman" w:eastAsia="Times New Roman"/>
          <w:b w:val="0"/>
          <w:i w:val="0"/>
          <w:sz w:val="24"/>
        </w:rPr>
        <w:t>LTA Raman studies Final papers used in this project</w:t>
      </w:r>
    </w:p>
    <w:p>
      <w:pPr>
        <w:spacing w:line="360" w:lineRule="auto" w:before="0" w:after="120"/>
        <w:jc w:val="both"/>
      </w:pPr>
      <w:r>
        <w:rPr>
          <w:rFonts w:ascii="Times New Roman" w:hAnsi="Times New Roman" w:eastAsia="Times New Roman"/>
          <w:b w:val="0"/>
          <w:i w:val="0"/>
          <w:sz w:val="24"/>
        </w:rPr>
        <w:t>LPS Raman studies Final papers used in this project</w:t>
      </w:r>
    </w:p>
    <w:p>
      <w:pPr>
        <w:spacing w:line="360" w:lineRule="auto" w:before="0" w:after="120"/>
        <w:jc w:val="both"/>
      </w:pPr>
      <w:r>
        <w:rPr>
          <w:rFonts w:ascii="Times New Roman" w:hAnsi="Times New Roman" w:eastAsia="Times New Roman"/>
          <w:b w:val="0"/>
          <w:i w:val="0"/>
          <w:sz w:val="24"/>
        </w:rPr>
        <w:t>Rhodamine B benchmarking Final validation references</w:t>
      </w:r>
    </w:p>
    <w:p>
      <w:pPr>
        <w:spacing w:line="360" w:lineRule="auto" w:before="0" w:after="120"/>
        <w:jc w:val="both"/>
      </w:pPr>
      <w:r>
        <w:rPr>
          <w:rFonts w:ascii="Times New Roman" w:hAnsi="Times New Roman" w:eastAsia="Times New Roman"/>
          <w:b w:val="0"/>
          <w:i w:val="0"/>
          <w:sz w:val="24"/>
        </w:rPr>
        <w:t>Functional group assignments Standard spectroscopy handbooks</w:t>
      </w:r>
    </w:p>
    <w:p>
      <w:pPr>
        <w:spacing w:line="360" w:lineRule="auto" w:before="0" w:after="120"/>
        <w:jc w:val="both"/>
      </w:pPr>
      <w:r>
        <w:rPr>
          <w:rFonts w:ascii="Times New Roman" w:hAnsi="Times New Roman" w:eastAsia="Times New Roman"/>
          <w:b w:val="0"/>
          <w:i w:val="0"/>
          <w:sz w:val="24"/>
        </w:rPr>
        <w:t>Preprocessing methods ALS and Savitzky-Golay method papers</w:t>
      </w:r>
    </w:p>
    <w:p>
      <w:pPr>
        <w:spacing w:before="200" w:after="80"/>
        <w:jc w:val="left"/>
      </w:pPr>
      <w:r>
        <w:rPr>
          <w:rFonts w:ascii="Times New Roman" w:hAnsi="Times New Roman" w:eastAsia="Times New Roman"/>
          <w:b w:val="0"/>
          <w:i/>
          <w:sz w:val="24"/>
        </w:rPr>
        <w:t>10.5 Reference Quality Checklist</w:t>
      </w:r>
    </w:p>
    <w:p>
      <w:pPr>
        <w:spacing w:line="360" w:lineRule="auto" w:before="0" w:after="120"/>
        <w:jc w:val="both"/>
      </w:pPr>
      <w:r>
        <w:rPr>
          <w:rFonts w:ascii="Times New Roman" w:hAnsi="Times New Roman" w:eastAsia="Times New Roman"/>
          <w:b w:val="0"/>
          <w:i w:val="0"/>
          <w:sz w:val="24"/>
        </w:rPr>
        <w:t>All in-text citations must appear in the reference list. All listed references must be cited. DOI information should be included where available. Formatting must remain consistent with IEEE style throughout.</w:t>
      </w:r>
    </w:p>
    <w:sectPr w:rsidR="00FC693F" w:rsidRPr="0006063C" w:rsidSect="00034616">
      <w:type w:val="nextColumn"/>
      <w:pgSz w:w="11909" w:h="16834"/>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PAGE</w:instrText>
    <w:fldChar w:fldCharType="end"/>
    <w:r>
      <w:rPr>
        <w:rFonts w:ascii="Times New Roman" w:hAnsi="Times New Roman" w:eastAsia="Times New Roman"/>
        <w:b w:val="0"/>
        <w:i w:val="0"/>
        <w:sz w:val="20"/>
      </w:rPr>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