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E2B7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1. Overview</w:t>
      </w:r>
    </w:p>
    <w:p w14:paraId="29664832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This report summarizes the computational and experimental work conducted toward developing a Raman spectroscopy-based detection framework for bacterial biomarkers. The study spans five interconnected sub-studies, integrating Density Functional Theory (DFT) simulations with experimental Raman measurements to characterize molecules relevant to bacterial cell walls — specifically those associated with Lipoteichoic Acid (LTA), a major virulence factor of Gram-positive bacteria.</w:t>
      </w:r>
    </w:p>
    <w:p w14:paraId="53EC651A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614C6F46">
          <v:rect id="_x0000_i1079" style="width:0;height:1.5pt" o:hralign="center" o:hrstd="t" o:hr="t" fillcolor="#a0a0a0" stroked="f"/>
        </w:pict>
      </w:r>
    </w:p>
    <w:p w14:paraId="2EEF8677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2. Work Completed</w:t>
      </w:r>
    </w:p>
    <w:p w14:paraId="36064BE9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2.1 Rhodamine B — DFT Validation and Benchmarking</w:t>
      </w:r>
    </w:p>
    <w:p w14:paraId="2A9B0AD4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The first phase involved benchmarking our DFT methodology against Rhodamine B, a well-characterized reference molecule, to validate the computational approach before applying it to complex biomolecules.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7"/>
        <w:gridCol w:w="1685"/>
        <w:gridCol w:w="1510"/>
      </w:tblGrid>
      <w:tr w:rsidR="00EA14BF" w:rsidRPr="00EA14BF" w14:paraId="1E5B7D3F" w14:textId="77777777" w:rsidTr="00E670A0">
        <w:tc>
          <w:tcPr>
            <w:tcW w:w="0" w:type="auto"/>
            <w:hideMark/>
          </w:tcPr>
          <w:p w14:paraId="18FB310C" w14:textId="77777777" w:rsidR="00EA14BF" w:rsidRPr="00EA14BF" w:rsidRDefault="00EA14BF" w:rsidP="00EA14B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A14BF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7955E84" w14:textId="77777777" w:rsidR="00EA14BF" w:rsidRPr="00EA14BF" w:rsidRDefault="00EA14BF" w:rsidP="00EA14B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A14BF">
              <w:rPr>
                <w:rFonts w:ascii="Times New Roman" w:hAnsi="Times New Roman" w:cs="Times New Roman"/>
                <w:b/>
                <w:bCs/>
              </w:rPr>
              <w:t>Literature DFT</w:t>
            </w:r>
          </w:p>
        </w:tc>
        <w:tc>
          <w:tcPr>
            <w:tcW w:w="0" w:type="auto"/>
            <w:hideMark/>
          </w:tcPr>
          <w:p w14:paraId="3857E0E5" w14:textId="77777777" w:rsidR="00EA14BF" w:rsidRPr="00EA14BF" w:rsidRDefault="00EA14BF" w:rsidP="00EA14B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A14BF">
              <w:rPr>
                <w:rFonts w:ascii="Times New Roman" w:hAnsi="Times New Roman" w:cs="Times New Roman"/>
                <w:b/>
                <w:bCs/>
              </w:rPr>
              <w:t>Present Work</w:t>
            </w:r>
          </w:p>
        </w:tc>
      </w:tr>
      <w:tr w:rsidR="00EA14BF" w:rsidRPr="00EA14BF" w14:paraId="1F663C56" w14:textId="77777777" w:rsidTr="00E670A0">
        <w:tc>
          <w:tcPr>
            <w:tcW w:w="0" w:type="auto"/>
            <w:hideMark/>
          </w:tcPr>
          <w:p w14:paraId="36E09B60" w14:textId="77777777" w:rsidR="00EA14BF" w:rsidRPr="00EA14BF" w:rsidRDefault="00EA14BF" w:rsidP="00EA14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Software</w:t>
            </w:r>
          </w:p>
        </w:tc>
        <w:tc>
          <w:tcPr>
            <w:tcW w:w="0" w:type="auto"/>
            <w:hideMark/>
          </w:tcPr>
          <w:p w14:paraId="61B58245" w14:textId="77777777" w:rsidR="00EA14BF" w:rsidRPr="00EA14BF" w:rsidRDefault="00EA14BF" w:rsidP="00EA14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Gaussian 09</w:t>
            </w:r>
          </w:p>
        </w:tc>
        <w:tc>
          <w:tcPr>
            <w:tcW w:w="0" w:type="auto"/>
            <w:hideMark/>
          </w:tcPr>
          <w:p w14:paraId="0B538D73" w14:textId="77777777" w:rsidR="00EA14BF" w:rsidRPr="00EA14BF" w:rsidRDefault="00EA14BF" w:rsidP="00EA14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Gaussian 16</w:t>
            </w:r>
          </w:p>
        </w:tc>
      </w:tr>
      <w:tr w:rsidR="00EA14BF" w:rsidRPr="00EA14BF" w14:paraId="0DEEC9A9" w14:textId="77777777" w:rsidTr="00E670A0">
        <w:tc>
          <w:tcPr>
            <w:tcW w:w="0" w:type="auto"/>
            <w:hideMark/>
          </w:tcPr>
          <w:p w14:paraId="302574A1" w14:textId="77777777" w:rsidR="00EA14BF" w:rsidRPr="00EA14BF" w:rsidRDefault="00EA14BF" w:rsidP="00EA14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Functional</w:t>
            </w:r>
          </w:p>
        </w:tc>
        <w:tc>
          <w:tcPr>
            <w:tcW w:w="0" w:type="auto"/>
            <w:hideMark/>
          </w:tcPr>
          <w:p w14:paraId="27F7FF9C" w14:textId="77777777" w:rsidR="00EA14BF" w:rsidRPr="00EA14BF" w:rsidRDefault="00EA14BF" w:rsidP="00EA14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B3LYP</w:t>
            </w:r>
          </w:p>
        </w:tc>
        <w:tc>
          <w:tcPr>
            <w:tcW w:w="0" w:type="auto"/>
            <w:hideMark/>
          </w:tcPr>
          <w:p w14:paraId="7015C335" w14:textId="77777777" w:rsidR="00EA14BF" w:rsidRPr="00EA14BF" w:rsidRDefault="00EA14BF" w:rsidP="00EA14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B3LYP</w:t>
            </w:r>
          </w:p>
        </w:tc>
      </w:tr>
      <w:tr w:rsidR="00EA14BF" w:rsidRPr="00EA14BF" w14:paraId="4166CF53" w14:textId="77777777" w:rsidTr="00E670A0">
        <w:tc>
          <w:tcPr>
            <w:tcW w:w="0" w:type="auto"/>
            <w:hideMark/>
          </w:tcPr>
          <w:p w14:paraId="1CBB002F" w14:textId="77777777" w:rsidR="00EA14BF" w:rsidRPr="00EA14BF" w:rsidRDefault="00EA14BF" w:rsidP="00EA14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Basis Set</w:t>
            </w:r>
          </w:p>
        </w:tc>
        <w:tc>
          <w:tcPr>
            <w:tcW w:w="0" w:type="auto"/>
            <w:hideMark/>
          </w:tcPr>
          <w:p w14:paraId="4D02CFDC" w14:textId="77777777" w:rsidR="00EA14BF" w:rsidRPr="00EA14BF" w:rsidRDefault="00EA14BF" w:rsidP="00EA14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6-31G</w:t>
            </w:r>
          </w:p>
        </w:tc>
        <w:tc>
          <w:tcPr>
            <w:tcW w:w="0" w:type="auto"/>
            <w:hideMark/>
          </w:tcPr>
          <w:p w14:paraId="7FECFB04" w14:textId="77777777" w:rsidR="00EA14BF" w:rsidRPr="00EA14BF" w:rsidRDefault="00EA14BF" w:rsidP="00EA14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6-31G(d)</w:t>
            </w:r>
          </w:p>
        </w:tc>
      </w:tr>
      <w:tr w:rsidR="00EA14BF" w:rsidRPr="00EA14BF" w14:paraId="56E497B2" w14:textId="77777777" w:rsidTr="00E670A0">
        <w:tc>
          <w:tcPr>
            <w:tcW w:w="0" w:type="auto"/>
            <w:hideMark/>
          </w:tcPr>
          <w:p w14:paraId="202C7B32" w14:textId="77777777" w:rsidR="00EA14BF" w:rsidRPr="00EA14BF" w:rsidRDefault="00EA14BF" w:rsidP="00EA14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Mean Absolute Deviation</w:t>
            </w:r>
          </w:p>
        </w:tc>
        <w:tc>
          <w:tcPr>
            <w:tcW w:w="0" w:type="auto"/>
            <w:hideMark/>
          </w:tcPr>
          <w:p w14:paraId="657EF10C" w14:textId="77777777" w:rsidR="00EA14BF" w:rsidRPr="00EA14BF" w:rsidRDefault="00EA14BF" w:rsidP="00EA14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~2–4 cm⁻¹</w:t>
            </w:r>
          </w:p>
        </w:tc>
        <w:tc>
          <w:tcPr>
            <w:tcW w:w="0" w:type="auto"/>
            <w:hideMark/>
          </w:tcPr>
          <w:p w14:paraId="51F248ED" w14:textId="77777777" w:rsidR="00EA14BF" w:rsidRPr="00EA14BF" w:rsidRDefault="00EA14BF" w:rsidP="00EA14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~6–10 cm⁻¹</w:t>
            </w:r>
          </w:p>
        </w:tc>
      </w:tr>
    </w:tbl>
    <w:p w14:paraId="1A9C5B36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Key vibrational bands at 619, 1193, 1275, and 1642 cm⁻¹ were compared against experimental and literature DFT values. The inclusion of polarization functions in 6-31G(d) produced slightly larger deviations at some bands due to mode splitting, but all results fell within acceptable harmonic DFT accuracy. Our C–H bending assignment (1273.92 cm⁻¹) showed closer agreement with experiment than the literature value.</w:t>
      </w:r>
    </w:p>
    <w:p w14:paraId="7B63EE65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4C55CBFC">
          <v:rect id="_x0000_i1080" style="width:0;height:1.5pt" o:hralign="center" o:hrstd="t" o:hr="t" fillcolor="#a0a0a0" stroked="f"/>
        </w:pict>
      </w:r>
    </w:p>
    <w:p w14:paraId="43BD9958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2.2 N-Acetylmuramic Acid (NAM) — Experimental Raman + DFT</w:t>
      </w:r>
    </w:p>
    <w:p w14:paraId="5BB09A29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NAM, a unique component of the bacterial peptidoglycan layer, was characterized using both experimental Raman spectroscopy and DFT simulation. A systematic spectral quality optimization was carried out across 81 spectra varying laser power and integration time.</w:t>
      </w:r>
    </w:p>
    <w:p w14:paraId="211704E4" w14:textId="77777777" w:rsidR="00EA14BF" w:rsidRPr="00EA14BF" w:rsidRDefault="00EA14BF" w:rsidP="00EA14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Savitzky–Golay smoothing, ALS baseline correction, and composite SNR scoring were applied to select the optimal spectrum (25 s, 80% power; SNR = 95.9).</w:t>
      </w:r>
    </w:p>
    <w:p w14:paraId="0B236B2F" w14:textId="77777777" w:rsidR="00EA14BF" w:rsidRPr="00EA14BF" w:rsidRDefault="00EA14BF" w:rsidP="00EA14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DFT frequencies were calculated at B3LYP/6-31G(d) level with a 0.96 scaling factor.</w:t>
      </w:r>
    </w:p>
    <w:p w14:paraId="68D3A112" w14:textId="77777777" w:rsidR="00EA14BF" w:rsidRPr="00EA14BF" w:rsidRDefault="00EA14BF" w:rsidP="00EA14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 xml:space="preserve">51 peaks were matched within ±10 cm⁻¹ tolerance, achieving a mean error of 0.38 cm⁻¹ and </w:t>
      </w:r>
      <w:proofErr w:type="spellStart"/>
      <w:r w:rsidRPr="00EA14BF">
        <w:rPr>
          <w:rFonts w:ascii="Times New Roman" w:hAnsi="Times New Roman" w:cs="Times New Roman"/>
        </w:rPr>
        <w:t>RMSE</w:t>
      </w:r>
      <w:proofErr w:type="spellEnd"/>
      <w:r w:rsidRPr="00EA14BF">
        <w:rPr>
          <w:rFonts w:ascii="Times New Roman" w:hAnsi="Times New Roman" w:cs="Times New Roman"/>
        </w:rPr>
        <w:t xml:space="preserve"> of 2.12 cm⁻¹.</w:t>
      </w:r>
    </w:p>
    <w:p w14:paraId="19D715D2" w14:textId="77777777" w:rsidR="00EA14BF" w:rsidRPr="00EA14BF" w:rsidRDefault="00EA14BF" w:rsidP="00EA14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Key assignments: C=O stretch (1701 cm⁻¹), Amide II (1546 cm⁻¹), C–O stretch (1086 cm⁻¹), pyranose ring breathing (956 cm⁻¹), glycosidic linkage (872 cm⁻¹).</w:t>
      </w:r>
    </w:p>
    <w:p w14:paraId="6B6CCA71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127F708B">
          <v:rect id="_x0000_i1081" style="width:0;height:1.5pt" o:hralign="center" o:hrstd="t" o:hr="t" fillcolor="#a0a0a0" stroked="f"/>
        </w:pict>
      </w:r>
    </w:p>
    <w:p w14:paraId="479F30E2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2.3 Glycerol–Phosphate Fragment — LTA Backbone Model</w:t>
      </w:r>
    </w:p>
    <w:p w14:paraId="4123343B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lastRenderedPageBreak/>
        <w:t>To model the poly(glycerol–phosphate) backbone of LTA, a representative two-unit fragment was constructed in Avogadro and subjected to DFT simulation in Gaussian 16.</w:t>
      </w:r>
    </w:p>
    <w:p w14:paraId="7E978502" w14:textId="77777777" w:rsidR="00EA14BF" w:rsidRPr="00EA14BF" w:rsidRDefault="00EA14BF" w:rsidP="00EA14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Geometry pre-optimized using Universal Force Field (</w:t>
      </w:r>
      <w:proofErr w:type="spellStart"/>
      <w:r w:rsidRPr="00EA14BF">
        <w:rPr>
          <w:rFonts w:ascii="Times New Roman" w:hAnsi="Times New Roman" w:cs="Times New Roman"/>
        </w:rPr>
        <w:t>UFF</w:t>
      </w:r>
      <w:proofErr w:type="spellEnd"/>
      <w:r w:rsidRPr="00EA14BF">
        <w:rPr>
          <w:rFonts w:ascii="Times New Roman" w:hAnsi="Times New Roman" w:cs="Times New Roman"/>
        </w:rPr>
        <w:t>) in Avogadro before quantum mechanical refinement.</w:t>
      </w:r>
    </w:p>
    <w:p w14:paraId="15D6AC2B" w14:textId="77777777" w:rsidR="00EA14BF" w:rsidRPr="00EA14BF" w:rsidRDefault="00EA14BF" w:rsidP="00EA14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 xml:space="preserve">DFT parameters: B3LYP/6-31G(d), </w:t>
      </w:r>
      <w:proofErr w:type="spellStart"/>
      <w:r w:rsidRPr="00EA14BF">
        <w:rPr>
          <w:rFonts w:ascii="Times New Roman" w:hAnsi="Times New Roman" w:cs="Times New Roman"/>
        </w:rPr>
        <w:t>Opt</w:t>
      </w:r>
      <w:proofErr w:type="spellEnd"/>
      <w:r w:rsidRPr="00EA14BF">
        <w:rPr>
          <w:rFonts w:ascii="Times New Roman" w:hAnsi="Times New Roman" w:cs="Times New Roman"/>
        </w:rPr>
        <w:t xml:space="preserve"> + Freq + Raman, SMD implicit water solvent.</w:t>
      </w:r>
    </w:p>
    <w:p w14:paraId="6797ACA2" w14:textId="77777777" w:rsidR="00EA14BF" w:rsidRPr="00EA14BF" w:rsidRDefault="00EA14BF" w:rsidP="00EA14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Calculation converged successfully with no imaginary frequencies. Final energy: −1748.81 Hartree.</w:t>
      </w:r>
    </w:p>
    <w:p w14:paraId="40C6B9D7" w14:textId="77777777" w:rsidR="00EA14BF" w:rsidRPr="00EA14BF" w:rsidRDefault="00EA14BF" w:rsidP="00EA14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Key Raman assignments: O–P–O bending (481 cm⁻¹), P–O–C stretching (922 cm⁻¹), O–H deformation (1291 cm⁻¹), C–H stretching (3046–3091 cm⁻¹).</w:t>
      </w:r>
    </w:p>
    <w:p w14:paraId="22D431AB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3E0D50D9">
          <v:rect id="_x0000_i1082" style="width:0;height:1.5pt" o:hralign="center" o:hrstd="t" o:hr="t" fillcolor="#a0a0a0" stroked="f"/>
        </w:pict>
      </w:r>
    </w:p>
    <w:p w14:paraId="41822851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2.4 D-Alanine — Amino Substituent of LTA</w:t>
      </w:r>
    </w:p>
    <w:p w14:paraId="395171EF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D-Alanine, which esterifies the glycerol–phosphate backbone of LTA to regulate surface charge and immune interactions, was simulated in its biologically relevant zwitterionic form (NH₃⁺–CH(CH₃)–COO⁻).</w:t>
      </w:r>
    </w:p>
    <w:p w14:paraId="048CB4BF" w14:textId="77777777" w:rsidR="00EA14BF" w:rsidRPr="00EA14BF" w:rsidRDefault="00EA14BF" w:rsidP="00EA14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Molecular structure sourced from PubChem (CID: 71080); optimized using MMFF94 force field in Avogadro.</w:t>
      </w:r>
    </w:p>
    <w:p w14:paraId="24FEAB7A" w14:textId="77777777" w:rsidR="00EA14BF" w:rsidRPr="00EA14BF" w:rsidRDefault="00EA14BF" w:rsidP="00EA14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DFT simulation: B3LYP/6-31G(d), SMD water, Freq=Raman.</w:t>
      </w:r>
    </w:p>
    <w:p w14:paraId="5905219D" w14:textId="77777777" w:rsidR="00EA14BF" w:rsidRPr="00EA14BF" w:rsidRDefault="00EA14BF" w:rsidP="00EA14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Spectral assignments correctly reflect the zwitterionic state: NH₃⁺ deformation (~1660 cm⁻¹), COO⁻ asymmetric stretch (~1560–1600 cm⁻¹), CH₃ deformation (~1440 cm⁻¹).</w:t>
      </w:r>
    </w:p>
    <w:p w14:paraId="34E76A03" w14:textId="77777777" w:rsidR="00EA14BF" w:rsidRPr="00EA14BF" w:rsidRDefault="00EA14BF" w:rsidP="00EA14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These features serve as diagnostic markers for amino acid substituents in LTA-related Raman analysis.</w:t>
      </w:r>
    </w:p>
    <w:p w14:paraId="2CDAD719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1FE37232">
          <v:rect id="_x0000_i1083" style="width:0;height:1.5pt" o:hralign="center" o:hrstd="t" o:hr="t" fillcolor="#a0a0a0" stroked="f"/>
        </w:pict>
      </w:r>
    </w:p>
    <w:p w14:paraId="627AA409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2.5 N-Acetyl-D-Glucosamine (</w:t>
      </w:r>
      <w:proofErr w:type="spellStart"/>
      <w:r w:rsidRPr="00EA14BF">
        <w:rPr>
          <w:rFonts w:ascii="Times New Roman" w:hAnsi="Times New Roman" w:cs="Times New Roman"/>
          <w:b/>
          <w:bCs/>
        </w:rPr>
        <w:t>GlcNAc</w:t>
      </w:r>
      <w:proofErr w:type="spellEnd"/>
      <w:r w:rsidRPr="00EA14BF">
        <w:rPr>
          <w:rFonts w:ascii="Times New Roman" w:hAnsi="Times New Roman" w:cs="Times New Roman"/>
          <w:b/>
          <w:bCs/>
        </w:rPr>
        <w:t>) — Carbohydrate Component</w:t>
      </w:r>
    </w:p>
    <w:p w14:paraId="15F3D1D4" w14:textId="77777777" w:rsidR="00EA14BF" w:rsidRPr="00EA14BF" w:rsidRDefault="00EA14BF" w:rsidP="00EA14BF">
      <w:pPr>
        <w:rPr>
          <w:rFonts w:ascii="Times New Roman" w:hAnsi="Times New Roman" w:cs="Times New Roman"/>
        </w:rPr>
      </w:pPr>
      <w:proofErr w:type="spellStart"/>
      <w:r w:rsidRPr="00EA14BF">
        <w:rPr>
          <w:rFonts w:ascii="Times New Roman" w:hAnsi="Times New Roman" w:cs="Times New Roman"/>
        </w:rPr>
        <w:t>GlcNAc</w:t>
      </w:r>
      <w:proofErr w:type="spellEnd"/>
      <w:r w:rsidRPr="00EA14BF">
        <w:rPr>
          <w:rFonts w:ascii="Times New Roman" w:hAnsi="Times New Roman" w:cs="Times New Roman"/>
        </w:rPr>
        <w:t>, representing the carbohydrate surface components of LTA-associated bacterial structures, was simulated to obtain its Raman fingerprint.</w:t>
      </w:r>
    </w:p>
    <w:p w14:paraId="45C55C5A" w14:textId="77777777" w:rsidR="00EA14BF" w:rsidRPr="00EA14BF" w:rsidRDefault="00EA14BF" w:rsidP="00EA14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Pyranose ring structure with acetamide group (–</w:t>
      </w:r>
      <w:proofErr w:type="spellStart"/>
      <w:r w:rsidRPr="00EA14BF">
        <w:rPr>
          <w:rFonts w:ascii="Times New Roman" w:hAnsi="Times New Roman" w:cs="Times New Roman"/>
        </w:rPr>
        <w:t>NHCOCH</w:t>
      </w:r>
      <w:proofErr w:type="spellEnd"/>
      <w:r w:rsidRPr="00EA14BF">
        <w:rPr>
          <w:rFonts w:ascii="Times New Roman" w:hAnsi="Times New Roman" w:cs="Times New Roman"/>
        </w:rPr>
        <w:t>₃) and multiple hydroxyl groups.</w:t>
      </w:r>
    </w:p>
    <w:p w14:paraId="3F74B439" w14:textId="77777777" w:rsidR="00EA14BF" w:rsidRPr="00EA14BF" w:rsidRDefault="00EA14BF" w:rsidP="00EA14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Dominant spectral features: C–O–C ring stretching (900–1100 cm⁻¹), Amide I C=O stretch (~1650 cm⁻¹), Amide III (~1250–1300 cm⁻¹), and strong C–H stretching (2800–3000 cm⁻¹).</w:t>
      </w:r>
    </w:p>
    <w:p w14:paraId="7B32CC24" w14:textId="77777777" w:rsidR="00EA14BF" w:rsidRPr="00EA14BF" w:rsidRDefault="00EA14BF" w:rsidP="00EA14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 xml:space="preserve">These carbohydrate signatures provide a distinct fingerprint region for identifying </w:t>
      </w:r>
      <w:proofErr w:type="spellStart"/>
      <w:r w:rsidRPr="00EA14BF">
        <w:rPr>
          <w:rFonts w:ascii="Times New Roman" w:hAnsi="Times New Roman" w:cs="Times New Roman"/>
        </w:rPr>
        <w:t>GlcNAc</w:t>
      </w:r>
      <w:proofErr w:type="spellEnd"/>
      <w:r w:rsidRPr="00EA14BF">
        <w:rPr>
          <w:rFonts w:ascii="Times New Roman" w:hAnsi="Times New Roman" w:cs="Times New Roman"/>
        </w:rPr>
        <w:t>-containing bacterial structures.</w:t>
      </w:r>
    </w:p>
    <w:p w14:paraId="66CE6E52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73A0A813">
          <v:rect id="_x0000_i1084" style="width:0;height:1.5pt" o:hralign="center" o:hrstd="t" o:hr="t" fillcolor="#a0a0a0" stroked="f"/>
        </w:pict>
      </w:r>
    </w:p>
    <w:p w14:paraId="186B39B3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3. Component-Based Spectral Reconstruction of LTA</w:t>
      </w:r>
    </w:p>
    <w:p w14:paraId="64914FCF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 xml:space="preserve">Given the computational infeasibility of simulating the full LTA polymer, a modular decomposition strategy was employed. The three simulated components — glycerol–phosphate, D-alanine, and </w:t>
      </w:r>
      <w:proofErr w:type="spellStart"/>
      <w:r w:rsidRPr="00EA14BF">
        <w:rPr>
          <w:rFonts w:ascii="Times New Roman" w:hAnsi="Times New Roman" w:cs="Times New Roman"/>
        </w:rPr>
        <w:t>GlcNAc</w:t>
      </w:r>
      <w:proofErr w:type="spellEnd"/>
      <w:r w:rsidRPr="00EA14BF">
        <w:rPr>
          <w:rFonts w:ascii="Times New Roman" w:hAnsi="Times New Roman" w:cs="Times New Roman"/>
        </w:rPr>
        <w:t xml:space="preserve"> — were combined to reconstruct a composite Raman fingerprint of LTA.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157"/>
        <w:gridCol w:w="2613"/>
      </w:tblGrid>
      <w:tr w:rsidR="00EA14BF" w:rsidRPr="00EA14BF" w14:paraId="76BAC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F927D" w14:textId="77777777" w:rsidR="00EA14BF" w:rsidRPr="00EA14BF" w:rsidRDefault="00EA14BF" w:rsidP="00EA14BF">
            <w:pPr>
              <w:rPr>
                <w:rFonts w:ascii="Times New Roman" w:hAnsi="Times New Roman" w:cs="Times New Roman"/>
                <w:b/>
                <w:bCs/>
              </w:rPr>
            </w:pPr>
            <w:r w:rsidRPr="00EA14BF">
              <w:rPr>
                <w:rFonts w:ascii="Times New Roman" w:hAnsi="Times New Roman" w:cs="Times New Roman"/>
                <w:b/>
                <w:bCs/>
              </w:rPr>
              <w:t>Spectral Region (cm⁻¹)</w:t>
            </w:r>
          </w:p>
        </w:tc>
        <w:tc>
          <w:tcPr>
            <w:tcW w:w="0" w:type="auto"/>
            <w:vAlign w:val="center"/>
            <w:hideMark/>
          </w:tcPr>
          <w:p w14:paraId="2B939A88" w14:textId="77777777" w:rsidR="00EA14BF" w:rsidRPr="00EA14BF" w:rsidRDefault="00EA14BF" w:rsidP="00EA14BF">
            <w:pPr>
              <w:rPr>
                <w:rFonts w:ascii="Times New Roman" w:hAnsi="Times New Roman" w:cs="Times New Roman"/>
                <w:b/>
                <w:bCs/>
              </w:rPr>
            </w:pPr>
            <w:r w:rsidRPr="00EA14BF">
              <w:rPr>
                <w:rFonts w:ascii="Times New Roman" w:hAnsi="Times New Roman" w:cs="Times New Roman"/>
                <w:b/>
                <w:bCs/>
              </w:rPr>
              <w:t>Dominant Component</w:t>
            </w:r>
          </w:p>
        </w:tc>
        <w:tc>
          <w:tcPr>
            <w:tcW w:w="0" w:type="auto"/>
            <w:vAlign w:val="center"/>
            <w:hideMark/>
          </w:tcPr>
          <w:p w14:paraId="589C1411" w14:textId="77777777" w:rsidR="00EA14BF" w:rsidRPr="00EA14BF" w:rsidRDefault="00EA14BF" w:rsidP="00EA14BF">
            <w:pPr>
              <w:rPr>
                <w:rFonts w:ascii="Times New Roman" w:hAnsi="Times New Roman" w:cs="Times New Roman"/>
                <w:b/>
                <w:bCs/>
              </w:rPr>
            </w:pPr>
            <w:r w:rsidRPr="00EA14BF">
              <w:rPr>
                <w:rFonts w:ascii="Times New Roman" w:hAnsi="Times New Roman" w:cs="Times New Roman"/>
                <w:b/>
                <w:bCs/>
              </w:rPr>
              <w:t>Assignment</w:t>
            </w:r>
          </w:p>
        </w:tc>
      </w:tr>
      <w:tr w:rsidR="00EA14BF" w:rsidRPr="00EA14BF" w14:paraId="3F0F9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9B13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700–900</w:t>
            </w:r>
          </w:p>
        </w:tc>
        <w:tc>
          <w:tcPr>
            <w:tcW w:w="0" w:type="auto"/>
            <w:vAlign w:val="center"/>
            <w:hideMark/>
          </w:tcPr>
          <w:p w14:paraId="7F5711C6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Glycerol–Phosphate</w:t>
            </w:r>
          </w:p>
        </w:tc>
        <w:tc>
          <w:tcPr>
            <w:tcW w:w="0" w:type="auto"/>
            <w:vAlign w:val="center"/>
            <w:hideMark/>
          </w:tcPr>
          <w:p w14:paraId="4A51CC18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P–O–C vibrations</w:t>
            </w:r>
          </w:p>
        </w:tc>
      </w:tr>
      <w:tr w:rsidR="00EA14BF" w:rsidRPr="00EA14BF" w14:paraId="4ED24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0977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lastRenderedPageBreak/>
              <w:t>900–1100</w:t>
            </w:r>
          </w:p>
        </w:tc>
        <w:tc>
          <w:tcPr>
            <w:tcW w:w="0" w:type="auto"/>
            <w:vAlign w:val="center"/>
            <w:hideMark/>
          </w:tcPr>
          <w:p w14:paraId="7AD6EFDF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proofErr w:type="spellStart"/>
            <w:r w:rsidRPr="00EA14BF">
              <w:rPr>
                <w:rFonts w:ascii="Times New Roman" w:hAnsi="Times New Roman" w:cs="Times New Roman"/>
              </w:rPr>
              <w:t>GlcNAc</w:t>
            </w:r>
            <w:proofErr w:type="spellEnd"/>
            <w:r w:rsidRPr="00EA14BF">
              <w:rPr>
                <w:rFonts w:ascii="Times New Roman" w:hAnsi="Times New Roman" w:cs="Times New Roman"/>
              </w:rPr>
              <w:t xml:space="preserve"> + Glycerol–P</w:t>
            </w:r>
          </w:p>
        </w:tc>
        <w:tc>
          <w:tcPr>
            <w:tcW w:w="0" w:type="auto"/>
            <w:vAlign w:val="center"/>
            <w:hideMark/>
          </w:tcPr>
          <w:p w14:paraId="22BD2F75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C–O–C + PO stretching</w:t>
            </w:r>
          </w:p>
        </w:tc>
      </w:tr>
      <w:tr w:rsidR="00EA14BF" w:rsidRPr="00EA14BF" w14:paraId="17340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4456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1200–1300</w:t>
            </w:r>
          </w:p>
        </w:tc>
        <w:tc>
          <w:tcPr>
            <w:tcW w:w="0" w:type="auto"/>
            <w:vAlign w:val="center"/>
            <w:hideMark/>
          </w:tcPr>
          <w:p w14:paraId="0AA28684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All components</w:t>
            </w:r>
          </w:p>
        </w:tc>
        <w:tc>
          <w:tcPr>
            <w:tcW w:w="0" w:type="auto"/>
            <w:vAlign w:val="center"/>
            <w:hideMark/>
          </w:tcPr>
          <w:p w14:paraId="180F1F64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C–O / Amide III</w:t>
            </w:r>
          </w:p>
        </w:tc>
      </w:tr>
      <w:tr w:rsidR="00EA14BF" w:rsidRPr="00EA14BF" w14:paraId="770F1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DCE4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1500–1660</w:t>
            </w:r>
          </w:p>
        </w:tc>
        <w:tc>
          <w:tcPr>
            <w:tcW w:w="0" w:type="auto"/>
            <w:vAlign w:val="center"/>
            <w:hideMark/>
          </w:tcPr>
          <w:p w14:paraId="3A8EFF94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 xml:space="preserve">D-Alanine + </w:t>
            </w:r>
            <w:proofErr w:type="spellStart"/>
            <w:r w:rsidRPr="00EA14BF">
              <w:rPr>
                <w:rFonts w:ascii="Times New Roman" w:hAnsi="Times New Roman" w:cs="Times New Roman"/>
              </w:rPr>
              <w:t>GlcNAc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FA80F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NH₃⁺ deformation + Amide I</w:t>
            </w:r>
          </w:p>
        </w:tc>
      </w:tr>
      <w:tr w:rsidR="00EA14BF" w:rsidRPr="00EA14BF" w14:paraId="6F924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DF4B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2800–3000</w:t>
            </w:r>
          </w:p>
        </w:tc>
        <w:tc>
          <w:tcPr>
            <w:tcW w:w="0" w:type="auto"/>
            <w:vAlign w:val="center"/>
            <w:hideMark/>
          </w:tcPr>
          <w:p w14:paraId="0BC301D0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All components</w:t>
            </w:r>
          </w:p>
        </w:tc>
        <w:tc>
          <w:tcPr>
            <w:tcW w:w="0" w:type="auto"/>
            <w:vAlign w:val="center"/>
            <w:hideMark/>
          </w:tcPr>
          <w:p w14:paraId="53293991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C–H stretching</w:t>
            </w:r>
          </w:p>
        </w:tc>
      </w:tr>
    </w:tbl>
    <w:p w14:paraId="58EA6C55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The simultaneous presence of phosphate vibrations, carbohydrate signatures, and amino acid spectral features provides a robust multi-band strategy for identifying LTA in experimental Raman spectra.</w:t>
      </w:r>
    </w:p>
    <w:p w14:paraId="344AE11B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755CDEC7">
          <v:rect id="_x0000_i1085" style="width:0;height:1.5pt" o:hralign="center" o:hrstd="t" o:hr="t" fillcolor="#a0a0a0" stroked="f"/>
        </w:pict>
      </w:r>
    </w:p>
    <w:p w14:paraId="37AA95B0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4. Experimental Raman Study of LTA</w:t>
      </w:r>
    </w:p>
    <w:p w14:paraId="263D425A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In addition to the computational work, experimental Raman spectra of LTA powder (Sigma-Aldrich) were collected using a 785 nm excitation laser. The effect of varying laser power (40%, 50%, 60%, 70%) on signal quality was investigated with a fixed integration time of 10 seconds and 10 accumulations. This study aims to determine optimal measurement conditions and assess the feasibility of detecting LTA using standard (non-SERS) Raman spectroscopy.</w:t>
      </w:r>
    </w:p>
    <w:p w14:paraId="17274021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06DB7E7E">
          <v:rect id="_x0000_i1086" style="width:0;height:1.5pt" o:hralign="center" o:hrstd="t" o:hr="t" fillcolor="#a0a0a0" stroked="f"/>
        </w:pict>
      </w:r>
    </w:p>
    <w:p w14:paraId="57D3E5C3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5. Key Outcomes</w:t>
      </w:r>
    </w:p>
    <w:p w14:paraId="77225762" w14:textId="77777777" w:rsidR="00EA14BF" w:rsidRPr="00EA14BF" w:rsidRDefault="00EA14BF" w:rsidP="00EA14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Validated B3LYP/6-31G(d) as an appropriate level of theory for biomolecular Raman simulation.</w:t>
      </w:r>
    </w:p>
    <w:p w14:paraId="7B7F39DE" w14:textId="77777777" w:rsidR="00EA14BF" w:rsidRPr="00EA14BF" w:rsidRDefault="00EA14BF" w:rsidP="00EA14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Established optimal Raman acquisition conditions for NAM: 25 s integration, 80% laser power.</w:t>
      </w:r>
    </w:p>
    <w:p w14:paraId="5ADBEFCF" w14:textId="77777777" w:rsidR="00EA14BF" w:rsidRPr="00EA14BF" w:rsidRDefault="00EA14BF" w:rsidP="00EA14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Achieved excellent DFT–experiment agreement for NAM (</w:t>
      </w:r>
      <w:proofErr w:type="spellStart"/>
      <w:r w:rsidRPr="00EA14BF">
        <w:rPr>
          <w:rFonts w:ascii="Times New Roman" w:hAnsi="Times New Roman" w:cs="Times New Roman"/>
        </w:rPr>
        <w:t>RMSE</w:t>
      </w:r>
      <w:proofErr w:type="spellEnd"/>
      <w:r w:rsidRPr="00EA14BF">
        <w:rPr>
          <w:rFonts w:ascii="Times New Roman" w:hAnsi="Times New Roman" w:cs="Times New Roman"/>
        </w:rPr>
        <w:t xml:space="preserve"> = 2.12 cm⁻¹, 51 matched peaks).</w:t>
      </w:r>
    </w:p>
    <w:p w14:paraId="428BC346" w14:textId="77777777" w:rsidR="00EA14BF" w:rsidRPr="00EA14BF" w:rsidRDefault="00EA14BF" w:rsidP="00EA14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 xml:space="preserve">Successfully </w:t>
      </w:r>
      <w:proofErr w:type="spellStart"/>
      <w:r w:rsidRPr="00EA14BF">
        <w:rPr>
          <w:rFonts w:ascii="Times New Roman" w:hAnsi="Times New Roman" w:cs="Times New Roman"/>
        </w:rPr>
        <w:t>modeled</w:t>
      </w:r>
      <w:proofErr w:type="spellEnd"/>
      <w:r w:rsidRPr="00EA14BF">
        <w:rPr>
          <w:rFonts w:ascii="Times New Roman" w:hAnsi="Times New Roman" w:cs="Times New Roman"/>
        </w:rPr>
        <w:t xml:space="preserve"> all three structural components of LTA through individual DFT simulations.</w:t>
      </w:r>
    </w:p>
    <w:p w14:paraId="06CF1D90" w14:textId="77777777" w:rsidR="00EA14BF" w:rsidRPr="00EA14BF" w:rsidRDefault="00EA14BF" w:rsidP="00EA14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Proposed a component-based spectral reconstruction strategy for identifying complex bacterial macromolecules like LTA.</w:t>
      </w:r>
    </w:p>
    <w:p w14:paraId="52ADDB94" w14:textId="77777777" w:rsidR="00EA14BF" w:rsidRPr="00EA14BF" w:rsidRDefault="00EA14BF" w:rsidP="00EA14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Initiated experimental Raman characterization of LTA under varying acquisition parameters.</w:t>
      </w:r>
    </w:p>
    <w:p w14:paraId="72CD946E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2D90678A">
          <v:rect id="_x0000_i1087" style="width:0;height:1.5pt" o:hralign="center" o:hrstd="t" o:hr="t" fillcolor="#a0a0a0" stroked="f"/>
        </w:pict>
      </w:r>
    </w:p>
    <w:p w14:paraId="53C42DBB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6. Significance</w:t>
      </w:r>
    </w:p>
    <w:p w14:paraId="281B3CD2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This body of work contributes to the development of a Raman spectroscopy-based framework for rapid, label-free detection of bacterial biomarkers. The DFT-validated spectral assignments provide a reliable reference library for interpreting experimental Raman signals from bacterial samples, with direct relevance to biosensor development for sepsis diagnostics — aligning with ongoing work on SERS-based nano-biosensors for rapid bacterial identification in clinical settings.</w:t>
      </w:r>
    </w:p>
    <w:p w14:paraId="10C587CB" w14:textId="77777777" w:rsidR="001230B2" w:rsidRPr="00EA14BF" w:rsidRDefault="001230B2">
      <w:pPr>
        <w:rPr>
          <w:rFonts w:ascii="Times New Roman" w:hAnsi="Times New Roman" w:cs="Times New Roman"/>
        </w:rPr>
      </w:pPr>
    </w:p>
    <w:sectPr w:rsidR="001230B2" w:rsidRPr="00EA1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2778B"/>
    <w:multiLevelType w:val="multilevel"/>
    <w:tmpl w:val="D600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64206"/>
    <w:multiLevelType w:val="multilevel"/>
    <w:tmpl w:val="2280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F2FFA"/>
    <w:multiLevelType w:val="multilevel"/>
    <w:tmpl w:val="A64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86726"/>
    <w:multiLevelType w:val="multilevel"/>
    <w:tmpl w:val="B570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2654C"/>
    <w:multiLevelType w:val="multilevel"/>
    <w:tmpl w:val="9ECC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504168">
    <w:abstractNumId w:val="3"/>
  </w:num>
  <w:num w:numId="2" w16cid:durableId="1563831112">
    <w:abstractNumId w:val="4"/>
  </w:num>
  <w:num w:numId="3" w16cid:durableId="647589289">
    <w:abstractNumId w:val="0"/>
  </w:num>
  <w:num w:numId="4" w16cid:durableId="1111974342">
    <w:abstractNumId w:val="2"/>
  </w:num>
  <w:num w:numId="5" w16cid:durableId="1044715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BF"/>
    <w:rsid w:val="001230B2"/>
    <w:rsid w:val="00567F6D"/>
    <w:rsid w:val="008932FB"/>
    <w:rsid w:val="00A952A4"/>
    <w:rsid w:val="00E670A0"/>
    <w:rsid w:val="00EA14BF"/>
    <w:rsid w:val="00FE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614C"/>
  <w15:chartTrackingRefBased/>
  <w15:docId w15:val="{BB753F8D-220C-482F-A2DB-AE06E47A9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4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7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2</cp:revision>
  <dcterms:created xsi:type="dcterms:W3CDTF">2026-04-06T06:39:00Z</dcterms:created>
  <dcterms:modified xsi:type="dcterms:W3CDTF">2026-04-06T09:07:00Z</dcterms:modified>
</cp:coreProperties>
</file>