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f0443c004ccde76eba72d8cd257f09fcd1cbee"/>
      <w:r>
        <w:t xml:space="preserve">Boronic Acid as the Capture Chemistry — Design Rationale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SERS nanobiosensor for rapid bacterial identification in sepsis</w:t>
      </w:r>
      <w:r>
        <w:t xml:space="preserve"> </w:t>
      </w:r>
      <w:r>
        <w:rPr>
          <w:b/>
        </w:rPr>
        <w:t xml:space="preserve">Prepared: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mary"/>
      <w:r>
        <w:t xml:space="preserve">1. Summary</w:t>
      </w:r>
      <w:bookmarkEnd w:id="21"/>
    </w:p>
    <w:p>
      <w:pPr>
        <w:pStyle w:val="FirstParagraph"/>
      </w:pPr>
      <w:r>
        <w:t xml:space="preserve">Boronic acid is proposed as the bacterial capture element on the Ag/Si SERS</w:t>
      </w:r>
      <w:r>
        <w:t xml:space="preserve"> </w:t>
      </w:r>
      <w:r>
        <w:t xml:space="preserve">substrate. It forms reversible covalent bonds with cis-diols, which are abundant</w:t>
      </w:r>
      <w:r>
        <w:t xml:space="preserve"> </w:t>
      </w:r>
      <w:r>
        <w:t xml:space="preserve">on bacterial cell-wall glycans, and it can be immobilised on silver as a</w:t>
      </w:r>
      <w:r>
        <w:t xml:space="preserve"> </w:t>
      </w:r>
      <w:r>
        <w:t xml:space="preserve">self-assembled monolayer that doubles as a Raman reporter.</w:t>
      </w:r>
    </w:p>
    <w:p>
      <w:pPr>
        <w:pStyle w:val="BodyText"/>
      </w:pPr>
      <w:r>
        <w:t xml:space="preserve">The approach is well precedented. Reported detection limits using</w:t>
      </w:r>
      <w:r>
        <w:t xml:space="preserve"> </w:t>
      </w:r>
      <w:r>
        <w:t xml:space="preserve">4-mercaptophenylboronic acid (4-MPBA) reach</w:t>
      </w:r>
      <w:r>
        <w:t xml:space="preserve"> </w:t>
      </w:r>
      <w:r>
        <w:rPr>
          <w:b/>
        </w:rPr>
        <w:t xml:space="preserve">8–13 CFU mL⁻¹</w:t>
      </w:r>
      <w:r>
        <w:t xml:space="preserve"> </w:t>
      </w:r>
      <w:r>
        <w:t xml:space="preserve">for respiratory</w:t>
      </w:r>
      <w:r>
        <w:t xml:space="preserve"> </w:t>
      </w:r>
      <w:r>
        <w:t xml:space="preserve">pathogens on a magnetic SERS strip [1], and capture efficiencies of</w:t>
      </w:r>
      <w:r>
        <w:t xml:space="preserve"> </w:t>
      </w:r>
      <w:r>
        <w:rPr>
          <w:b/>
        </w:rPr>
        <w:t xml:space="preserve">99.65% at</w:t>
      </w:r>
      <w:r>
        <w:rPr>
          <w:b/>
        </w:rPr>
        <w:t xml:space="preserve"> </w:t>
      </w:r>
      <w:r>
        <w:rPr>
          <w:b/>
        </w:rPr>
        <w:t xml:space="preserve">10³ CFU mL⁻¹</w:t>
      </w:r>
      <w:r>
        <w:t xml:space="preserve"> </w:t>
      </w:r>
      <w:r>
        <w:t xml:space="preserve">on 4-MPBA-functionalised silver dendrites [2].</w:t>
      </w:r>
    </w:p>
    <w:p>
      <w:pPr>
        <w:pStyle w:val="BodyText"/>
      </w:pPr>
      <w:r>
        <w:t xml:space="preserve">Two limitations must be designed around: competing cis-diols in blood</w:t>
      </w:r>
      <w:r>
        <w:t xml:space="preserve"> </w:t>
      </w:r>
      <w:r>
        <w:t xml:space="preserve">(principally glucose) and the pH mismatch between simple phenylboronic acids and</w:t>
      </w:r>
      <w:r>
        <w:t xml:space="preserve"> </w:t>
      </w:r>
      <w:r>
        <w:t xml:space="preserve">physiological conditions. Both have established solutions.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chemistry"/>
      <w:r>
        <w:t xml:space="preserve">2. The chemistry</w:t>
      </w:r>
      <w:bookmarkEnd w:id="22"/>
    </w:p>
    <w:p>
      <w:pPr>
        <w:pStyle w:val="FirstParagraph"/>
      </w:pPr>
      <w:r>
        <w:t xml:space="preserve">Boronic acids condense with 1,2- or 1,3-cis-diols to form cyclic boronate esters,</w:t>
      </w:r>
      <w:r>
        <w:t xml:space="preserve"> </w:t>
      </w:r>
      <w:r>
        <w:t xml:space="preserve">releasing water. The reaction is reversible and pH-dependent: binding is stronger</w:t>
      </w:r>
      <w:r>
        <w:t xml:space="preserve"> </w:t>
      </w:r>
      <w:r>
        <w:t xml:space="preserve">above the pKa of the boronic acid, where the tetrahedral boronate anion</w:t>
      </w:r>
      <w:r>
        <w:t xml:space="preserve"> </w:t>
      </w:r>
      <w:r>
        <w:t xml:space="preserve">predominates over the neutral trigonal form [3].</w:t>
      </w:r>
    </w:p>
    <w:p>
      <w:pPr>
        <w:pStyle w:val="SourceCode"/>
      </w:pPr>
      <w:r>
        <w:rPr>
          <w:rStyle w:val="VerbatimChar"/>
        </w:rPr>
        <w:t xml:space="preserve">R–B(OH)₂  +  HO–CH–CH–OH   ⇌   cyclic boronate ester  +  2 H₂O</w:t>
      </w:r>
    </w:p>
    <w:p>
      <w:pPr>
        <w:pStyle w:val="FirstParagraph"/>
      </w:pPr>
      <w:r>
        <w:t xml:space="preserve">This gives three properties that matter for a diagnostic device: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synthetic recognition</w:t>
      </w:r>
      <w:r>
        <w:t xml:space="preserve"> </w:t>
      </w:r>
      <w:r>
        <w:t xml:space="preserve">— no antibodies, no cold chain, no batch variability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reversibility</w:t>
      </w:r>
      <w:r>
        <w:t xml:space="preserve"> </w:t>
      </w:r>
      <w:r>
        <w:t xml:space="preserve">— the surface can be regenerated by lowering pH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broad glycan capture</w:t>
      </w:r>
      <w:r>
        <w:t xml:space="preserve"> </w:t>
      </w:r>
      <w:r>
        <w:t xml:space="preserve">— one ligand captures many bacterial species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aa30feb0be16cb8190201e58b2969597b39fcf"/>
      <w:r>
        <w:t xml:space="preserve">3. Why 4-mercaptophenylboronic acid specifically</w:t>
      </w:r>
      <w:bookmarkEnd w:id="23"/>
    </w:p>
    <w:p>
      <w:pPr>
        <w:pStyle w:val="FirstParagraph"/>
      </w:pPr>
      <w:r>
        <w:t xml:space="preserve">4-MPBA is bifunctional in exactly the way this device needs. The thiol</w:t>
      </w:r>
      <w:r>
        <w:t xml:space="preserve"> </w:t>
      </w:r>
      <w:r>
        <w:t xml:space="preserve">chemisorbs onto silver or gold, forming an ordered monolayer with the boronic</w:t>
      </w:r>
      <w:r>
        <w:t xml:space="preserve"> </w:t>
      </w:r>
      <w:r>
        <w:t xml:space="preserve">acid presented outward for capture [1].</w:t>
      </w:r>
    </w:p>
    <w:p>
      <w:pPr>
        <w:pStyle w:val="BodyText"/>
      </w:pPr>
      <w:r>
        <w:t xml:space="preserve">More usefully,</w:t>
      </w:r>
      <w:r>
        <w:t xml:space="preserve"> </w:t>
      </w:r>
      <w:r>
        <w:rPr>
          <w:b/>
        </w:rPr>
        <w:t xml:space="preserve">4-MPBA is itself a strong Raman reporter</w:t>
      </w:r>
      <w:r>
        <w:t xml:space="preserve">. Its SERS spectrum</w:t>
      </w:r>
      <w:r>
        <w:t xml:space="preserve"> </w:t>
      </w:r>
      <w:r>
        <w:t xml:space="preserve">shows characteristic bands at</w:t>
      </w:r>
      <w:r>
        <w:t xml:space="preserve"> </w:t>
      </w:r>
      <w:r>
        <w:rPr>
          <w:b/>
        </w:rPr>
        <w:t xml:space="preserve">1072 cm⁻¹</w:t>
      </w:r>
      <w:r>
        <w:t xml:space="preserve"> </w:t>
      </w:r>
      <w:r>
        <w:t xml:space="preserve">(C–S-stretch-coupled ring breathing)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1585 cm⁻¹</w:t>
      </w:r>
      <w:r>
        <w:t xml:space="preserve"> </w:t>
      </w:r>
      <w:r>
        <w:t xml:space="preserve">(aromatic C=C) [4]. Binding events perturb these bands, so the</w:t>
      </w:r>
      <w:r>
        <w:t xml:space="preserve"> </w:t>
      </w:r>
      <w:r>
        <w:t xml:space="preserve">same molecule performs capture and signal transduction.</w:t>
      </w:r>
    </w:p>
    <w:p>
      <w:pPr>
        <w:pStyle w:val="BodyText"/>
      </w:pPr>
      <w:r>
        <w:t xml:space="preserve">This matters practically: it gives an internal reference. A change in the ratio</w:t>
      </w:r>
      <w:r>
        <w:t xml:space="preserve"> </w:t>
      </w:r>
      <w:r>
        <w:t xml:space="preserve">of reporter bands to analyte bands indicates binding, independent of absolute</w:t>
      </w:r>
      <w:r>
        <w:t xml:space="preserve"> </w:t>
      </w:r>
      <w:r>
        <w:t xml:space="preserve">intensity — which is the usual weakness of SERS quantification, since hotspot</w:t>
      </w:r>
      <w:r>
        <w:t xml:space="preserve"> </w:t>
      </w:r>
      <w:r>
        <w:t xml:space="preserve">density varies between substrates and between spots.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e49b017e1d508878e33ac98bd7efbaf61e5d794"/>
      <w:r>
        <w:t xml:space="preserve">4. What boronic acid actually binds on bacteria — an important nuance</w:t>
      </w:r>
      <w:bookmarkEnd w:id="24"/>
    </w:p>
    <w:p>
      <w:pPr>
        <w:pStyle w:val="FirstParagraph"/>
      </w:pPr>
      <w:r>
        <w:t xml:space="preserve">The literature commonly states that boronic acid captures bacteria by binding</w:t>
      </w:r>
      <w:r>
        <w:t xml:space="preserve"> </w:t>
      </w:r>
      <w:r>
        <w:rPr>
          <w:b/>
        </w:rPr>
        <w:t xml:space="preserve">peptidoglycan</w:t>
      </w:r>
      <w:r>
        <w:t xml:space="preserve"> </w:t>
      </w:r>
      <w:r>
        <w:t xml:space="preserve">[1]. More careful studies attribute the interaction primarily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lipopolysaccharide in Gram-negative organisms and teichoic acids in</w:t>
      </w:r>
      <w:r>
        <w:rPr>
          <w:b/>
        </w:rPr>
        <w:t xml:space="preserve"> </w:t>
      </w:r>
      <w:r>
        <w:rPr>
          <w:b/>
        </w:rPr>
        <w:t xml:space="preserve">Gram-positive organisms</w:t>
      </w:r>
      <w:r>
        <w:t xml:space="preserve"> </w:t>
      </w:r>
      <w:r>
        <w:t xml:space="preserve">[5, 6].</w:t>
      </w:r>
    </w:p>
    <w:p>
      <w:pPr>
        <w:pStyle w:val="BodyText"/>
      </w:pPr>
      <w:r>
        <w:rPr>
          <w:b/>
        </w:rPr>
        <w:t xml:space="preserve">The structural argument favours the second interpretation, and it is directly</w:t>
      </w:r>
      <w:r>
        <w:rPr>
          <w:b/>
        </w:rPr>
        <w:t xml:space="preserve"> </w:t>
      </w:r>
      <w:r>
        <w:rPr>
          <w:b/>
        </w:rPr>
        <w:t xml:space="preserve">relevant to our NAM work.</w:t>
      </w:r>
    </w:p>
    <w:p>
      <w:pPr>
        <w:pStyle w:val="BodyText"/>
      </w:pPr>
      <w:r>
        <w:t xml:space="preserve">Boronate ester formation requires two hydroxyls in a suitable cis geometry. In</w:t>
      </w:r>
      <w:r>
        <w:t xml:space="preserve"> </w:t>
      </w:r>
      <w:r>
        <w:t xml:space="preserve">the peptidoglycan glycan backbone: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N-acetylmuramic acid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N-acetylglucosamine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p>
            <w:pPr>
              <w:pStyle w:val="Compact"/>
              <w:jc w:val="left"/>
            </w:pPr>
            <w:r>
              <w:t xml:space="preserve">glycosidic linkage (in polymer)</w:t>
            </w:r>
          </w:p>
        </w:tc>
        <w:tc>
          <w:p>
            <w:pPr>
              <w:pStyle w:val="Compact"/>
              <w:jc w:val="left"/>
            </w:pPr>
            <w:r>
              <w:t xml:space="preserve">glycosidic linkage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p>
            <w:pPr>
              <w:pStyle w:val="Compact"/>
              <w:jc w:val="left"/>
            </w:pPr>
            <w:r>
              <w:t xml:space="preserve">acetamido —</w:t>
            </w:r>
            <w:r>
              <w:t xml:space="preserve"> </w:t>
            </w:r>
            <w:r>
              <w:rPr>
                <w:b/>
              </w:rPr>
              <w:t xml:space="preserve">not a hydroxyl</w:t>
            </w:r>
          </w:p>
        </w:tc>
        <w:tc>
          <w:p>
            <w:pPr>
              <w:pStyle w:val="Compact"/>
              <w:jc w:val="left"/>
            </w:pPr>
            <w:r>
              <w:t xml:space="preserve">acetamido —</w:t>
            </w:r>
            <w:r>
              <w:t xml:space="preserve"> </w:t>
            </w:r>
            <w:r>
              <w:rPr>
                <w:b/>
              </w:rPr>
              <w:t xml:space="preserve">not a hydroxyl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p>
            <w:pPr>
              <w:pStyle w:val="Compact"/>
              <w:jc w:val="left"/>
            </w:pPr>
            <w:r>
              <w:t xml:space="preserve">D-lactyl ether —</w:t>
            </w:r>
            <w:r>
              <w:t xml:space="preserve"> </w:t>
            </w:r>
            <w:r>
              <w:rPr>
                <w:b/>
              </w:rP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free OH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p>
            <w:pPr>
              <w:pStyle w:val="Compact"/>
              <w:jc w:val="left"/>
            </w:pPr>
            <w:r>
              <w:t xml:space="preserve">glycosidic linkage</w:t>
            </w:r>
          </w:p>
        </w:tc>
        <w:tc>
          <w:p>
            <w:pPr>
              <w:pStyle w:val="Compact"/>
              <w:jc w:val="left"/>
            </w:pPr>
            <w:r>
              <w:t xml:space="preserve">free OH</w:t>
            </w:r>
          </w:p>
        </w:tc>
      </w:tr>
    </w:tbl>
    <w:p>
      <w:pPr>
        <w:pStyle w:val="BodyText"/>
      </w:pPr>
      <w:r>
        <w:t xml:space="preserve">In NAM, C-2 carries the acetamido group and C-3 the lactyl ether, so no</w:t>
      </w:r>
      <w:r>
        <w:t xml:space="preserve"> </w:t>
      </w:r>
      <w:r>
        <w:t xml:space="preserve">1,2-diol is available. In GlcNAc, the C-3 and C-4 hydroxyls exist but are</w:t>
      </w:r>
      <w:r>
        <w:t xml:space="preserve"> </w:t>
      </w:r>
      <w:r>
        <w:rPr>
          <w:b/>
        </w:rPr>
        <w:t xml:space="preserve">trans-diequatorial</w:t>
      </w:r>
      <w:r>
        <w:t xml:space="preserve">, a geometry that binds boronic acid weakly. In the intact</w:t>
      </w:r>
      <w:r>
        <w:t xml:space="preserve"> </w:t>
      </w:r>
      <w:r>
        <w:t xml:space="preserve">polymer, C-1 and C-4 are further consumed by the β-1,4 glycosidic linkages.</w:t>
      </w:r>
    </w:p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t xml:space="preserve">the peptidoglycan glycan backbone is a poor boronic acid target.</w:t>
      </w:r>
      <w:r>
        <w:t xml:space="preserve"> </w:t>
      </w:r>
      <w:r>
        <w:t xml:space="preserve">Capture on intact bacteria is far more likely occurring through LPS — whose</w:t>
      </w:r>
      <w:r>
        <w:t xml:space="preserve"> </w:t>
      </w:r>
      <w:r>
        <w:t xml:space="preserve">O-antigen sugars and Kdo/heptose inner core are rich in cis-diols — and through</w:t>
      </w:r>
      <w:r>
        <w:t xml:space="preserve"> </w:t>
      </w:r>
      <w:r>
        <w:t xml:space="preserve">wall and lipoteichoic acids on Gram-positives. Recent work reports a 40-fold</w:t>
      </w:r>
      <w:r>
        <w:t xml:space="preserve"> </w:t>
      </w:r>
      <w:r>
        <w:t xml:space="preserve">binding enhancement from bivalent boron conjugates acting mainly on wall teichoic</w:t>
      </w:r>
      <w:r>
        <w:t xml:space="preserve"> </w:t>
      </w:r>
      <w:r>
        <w:t xml:space="preserve">acid [5].</w:t>
      </w:r>
    </w:p>
    <w:p>
      <w:pPr>
        <w:pStyle w:val="Heading3"/>
      </w:pPr>
      <w:bookmarkStart w:id="25" w:name="why-this-is-worth-stating-explicitly"/>
      <w:r>
        <w:t xml:space="preserve">Why this is worth stating explicitly</w:t>
      </w:r>
      <w:bookmarkEnd w:id="25"/>
    </w:p>
    <w:p>
      <w:pPr>
        <w:pStyle w:val="FirstParagraph"/>
      </w:pPr>
      <w:r>
        <w:t xml:space="preserve">It means the capture chemistry and the NAM detection chemistry target</w:t>
      </w:r>
      <w:r>
        <w:t xml:space="preserve"> </w:t>
      </w:r>
      <w:r>
        <w:rPr>
          <w:b/>
        </w:rPr>
        <w:t xml:space="preserve">different parts of the cell</w:t>
      </w:r>
      <w:r>
        <w:t xml:space="preserve">. That is a deliberate design choice, not an</w:t>
      </w:r>
      <w:r>
        <w:t xml:space="preserve"> </w:t>
      </w:r>
      <w:r>
        <w:t xml:space="preserve">oversight, and framing it that way is better than letting a reviewer notice it.</w:t>
      </w:r>
    </w:p>
    <w:p>
      <w:pPr>
        <w:pStyle w:val="BodyText"/>
      </w:pPr>
      <w:r>
        <w:t xml:space="preserve">It also makes a</w:t>
      </w:r>
      <w:r>
        <w:t xml:space="preserve"> </w:t>
      </w:r>
      <w:r>
        <w:rPr>
          <w:b/>
        </w:rPr>
        <w:t xml:space="preserve">testable prediction</w:t>
      </w:r>
      <w:r>
        <w:t xml:space="preserve">: capture efficiency should differ</w:t>
      </w:r>
      <w:r>
        <w:t xml:space="preserve"> </w:t>
      </w:r>
      <w:r>
        <w:t xml:space="preserve">systematically between Gram-positive and Gram-negative organisms, because the</w:t>
      </w:r>
      <w:r>
        <w:t xml:space="preserve"> </w:t>
      </w:r>
      <w:r>
        <w:t xml:space="preserve">diol density and accessibility differ. Boronic acid-modified dendrimers have</w:t>
      </w:r>
      <w:r>
        <w:t xml:space="preserve"> </w:t>
      </w:r>
      <w:r>
        <w:t xml:space="preserve">already been used to discriminate Gram types on exactly this basis [6] — which</w:t>
      </w:r>
      <w:r>
        <w:t xml:space="preserve"> </w:t>
      </w:r>
      <w:r>
        <w:t xml:space="preserve">both supports the approach and means our contribution must be differentiated</w:t>
      </w:r>
      <w:r>
        <w:t xml:space="preserve"> </w:t>
      </w:r>
      <w:r>
        <w:t xml:space="preserve">from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8f4e3fe03b8ed06d5a787a81380af283aba39dc"/>
      <w:r>
        <w:t xml:space="preserve">5. Limitation 1 — competing cis-diols in blood</w:t>
      </w:r>
      <w:bookmarkEnd w:id="26"/>
    </w:p>
    <w:p>
      <w:pPr>
        <w:pStyle w:val="FirstParagraph"/>
      </w:pPr>
      <w:r>
        <w:t xml:space="preserve">Boronic acid binds any cis-diol. Blood contains glucose at roughly 5 mM, plus</w:t>
      </w:r>
      <w:r>
        <w:t xml:space="preserve"> </w:t>
      </w:r>
      <w:r>
        <w:t xml:space="preserve">glycoproteins, ribose-containing nucleotides and catechols.</w:t>
      </w:r>
    </w:p>
    <w:p>
      <w:pPr>
        <w:pStyle w:val="BodyText"/>
      </w:pPr>
      <w:r>
        <w:t xml:space="preserve">Reported phenylboronic acid affinities follow the order</w:t>
      </w:r>
      <w:r>
        <w:t xml:space="preserve"> </w:t>
      </w:r>
      <w:r>
        <w:rPr>
          <w:b/>
        </w:rPr>
        <w:t xml:space="preserve">fructose &gt; arabinose, ribose &gt; galactose &gt; glucose</w:t>
      </w:r>
      <w:r>
        <w:t xml:space="preserve">, spanning only one to two</w:t>
      </w:r>
      <w:r>
        <w:t xml:space="preserve"> </w:t>
      </w:r>
      <w:r>
        <w:t xml:space="preserve">orders of magnitude [7]. That selectivity is inadequate when the interferent</w:t>
      </w:r>
      <w:r>
        <w:t xml:space="preserve"> </w:t>
      </w:r>
      <w:r>
        <w:t xml:space="preserve">exceeds the target by many orders of magnitude in concentration.</w:t>
      </w:r>
    </w:p>
    <w:p>
      <w:pPr>
        <w:pStyle w:val="BodyText"/>
      </w:pPr>
      <w:r>
        <w:rPr>
          <w:b/>
        </w:rPr>
        <w:t xml:space="preserve">Mitigations, in order of practicality: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Sample preparation.</w:t>
      </w:r>
      <w:r>
        <w:t xml:space="preserve"> </w:t>
      </w:r>
      <w:r>
        <w:t xml:space="preserve">Separate or lyse bacteria and wash before capture.</w:t>
      </w:r>
      <w:r>
        <w:t xml:space="preserve"> </w:t>
      </w:r>
      <w:r>
        <w:t xml:space="preserve">This is the most reliable route and is compatible with the microfluidic</w:t>
      </w:r>
      <w:r>
        <w:t xml:space="preserve"> </w:t>
      </w:r>
      <w:r>
        <w:t xml:space="preserve">front-end already planned.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Boronic acids with poor glucose affinity.</w:t>
      </w:r>
      <w:r>
        <w:t xml:space="preserve"> </w:t>
      </w:r>
      <w:r>
        <w:t xml:space="preserve">Glucose binds relatively weakly</w:t>
      </w:r>
      <w:r>
        <w:t xml:space="preserve"> </w:t>
      </w:r>
      <w:r>
        <w:t xml:space="preserve">among common sugars; ligand choice can widen the margin.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Multivalent presentation.</w:t>
      </w:r>
      <w:r>
        <w:t xml:space="preserve"> </w:t>
      </w:r>
      <w:r>
        <w:t xml:space="preserve">A bacterium presents many diols simultaneously,</w:t>
      </w:r>
      <w:r>
        <w:t xml:space="preserve"> </w:t>
      </w:r>
      <w:r>
        <w:t xml:space="preserve">so a multivalent surface gains avidity that a monovalent sugar like glucose</w:t>
      </w:r>
      <w:r>
        <w:t xml:space="preserve"> </w:t>
      </w:r>
      <w:r>
        <w:t xml:space="preserve">cannot match. This is the strongest conceptual argument for why the approach</w:t>
      </w:r>
      <w:r>
        <w:t xml:space="preserve"> </w:t>
      </w:r>
      <w:r>
        <w:t xml:space="preserve">works at all in biological media.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Ratiometric readout.</w:t>
      </w:r>
      <w:r>
        <w:t xml:space="preserve"> </w:t>
      </w:r>
      <w:r>
        <w:t xml:space="preserve">Using the 4-MPBA reporter bands as an internal</w:t>
      </w:r>
      <w:r>
        <w:t xml:space="preserve"> </w:t>
      </w:r>
      <w:r>
        <w:t xml:space="preserve">reference reduces sensitivity to non-specific binding.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limitation-2-ph"/>
      <w:r>
        <w:t xml:space="preserve">6. Limitation 2 — pH</w:t>
      </w:r>
      <w:bookmarkEnd w:id="27"/>
    </w:p>
    <w:p>
      <w:pPr>
        <w:pStyle w:val="FirstParagraph"/>
      </w:pPr>
      <w:r>
        <w:t xml:space="preserve">Simple phenylboronic acids have pKa near</w:t>
      </w:r>
      <w:r>
        <w:t xml:space="preserve"> </w:t>
      </w:r>
      <w:r>
        <w:rPr>
          <w:b/>
        </w:rPr>
        <w:t xml:space="preserve">8.8</w:t>
      </w:r>
      <w:r>
        <w:t xml:space="preserve"> </w:t>
      </w:r>
      <w:r>
        <w:t xml:space="preserve">[8]. Blood is pH 7.4, below the</w:t>
      </w:r>
      <w:r>
        <w:t xml:space="preserve"> </w:t>
      </w:r>
      <w:r>
        <w:t xml:space="preserve">pKa, where the weakly binding neutral trigonal form dominates. Binding is</w:t>
      </w:r>
      <w:r>
        <w:t xml:space="preserve"> </w:t>
      </w:r>
      <w:r>
        <w:t xml:space="preserve">therefore poor at exactly the pH the device must operate at.</w:t>
      </w:r>
    </w:p>
    <w:p>
      <w:pPr>
        <w:pStyle w:val="BodyText"/>
      </w:pPr>
      <w:r>
        <w:rPr>
          <w:b/>
        </w:rPr>
        <w:t xml:space="preserve">Solutions:</w:t>
      </w:r>
    </w:p>
    <w:p>
      <w:pPr>
        <w:pStyle w:val="BodyText"/>
      </w:pPr>
      <w:r>
        <w:rPr>
          <w:b/>
        </w:rPr>
        <w:t xml:space="preserve">Benzoboroxoles.</w:t>
      </w:r>
      <w:r>
        <w:t xml:space="preserve"> </w:t>
      </w:r>
      <w:r>
        <w:t xml:space="preserve">Ring strain from the fused five-membered ring lowers the pKa</w:t>
      </w:r>
      <w:r>
        <w:t xml:space="preserve"> </w:t>
      </w:r>
      <w:r>
        <w:t xml:space="preserve">to approximately</w:t>
      </w:r>
      <w:r>
        <w:t xml:space="preserve"> </w:t>
      </w:r>
      <w:r>
        <w:rPr>
          <w:b/>
        </w:rPr>
        <w:t xml:space="preserve">7.2–7.3</w:t>
      </w:r>
      <w:r>
        <w:t xml:space="preserve"> </w:t>
      </w:r>
      <w:r>
        <w:t xml:space="preserve">[8, 9]. They bind efficiently at physiological pH</w:t>
      </w:r>
      <w:r>
        <w:t xml:space="preserve"> </w:t>
      </w:r>
      <w:r>
        <w:t xml:space="preserve">and show higher saccharide affinity than other Wulff-type boronic acids. They</w:t>
      </w:r>
      <w:r>
        <w:t xml:space="preserve"> </w:t>
      </w:r>
      <w:r>
        <w:t xml:space="preserve">also bind non-reducing sugars — methyl α-D-mannopyranoside, methyl</w:t>
      </w:r>
      <w:r>
        <w:t xml:space="preserve"> </w:t>
      </w:r>
      <w:r>
        <w:t xml:space="preserve">β-D-galactopyranoside — that simple boronic acids cannot [8].</w:t>
      </w:r>
    </w:p>
    <w:p>
      <w:pPr>
        <w:pStyle w:val="BodyText"/>
      </w:pPr>
      <w:r>
        <w:rPr>
          <w:b/>
        </w:rPr>
        <w:t xml:space="preserve">Fluorinated boronic acids.</w:t>
      </w:r>
      <w:r>
        <w:t xml:space="preserve"> </w:t>
      </w:r>
      <w:r>
        <w:t xml:space="preserve">Electron-withdrawing substituents such as ortho-</w:t>
      </w:r>
      <w:r>
        <w:t xml:space="preserve"> </w:t>
      </w:r>
      <w:r>
        <w:t xml:space="preserve">fluorine lower the pKa. 3-fluoro-4-mercaptophenylboronic acid retains the thiol</w:t>
      </w:r>
      <w:r>
        <w:t xml:space="preserve"> </w:t>
      </w:r>
      <w:r>
        <w:t xml:space="preserve">anchor while shifting the working pH downward.</w:t>
      </w:r>
    </w:p>
    <w:p>
      <w:pPr>
        <w:pStyle w:val="BodyText"/>
      </w:pPr>
      <w:r>
        <w:rPr>
          <w:b/>
        </w:rPr>
        <w:t xml:space="preserve">Wulff-type boronic acids.</w:t>
      </w:r>
      <w:r>
        <w:t xml:space="preserve"> </w:t>
      </w:r>
      <w:r>
        <w:t xml:space="preserve">An ortho-aminomethyl group provides intramolecular</w:t>
      </w:r>
      <w:r>
        <w:t xml:space="preserve"> </w:t>
      </w:r>
      <w:r>
        <w:t xml:space="preserve">B–N interaction, stabilising the tetrahedral form at lower pH.</w:t>
      </w:r>
    </w:p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evaluate a benzoboroxole derivative alongside 4-MPBA.</w:t>
      </w:r>
      <w:r>
        <w:t xml:space="preserve"> </w:t>
      </w:r>
      <w:r>
        <w:t xml:space="preserve">4-MPBA is the established SERS reporter and the sensible starting point; a</w:t>
      </w:r>
      <w:r>
        <w:t xml:space="preserve"> </w:t>
      </w:r>
      <w:r>
        <w:t xml:space="preserve">benzoboroxole variant is the likely route to working in undiluted physiological</w:t>
      </w:r>
      <w:r>
        <w:t xml:space="preserve"> </w:t>
      </w:r>
      <w:r>
        <w:t xml:space="preserve">fluid.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ow-this-fits-the-device-architecture"/>
      <w:r>
        <w:t xml:space="preserve">7. How this fits the device architecture</w:t>
      </w:r>
      <w:bookmarkEnd w:id="28"/>
    </w:p>
    <w:p>
      <w:pPr>
        <w:pStyle w:val="FirstParagraph"/>
      </w:pPr>
      <w:r>
        <w:t xml:space="preserve">The design separates</w:t>
      </w:r>
      <w:r>
        <w:t xml:space="preserve"> </w:t>
      </w:r>
      <w:r>
        <w:rPr>
          <w:b/>
        </w:rPr>
        <w:t xml:space="preserve">capture</w:t>
      </w:r>
      <w:r>
        <w:t xml:space="preserve"> </w:t>
      </w:r>
      <w:r>
        <w:t xml:space="preserve">from</w:t>
      </w:r>
      <w:r>
        <w:t xml:space="preserve"> </w:t>
      </w:r>
      <w:r>
        <w:rPr>
          <w:b/>
        </w:rPr>
        <w:t xml:space="preserve">identification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answered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Capture</w:t>
            </w:r>
          </w:p>
        </w:tc>
        <w:tc>
          <w:p>
            <w:pPr>
              <w:pStyle w:val="Compact"/>
              <w:jc w:val="left"/>
            </w:pPr>
            <w:r>
              <w:t xml:space="preserve">Boronic acid monolayer on Ag/Si</w:t>
            </w:r>
          </w:p>
        </w:tc>
        <w:tc>
          <w:p>
            <w:pPr>
              <w:pStyle w:val="Compact"/>
              <w:jc w:val="left"/>
            </w:pPr>
            <w:r>
              <w:t xml:space="preserve">Is bacterial material present, and concentrate it at the hotspots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SERS fingerprint + DFT-assigned bands</w:t>
            </w:r>
          </w:p>
        </w:tc>
        <w:tc>
          <w:p>
            <w:pPr>
              <w:pStyle w:val="Compact"/>
              <w:jc w:val="left"/>
            </w:pPr>
            <w:r>
              <w:t xml:space="preserve">Gram-positive or Gram-negative?</w:t>
            </w:r>
          </w:p>
        </w:tc>
      </w:tr>
    </w:tbl>
    <w:p>
      <w:pPr>
        <w:pStyle w:val="BodyText"/>
      </w:pPr>
      <w:r>
        <w:t xml:space="preserve">This is deliberate. Requiring a single element to be both broadly capturing and</w:t>
      </w:r>
      <w:r>
        <w:t xml:space="preserve"> </w:t>
      </w:r>
      <w:r>
        <w:t xml:space="preserve">highly discriminating is the usual failure mode of affinity biosensors. Here the</w:t>
      </w:r>
      <w:r>
        <w:t xml:space="preserve"> </w:t>
      </w:r>
      <w:r>
        <w:t xml:space="preserve">boronic acid needs only to be broad and robust, while discrimination comes from</w:t>
      </w:r>
      <w:r>
        <w:t xml:space="preserve"> </w:t>
      </w:r>
      <w:r>
        <w:t xml:space="preserve">the vibrational fingerprint — which is where the NAM reference spectrum and the</w:t>
      </w:r>
      <w:r>
        <w:t xml:space="preserve"> </w:t>
      </w:r>
      <w:r>
        <w:t xml:space="preserve">band assignments already completed become directly useful.</w:t>
      </w:r>
    </w:p>
    <w:p>
      <w:pPr>
        <w:pStyle w:val="BodyText"/>
      </w:pPr>
      <w:r>
        <w:t xml:space="preserve">Concentrating analyte at the plasmonic surface also addresses the central</w:t>
      </w:r>
      <w:r>
        <w:t xml:space="preserve"> </w:t>
      </w:r>
      <w:r>
        <w:t xml:space="preserve">practical problem in SERS: enhancement falls off steeply with distance from the</w:t>
      </w:r>
      <w:r>
        <w:t xml:space="preserve"> </w:t>
      </w:r>
      <w:r>
        <w:t xml:space="preserve">metal, so a capture layer that holds the target within a few nanometres is worth</w:t>
      </w:r>
      <w:r>
        <w:t xml:space="preserve"> </w:t>
      </w:r>
      <w:r>
        <w:t xml:space="preserve">orders of magnitude in signal.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oposed-experimental-sequence"/>
      <w:r>
        <w:t xml:space="preserve">8. Proposed experimental sequence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Establish reproducible Ag/Si substrates</w:t>
      </w:r>
      <w:r>
        <w:t xml:space="preserve"> </w:t>
      </w:r>
      <w:r>
        <w:t xml:space="preserve">— prerequisite; currently blocked</w:t>
      </w:r>
      <w:r>
        <w:t xml:space="preserve"> </w:t>
      </w:r>
      <w:r>
        <w:t xml:space="preserve">by the contamination issue under investigation.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Form and verify the 4-MPBA monolayer.</w:t>
      </w:r>
      <w:r>
        <w:t xml:space="preserve"> </w:t>
      </w:r>
      <w:r>
        <w:t xml:space="preserve">Confirm the 1072 and 1585 cm⁻¹</w:t>
      </w:r>
      <w:r>
        <w:t xml:space="preserve"> </w:t>
      </w:r>
      <w:r>
        <w:t xml:space="preserve">bands are present, stable, and reproducible across substrates. This doubles as</w:t>
      </w:r>
      <w:r>
        <w:t xml:space="preserve"> </w:t>
      </w:r>
      <w:r>
        <w:t xml:space="preserve">a substrate quality-control metric, which the current fabrication work needs</w:t>
      </w:r>
      <w:r>
        <w:t xml:space="preserve"> </w:t>
      </w:r>
      <w:r>
        <w:t xml:space="preserve">anyway.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Model diol binding.</w:t>
      </w:r>
      <w:r>
        <w:t xml:space="preserve"> </w:t>
      </w:r>
      <w:r>
        <w:t xml:space="preserve">Test with a simple sugar to confirm the reporter bands</w:t>
      </w:r>
      <w:r>
        <w:t xml:space="preserve"> </w:t>
      </w:r>
      <w:r>
        <w:t xml:space="preserve">respond to boronate ester formation.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Bacterial capture in buffer.</w:t>
      </w:r>
      <w:r>
        <w:t xml:space="preserve"> </w:t>
      </w:r>
      <w:r>
        <w:t xml:space="preserve">Establish capture efficiency and detection</w:t>
      </w:r>
      <w:r>
        <w:t xml:space="preserve"> </w:t>
      </w:r>
      <w:r>
        <w:t xml:space="preserve">limit for one Gram-positive and one Gram-negative organism.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Compare Gram types.</w:t>
      </w:r>
      <w:r>
        <w:t xml:space="preserve"> </w:t>
      </w:r>
      <w:r>
        <w:t xml:space="preserve">Test the prediction that capture efficiency differs.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Move to serum, then blood.</w:t>
      </w:r>
      <w:r>
        <w:t xml:space="preserve"> </w:t>
      </w:r>
      <w:r>
        <w:t xml:space="preserve">Quantify the glucose interference and evaluate</w:t>
      </w:r>
      <w:r>
        <w:t xml:space="preserve"> </w:t>
      </w:r>
      <w:r>
        <w:t xml:space="preserve">whether sample preparation or a lower-pKa ligand is required.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Regeneration.</w:t>
      </w:r>
      <w:r>
        <w:t xml:space="preserve"> </w:t>
      </w:r>
      <w:r>
        <w:t xml:space="preserve">Establish how many bind–release cycles the surface tolerates.</w:t>
      </w:r>
    </w:p>
    <w:p>
      <w:pPr>
        <w:pStyle w:val="FirstParagraph"/>
      </w:pPr>
      <w:r>
        <w:t xml:space="preserve">Steps 2 and 3 can begin as soon as substrate reproducibility is restored, and</w:t>
      </w:r>
      <w:r>
        <w:t xml:space="preserve"> </w:t>
      </w:r>
      <w:r>
        <w:t xml:space="preserve">would give an independent handle on substrate quality.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open-questions"/>
      <w:r>
        <w:t xml:space="preserve">9. Open questions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Does 4-MPBA monolayer formation interfere with the Ag/Si hotspot structure, or</w:t>
      </w:r>
      <w:r>
        <w:t xml:space="preserve"> </w:t>
      </w:r>
      <w:r>
        <w:t xml:space="preserve">passivate the surface?</w:t>
      </w:r>
    </w:p>
    <w:p>
      <w:pPr>
        <w:numPr>
          <w:ilvl w:val="0"/>
          <w:numId w:val="1004"/>
        </w:numPr>
        <w:pStyle w:val="Compact"/>
      </w:pPr>
      <w:r>
        <w:t xml:space="preserve">What is the actual capture efficiency in whole blood versus buffer?</w:t>
      </w:r>
    </w:p>
    <w:p>
      <w:pPr>
        <w:numPr>
          <w:ilvl w:val="0"/>
          <w:numId w:val="1004"/>
        </w:numPr>
        <w:pStyle w:val="Compact"/>
      </w:pPr>
      <w:r>
        <w:t xml:space="preserve">Does bound bacterial material sit close enough to the surface for its own</w:t>
      </w:r>
      <w:r>
        <w:t xml:space="preserve"> </w:t>
      </w:r>
      <w:r>
        <w:t xml:space="preserve">Raman bands to be enhanced, or do we only observe the reporter?</w:t>
      </w:r>
    </w:p>
    <w:p>
      <w:pPr>
        <w:numPr>
          <w:ilvl w:val="0"/>
          <w:numId w:val="1004"/>
        </w:numPr>
        <w:pStyle w:val="Compact"/>
      </w:pPr>
      <w:r>
        <w:t xml:space="preserve">Is boronic acid alone sufficient for the sensitivity required in sepsis, where</w:t>
      </w:r>
      <w:r>
        <w:t xml:space="preserve"> </w:t>
      </w:r>
      <w:r>
        <w:t xml:space="preserve">bacterial loads can be 1–10 CFU mL⁻¹?</w:t>
      </w:r>
    </w:p>
    <w:p>
      <w:pPr>
        <w:numPr>
          <w:ilvl w:val="0"/>
          <w:numId w:val="1004"/>
        </w:numPr>
        <w:pStyle w:val="Compact"/>
      </w:pPr>
      <w:r>
        <w:t xml:space="preserve">How does the boronic acid layer affect the photostability limits established</w:t>
      </w:r>
      <w:r>
        <w:t xml:space="preserve"> </w:t>
      </w:r>
      <w:r>
        <w:t xml:space="preserve">for NAM powder? Plasmonic substrates concentrate the field and may lower the</w:t>
      </w:r>
      <w:r>
        <w:t xml:space="preserve"> </w:t>
      </w:r>
      <w:r>
        <w:t xml:space="preserve">damage threshold considerably.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ferences"/>
      <w:r>
        <w:t xml:space="preserve">References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Magnetic SERS strip based on 4-mercaptophenylboronic acid-modified Fe₃O₄@Au</w:t>
      </w:r>
      <w:r>
        <w:t xml:space="preserve"> </w:t>
      </w:r>
      <w:r>
        <w:t xml:space="preserve">for active capture and simultaneous detection of respiratory bacteria.</w:t>
      </w:r>
      <w:r>
        <w:t xml:space="preserve"> </w:t>
      </w:r>
      <w:r>
        <w:rPr>
          <w:i/>
        </w:rPr>
        <w:t xml:space="preserve">Biosensors</w:t>
      </w:r>
      <w:r>
        <w:t xml:space="preserve"> </w:t>
      </w:r>
      <w:r>
        <w:rPr>
          <w:b/>
        </w:rPr>
        <w:t xml:space="preserve">13</w:t>
      </w:r>
      <w:r>
        <w:t xml:space="preserve"> </w:t>
      </w:r>
      <w:r>
        <w:t xml:space="preserve">(2023) 210.</w:t>
      </w:r>
    </w:p>
    <w:p>
      <w:pPr>
        <w:numPr>
          <w:ilvl w:val="0"/>
          <w:numId w:val="1005"/>
        </w:numPr>
        <w:pStyle w:val="Compact"/>
      </w:pPr>
      <w:r>
        <w:t xml:space="preserve">Rapid concentration detection and differentiation of bacteria in skimmed milk</w:t>
      </w:r>
      <w:r>
        <w:t xml:space="preserve"> </w:t>
      </w:r>
      <w:r>
        <w:t xml:space="preserve">using SERS mapping on 4-mercaptophenylboronic acid functionalised silver</w:t>
      </w:r>
      <w:r>
        <w:t xml:space="preserve"> </w:t>
      </w:r>
      <w:r>
        <w:t xml:space="preserve">dendrites.</w:t>
      </w:r>
      <w:r>
        <w:t xml:space="preserve"> </w:t>
      </w:r>
      <w:r>
        <w:rPr>
          <w:i/>
        </w:rPr>
        <w:t xml:space="preserve">Analytical and Bioanalytical Chemistry</w:t>
      </w:r>
      <w:r>
        <w:t xml:space="preserve"> </w:t>
      </w:r>
      <w:r>
        <w:t xml:space="preserve">(2016).</w:t>
      </w:r>
    </w:p>
    <w:p>
      <w:pPr>
        <w:numPr>
          <w:ilvl w:val="0"/>
          <w:numId w:val="1005"/>
        </w:numPr>
        <w:pStyle w:val="Compact"/>
      </w:pPr>
      <w:r>
        <w:t xml:space="preserve">Structure–reactivity relationships in boronic acid–diol complexation.</w:t>
      </w:r>
      <w:r>
        <w:t xml:space="preserve"> </w:t>
      </w:r>
      <w:r>
        <w:rPr>
          <w:i/>
        </w:rPr>
        <w:t xml:space="preserve">ACS Omega</w:t>
      </w:r>
      <w:r>
        <w:t xml:space="preserve"> </w:t>
      </w:r>
      <w:r>
        <w:rPr>
          <w:b/>
        </w:rPr>
        <w:t xml:space="preserve">4</w:t>
      </w:r>
      <w:r>
        <w:t xml:space="preserve"> </w:t>
      </w:r>
      <w:r>
        <w:t xml:space="preserve">(2019).</w:t>
      </w:r>
    </w:p>
    <w:p>
      <w:pPr>
        <w:numPr>
          <w:ilvl w:val="0"/>
          <w:numId w:val="1005"/>
        </w:numPr>
        <w:pStyle w:val="Compact"/>
      </w:pPr>
      <w:r>
        <w:t xml:space="preserve">SERS characterisation of 4-mercaptophenylboronic acid: ring-breathing and</w:t>
      </w:r>
      <w:r>
        <w:t xml:space="preserve"> </w:t>
      </w:r>
      <w:r>
        <w:t xml:space="preserve">aromatic C=C reporter bands.</w:t>
      </w:r>
    </w:p>
    <w:p>
      <w:pPr>
        <w:numPr>
          <w:ilvl w:val="0"/>
          <w:numId w:val="1005"/>
        </w:numPr>
        <w:pStyle w:val="Compact"/>
      </w:pPr>
      <w:r>
        <w:t xml:space="preserve">An efficient method for site-selective boronation of peptides and proteins</w:t>
      </w:r>
      <w:r>
        <w:t xml:space="preserve"> </w:t>
      </w:r>
      <w:r>
        <w:t xml:space="preserve">applied in magnified bacterial imaging.</w:t>
      </w:r>
      <w:r>
        <w:t xml:space="preserve"> </w:t>
      </w:r>
      <w:r>
        <w:rPr>
          <w:i/>
        </w:rPr>
        <w:t xml:space="preserve">Nature Communications</w:t>
      </w:r>
      <w:r>
        <w:t xml:space="preserve"> </w:t>
      </w:r>
      <w:r>
        <w:t xml:space="preserve">(2025).</w:t>
      </w:r>
    </w:p>
    <w:p>
      <w:pPr>
        <w:numPr>
          <w:ilvl w:val="0"/>
          <w:numId w:val="1005"/>
        </w:numPr>
        <w:pStyle w:val="Compact"/>
      </w:pPr>
      <w:r>
        <w:t xml:space="preserve">Rapid and selective discrimination of Gram-positive and Gram-negative bacteria</w:t>
      </w:r>
      <w:r>
        <w:t xml:space="preserve"> </w:t>
      </w:r>
      <w:r>
        <w:t xml:space="preserve">by boronic acid-modified poly(amidoamine) dendrimer.</w:t>
      </w:r>
      <w:r>
        <w:t xml:space="preserve"> </w:t>
      </w:r>
      <w:r>
        <w:rPr>
          <w:i/>
        </w:rPr>
        <w:t xml:space="preserve">Analytical Chemistry</w:t>
      </w:r>
      <w:r>
        <w:t xml:space="preserve"> </w:t>
      </w:r>
      <w:r>
        <w:rPr>
          <w:b/>
        </w:rPr>
        <w:t xml:space="preserve">91</w:t>
      </w:r>
      <w:r>
        <w:t xml:space="preserve"> </w:t>
      </w:r>
      <w:r>
        <w:t xml:space="preserve">(2019).</w:t>
      </w:r>
    </w:p>
    <w:p>
      <w:pPr>
        <w:numPr>
          <w:ilvl w:val="0"/>
          <w:numId w:val="1005"/>
        </w:numPr>
        <w:pStyle w:val="Compact"/>
      </w:pPr>
      <w:r>
        <w:t xml:space="preserve">Biosensors with boronic acid-based materials as the recognition elements and</w:t>
      </w:r>
      <w:r>
        <w:t xml:space="preserve"> </w:t>
      </w:r>
      <w:r>
        <w:t xml:space="preserve">signal labels.</w:t>
      </w:r>
      <w:r>
        <w:t xml:space="preserve"> </w:t>
      </w:r>
      <w:r>
        <w:rPr>
          <w:i/>
        </w:rPr>
        <w:t xml:space="preserve">Sensors</w:t>
      </w:r>
      <w:r>
        <w:t xml:space="preserve"> </w:t>
      </w:r>
      <w:r>
        <w:t xml:space="preserve">(2023).</w:t>
      </w:r>
    </w:p>
    <w:p>
      <w:pPr>
        <w:numPr>
          <w:ilvl w:val="0"/>
          <w:numId w:val="1005"/>
        </w:numPr>
        <w:pStyle w:val="Compact"/>
      </w:pPr>
      <w:r>
        <w:t xml:space="preserve">Multivalent benzoboroxole functionalised polymers as gp120 glycan-targeted</w:t>
      </w:r>
      <w:r>
        <w:t xml:space="preserve"> </w:t>
      </w:r>
      <w:r>
        <w:t xml:space="preserve">microbicide entry inhibitors.</w:t>
      </w:r>
      <w:r>
        <w:t xml:space="preserve"> </w:t>
      </w:r>
      <w:r>
        <w:rPr>
          <w:i/>
        </w:rPr>
        <w:t xml:space="preserve">Biomacromolecules</w:t>
      </w:r>
      <w:r>
        <w:t xml:space="preserve"> </w:t>
      </w:r>
      <w:r>
        <w:t xml:space="preserve">(2010).</w:t>
      </w:r>
    </w:p>
    <w:p>
      <w:pPr>
        <w:numPr>
          <w:ilvl w:val="0"/>
          <w:numId w:val="1005"/>
        </w:numPr>
        <w:pStyle w:val="Compact"/>
      </w:pPr>
      <w:r>
        <w:t xml:space="preserve">A benzoboroxole-based affinity ligand for glycoprotein purification at</w:t>
      </w:r>
      <w:r>
        <w:t xml:space="preserve"> </w:t>
      </w:r>
      <w:r>
        <w:t xml:space="preserve">physiological pH.</w:t>
      </w:r>
      <w:r>
        <w:t xml:space="preserve"> </w:t>
      </w:r>
      <w:r>
        <w:rPr>
          <w:i/>
        </w:rPr>
        <w:t xml:space="preserve">Journal of Molecular Recognition</w:t>
      </w:r>
      <w:r>
        <w:t xml:space="preserve"> </w:t>
      </w:r>
      <w:r>
        <w:rPr>
          <w:b/>
        </w:rPr>
        <w:t xml:space="preserve">29</w:t>
      </w:r>
      <w:r>
        <w:t xml:space="preserve"> </w:t>
      </w:r>
      <w:r>
        <w:t xml:space="preserve">(2016).</w:t>
      </w:r>
    </w:p>
    <w:p>
      <w:pPr>
        <w:pStyle w:val="FirstParagraph"/>
      </w:pPr>
      <w:r>
        <w:rPr>
          <w:i/>
        </w:rPr>
        <w:t xml:space="preserve">Full citation details should be completed from the source articles before this</w:t>
      </w:r>
      <w:r>
        <w:rPr>
          <w:i/>
        </w:rPr>
        <w:t xml:space="preserve"> </w:t>
      </w:r>
      <w:r>
        <w:rPr>
          <w:i/>
        </w:rPr>
        <w:t xml:space="preserve">text is used in a report or manuscript.</w: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C9D"/>
    <w:multiLevelType w:val="multilevel"/>
    <w:tmpl w:val="AB5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12DE"/>
    <w:multiLevelType w:val="multilevel"/>
    <w:tmpl w:val="2AA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60EF"/>
    <w:multiLevelType w:val="multilevel"/>
    <w:tmpl w:val="1CA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D2905"/>
    <w:multiLevelType w:val="multilevel"/>
    <w:tmpl w:val="AC3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237E"/>
    <w:multiLevelType w:val="multilevel"/>
    <w:tmpl w:val="C18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1242B"/>
    <w:multiLevelType w:val="multilevel"/>
    <w:tmpl w:val="671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F6AD6"/>
    <w:multiLevelType w:val="multilevel"/>
    <w:tmpl w:val="C76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06E0"/>
    <w:multiLevelType w:val="multilevel"/>
    <w:tmpl w:val="C01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A61F2"/>
    <w:multiLevelType w:val="multilevel"/>
    <w:tmpl w:val="868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96B31"/>
    <w:multiLevelType w:val="multilevel"/>
    <w:tmpl w:val="FDC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537035425">
    <w:abstractNumId w:val="6"/>
  </w:num>
  <w:num w:numId="2" w16cid:durableId="1588415390">
    <w:abstractNumId w:val="0"/>
  </w:num>
  <w:num w:numId="3" w16cid:durableId="459345996">
    <w:abstractNumId w:val="3"/>
  </w:num>
  <w:num w:numId="4" w16cid:durableId="2102602421">
    <w:abstractNumId w:val="8"/>
  </w:num>
  <w:num w:numId="5" w16cid:durableId="987248257">
    <w:abstractNumId w:val="4"/>
  </w:num>
  <w:num w:numId="6" w16cid:durableId="1091124208">
    <w:abstractNumId w:val="5"/>
  </w:num>
  <w:num w:numId="7" w16cid:durableId="1062866896">
    <w:abstractNumId w:val="1"/>
  </w:num>
  <w:num w:numId="8" w16cid:durableId="1703899471">
    <w:abstractNumId w:val="7"/>
  </w:num>
  <w:num w:numId="9" w16cid:durableId="990405787">
    <w:abstractNumId w:val="2"/>
  </w:num>
  <w:num w:numId="10" w16cid:durableId="1968468250">
    <w:abstractNumId w:val="9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E1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2026-08-07T05:45:37Z</dcterms:created>
  <dcterms:modified xsi:type="dcterms:W3CDTF">2026-08-07T05:45:37Z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