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E74B5"/>
          <w:sz w:val="52"/>
        </w:rPr>
        <w:t>Comprehensive Research Progress Report</w:t>
      </w:r>
    </w:p>
    <w:p>
      <w:pPr>
        <w:jc w:val="center"/>
      </w:pPr>
      <w:r>
        <w:rPr>
          <w:i/>
          <w:color w:val="1F2D3D"/>
          <w:sz w:val="30"/>
        </w:rPr>
        <w:t>SERS-Based Nanobiosensor Platform for Rapid, Bacterial-Specific</w:t>
        <w:br/>
        <w:t>Sepsis Diagnosis via Detection of NAM, LPS, and LTA</w:t>
      </w:r>
    </w:p>
    <w:p/>
    <w:p>
      <w:pPr>
        <w:jc w:val="center"/>
      </w:pPr>
      <w:r>
        <w:rPr>
          <w:color w:val="2E74B5"/>
        </w:rPr>
        <w:t>____________________________________________________________</w:t>
      </w:r>
    </w:p>
    <w:p/>
    <w:p/>
    <w:p/>
    <w:p>
      <w:pPr>
        <w:spacing w:after="160"/>
        <w:jc w:val="center"/>
      </w:pPr>
      <w:r>
        <w:rPr>
          <w:b/>
          <w:sz w:val="22"/>
        </w:rPr>
        <w:t xml:space="preserve">Prepared for:  </w:t>
      </w:r>
      <w:r>
        <w:rPr>
          <w:sz w:val="22"/>
        </w:rPr>
        <w:t>Sukesh P (M24IM1007)</w:t>
      </w:r>
    </w:p>
    <w:p>
      <w:pPr>
        <w:spacing w:after="160"/>
        <w:jc w:val="center"/>
      </w:pPr>
      <w:r>
        <w:rPr>
          <w:b/>
          <w:sz w:val="22"/>
        </w:rPr>
        <w:t xml:space="preserve">Programme:  </w:t>
      </w:r>
      <w:r>
        <w:rPr>
          <w:sz w:val="22"/>
        </w:rPr>
        <w:t>M.Tech in Medical Technologies — IIT Jodhpur &amp; AIIMS Jodhpur Joint IDRP</w:t>
      </w:r>
    </w:p>
    <w:p>
      <w:pPr>
        <w:spacing w:after="160"/>
        <w:jc w:val="center"/>
      </w:pPr>
      <w:r>
        <w:rPr>
          <w:b/>
          <w:sz w:val="22"/>
        </w:rPr>
        <w:t xml:space="preserve">Supervisor:  </w:t>
      </w:r>
      <w:r>
        <w:rPr>
          <w:sz w:val="22"/>
        </w:rPr>
        <w:t>Prof. Ajay Agarwal, Department of Electrical Engineering, IIT Jodhpur</w:t>
      </w:r>
    </w:p>
    <w:p>
      <w:pPr>
        <w:spacing w:after="160"/>
        <w:jc w:val="center"/>
      </w:pPr>
      <w:r>
        <w:rPr>
          <w:b/>
          <w:sz w:val="22"/>
        </w:rPr>
        <w:t xml:space="preserve">Co-Supervisor / Examiner:  </w:t>
      </w:r>
      <w:r>
        <w:rPr>
          <w:sz w:val="22"/>
        </w:rPr>
        <w:t>Dr. Neeraj Gupta</w:t>
      </w:r>
    </w:p>
    <w:p>
      <w:pPr>
        <w:spacing w:after="160"/>
        <w:jc w:val="center"/>
      </w:pPr>
      <w:r>
        <w:rPr>
          <w:b/>
          <w:sz w:val="22"/>
        </w:rPr>
        <w:t xml:space="preserve">Close Collaborator:  </w:t>
      </w:r>
      <w:r>
        <w:rPr>
          <w:sz w:val="22"/>
        </w:rPr>
        <w:t>Dr. Mohamed Zaki Hafeez (M24IM1002)</w:t>
      </w:r>
    </w:p>
    <w:p>
      <w:pPr>
        <w:spacing w:after="160"/>
        <w:jc w:val="center"/>
      </w:pPr>
      <w:r>
        <w:rPr>
          <w:b/>
          <w:sz w:val="22"/>
        </w:rPr>
        <w:t xml:space="preserve">Report basis:  </w:t>
      </w:r>
      <w:r>
        <w:rPr>
          <w:sz w:val="22"/>
        </w:rPr>
        <w:t>Full recursive review of the project working folder (≈ 3,500+ files: Word, PowerPoint,</w:t>
        <w:br/>
        <w:t>PDF, CSV/XLSX Raman spectra, Gaussian DFT logs, Python analysis code, and</w:t>
        <w:br/>
        <w:t>correspondence) spanning August 2025 – August 2026</w:t>
      </w:r>
    </w:p>
    <w:p>
      <w:pPr>
        <w:spacing w:after="160"/>
        <w:jc w:val="center"/>
      </w:pPr>
      <w:r>
        <w:rPr>
          <w:b/>
          <w:sz w:val="22"/>
        </w:rPr>
        <w:t xml:space="preserve">Report date:  </w:t>
      </w:r>
      <w:r>
        <w:rPr>
          <w:sz w:val="22"/>
        </w:rPr>
        <w:t>7 August 2026</w:t>
      </w:r>
    </w:p>
    <w:p>
      <w:pPr>
        <w:spacing w:after="160"/>
        <w:jc w:val="center"/>
      </w:pPr>
      <w:r>
        <w:rPr>
          <w:b/>
          <w:sz w:val="22"/>
        </w:rPr>
        <w:t xml:space="preserve">Prepared by:  </w:t>
      </w:r>
      <w:r>
        <w:rPr>
          <w:sz w:val="22"/>
        </w:rPr>
        <w:t>AI-assisted comprehensive project audit (evidence-based; no information invented)</w:t>
      </w:r>
    </w:p>
    <w:p>
      <w:r>
        <w:br w:type="page"/>
      </w:r>
    </w:p>
    <w:p>
      <w:pPr>
        <w:pStyle w:val="Heading1"/>
      </w:pPr>
      <w:r>
        <w:t>Table of Contents</w:t>
      </w:r>
    </w:p>
    <w:p>
      <w:pPr>
        <w:spacing w:after="80"/>
      </w:pPr>
      <w:r>
        <w:rPr>
          <w:sz w:val="22"/>
        </w:rPr>
        <w:t>1. Executive Summary</w:t>
      </w:r>
    </w:p>
    <w:p>
      <w:pPr>
        <w:spacing w:after="80"/>
      </w:pPr>
      <w:r>
        <w:rPr>
          <w:sz w:val="22"/>
        </w:rPr>
        <w:t>2. Introduction</w:t>
      </w:r>
    </w:p>
    <w:p>
      <w:pPr>
        <w:spacing w:after="80"/>
      </w:pPr>
      <w:r>
        <w:rPr>
          <w:sz w:val="22"/>
        </w:rPr>
        <w:t>3. Research Objectives</w:t>
      </w:r>
    </w:p>
    <w:p>
      <w:pPr>
        <w:spacing w:after="80"/>
      </w:pPr>
      <w:r>
        <w:rPr>
          <w:sz w:val="22"/>
        </w:rPr>
        <w:t>4. Literature Background</w:t>
      </w:r>
    </w:p>
    <w:p>
      <w:pPr>
        <w:spacing w:after="80"/>
      </w:pPr>
      <w:r>
        <w:rPr>
          <w:sz w:val="22"/>
        </w:rPr>
        <w:t>5. Overall Project Timeline</w:t>
      </w:r>
    </w:p>
    <w:p>
      <w:pPr>
        <w:spacing w:after="80"/>
      </w:pPr>
      <w:r>
        <w:rPr>
          <w:sz w:val="22"/>
        </w:rPr>
        <w:t>6. Simulation Studies (NAM, LPS, LTA)</w:t>
      </w:r>
    </w:p>
    <w:p>
      <w:pPr>
        <w:spacing w:after="80"/>
      </w:pPr>
      <w:r>
        <w:rPr>
          <w:sz w:val="22"/>
        </w:rPr>
        <w:t>7. Simulation Comparison (NAM vs LPS vs LTA)</w:t>
      </w:r>
    </w:p>
    <w:p>
      <w:pPr>
        <w:spacing w:after="80"/>
      </w:pPr>
      <w:r>
        <w:rPr>
          <w:sz w:val="22"/>
        </w:rPr>
        <w:t>8. Experimental Raman Studies (Raw Powders)</w:t>
      </w:r>
    </w:p>
    <w:p>
      <w:pPr>
        <w:spacing w:after="80"/>
      </w:pPr>
      <w:r>
        <w:rPr>
          <w:sz w:val="22"/>
        </w:rPr>
        <w:t>9. Simulation vs Experimental Comparison</w:t>
      </w:r>
    </w:p>
    <w:p>
      <w:pPr>
        <w:spacing w:after="80"/>
      </w:pPr>
      <w:r>
        <w:rPr>
          <w:sz w:val="22"/>
        </w:rPr>
        <w:t>10. SERS Substrate Fabrication</w:t>
      </w:r>
    </w:p>
    <w:p>
      <w:pPr>
        <w:spacing w:after="80"/>
      </w:pPr>
      <w:r>
        <w:rPr>
          <w:sz w:val="22"/>
        </w:rPr>
        <w:t>11. Rhodamine 6G (R6G) Validation</w:t>
      </w:r>
    </w:p>
    <w:p>
      <w:pPr>
        <w:spacing w:after="80"/>
      </w:pPr>
      <w:r>
        <w:rPr>
          <w:sz w:val="22"/>
        </w:rPr>
        <w:t>12. Current NAM / LPS / LTA Detection Work</w:t>
      </w:r>
    </w:p>
    <w:p>
      <w:pPr>
        <w:spacing w:after="80"/>
      </w:pPr>
      <w:r>
        <w:rPr>
          <w:sz w:val="22"/>
        </w:rPr>
        <w:t>13. Instrumentation Used</w:t>
      </w:r>
    </w:p>
    <w:p>
      <w:pPr>
        <w:spacing w:after="80"/>
      </w:pPr>
      <w:r>
        <w:rPr>
          <w:sz w:val="22"/>
        </w:rPr>
        <w:t>14. Chemicals and Materials</w:t>
      </w:r>
    </w:p>
    <w:p>
      <w:pPr>
        <w:spacing w:after="80"/>
      </w:pPr>
      <w:r>
        <w:rPr>
          <w:sz w:val="22"/>
        </w:rPr>
        <w:t>15. Data Summary</w:t>
      </w:r>
    </w:p>
    <w:p>
      <w:pPr>
        <w:spacing w:after="80"/>
      </w:pPr>
      <w:r>
        <w:rPr>
          <w:sz w:val="22"/>
        </w:rPr>
        <w:t>16. Work Completed</w:t>
      </w:r>
    </w:p>
    <w:p>
      <w:pPr>
        <w:spacing w:after="80"/>
      </w:pPr>
      <w:r>
        <w:rPr>
          <w:sz w:val="22"/>
        </w:rPr>
        <w:t>17. Remaining Work</w:t>
      </w:r>
    </w:p>
    <w:p>
      <w:pPr>
        <w:spacing w:after="80"/>
      </w:pPr>
      <w:r>
        <w:rPr>
          <w:sz w:val="22"/>
        </w:rPr>
        <w:t>18. Recommendations</w:t>
      </w:r>
    </w:p>
    <w:p>
      <w:pPr>
        <w:spacing w:after="80"/>
      </w:pPr>
      <w:r>
        <w:rPr>
          <w:sz w:val="22"/>
        </w:rPr>
        <w:t>19. Publication Readiness</w:t>
      </w:r>
    </w:p>
    <w:p>
      <w:pPr>
        <w:spacing w:after="80"/>
      </w:pPr>
      <w:r>
        <w:rPr>
          <w:sz w:val="22"/>
        </w:rPr>
        <w:t>20. Data Provenance, Gaps and Internal Inconsistencies</w:t>
      </w:r>
    </w:p>
    <w:p>
      <w:pPr>
        <w:spacing w:after="80"/>
      </w:pPr>
      <w:r>
        <w:rPr>
          <w:sz w:val="22"/>
        </w:rPr>
        <w:t>21. References</w:t>
      </w:r>
    </w:p>
    <w:p>
      <w:pPr>
        <w:spacing w:after="160"/>
        <w:ind w:left="360"/>
      </w:pPr>
      <w:r>
        <w:rPr>
          <w:i/>
          <w:color w:val="555555"/>
          <w:sz w:val="19"/>
        </w:rPr>
        <w:t>This report was compiled by systematically reading every readable file in the project working folder (docx, pptx, pdf, csv, xlsx, txt, md, Gaussian .log/.gjf/.chk, Python source, and image-embedded slide decks via OCR where needed), cross-referencing duplicate and superseded material, and reconciling conflicting numbers wherever they were found. Every figure quoted below is traceable to a specific source file. Where the underlying documentation was incomplete, contradictory, or the analysis pipeline produced invalid output (e.g. NaN fit statistics), this is stated explicitly rather than estimated or smoothed over.</w:t>
      </w:r>
    </w:p>
    <w:p>
      <w:r>
        <w:br w:type="page"/>
      </w:r>
    </w:p>
    <w:p>
      <w:pPr>
        <w:pStyle w:val="Heading1"/>
      </w:pPr>
      <w:r>
        <w:t>1. Executive Summary</w:t>
      </w:r>
    </w:p>
    <w:p>
      <w:pPr>
        <w:spacing w:after="120"/>
      </w:pPr>
      <w:r>
        <w:rPr>
          <w:b w:val="0"/>
          <w:i w:val="0"/>
        </w:rPr>
        <w:t>This report reconstructs, end-to-end, a Masters (M.Tech, IIT Jodhpur &amp; AIIMS Jodhpur joint Medical Technologies programme) research project developing a Surface-Enhanced Raman Spectroscopy (SERS) nanobiosensor platform for rapid, bacterial-specific, point-of-care diagnosis of sepsis. The project targets three bacterial cell-wall biomarkers chosen to directly fingerprint the causative pathogen rather than the host's inflammatory response: N-acetylmuramic acid (NAM, a universal peptidoglycan marker present in all bacteria), lipopolysaccharide (LPS, specific to Gram-negative bacteria), and lipoteichoic acid (LTA, specific to Gram-positive bacteria).</w:t>
      </w:r>
    </w:p>
    <w:p>
      <w:pPr>
        <w:spacing w:after="120"/>
      </w:pPr>
      <w:r>
        <w:rPr>
          <w:b w:val="0"/>
          <w:i w:val="0"/>
        </w:rPr>
        <w:t>Since project inception (~August 2025) the work has progressed through five broad, overlapping phases: (1) literature review and biomarker-panel justification; (2) DFT (density-functional-theory) computational prediction of Raman spectra for all three biomarkers using Gaussian; (3) raw-powder experimental Raman characterisation of the three biomarkers, most extensively for NAM; (4) fabrication and Rhodamine-6G (R6G) validation of a silver-on-silicon (Ag/Si) SERS substrate; and (5) preliminary testing of biomarkers directly on the fabricated substrate, which is the project's current, still-early-stage activity as of the most recent evidence (early August 2026).</w:t>
      </w:r>
    </w:p>
    <w:p>
      <w:pPr>
        <w:spacing w:after="120"/>
      </w:pPr>
      <w:r>
        <w:rPr>
          <w:b w:val="0"/>
          <w:i w:val="0"/>
        </w:rPr>
        <w:t>Of the three target molecules, NAM is by far the most mature strand of the work: a successful whole-molecule Gaussian 16 DFT calculation (B3LYP-D3BJ/6-311++G(d,p)) exists, backed by 227 curated raw-powder Raman spectra, with 30 of 41 reproducible experimental bands matched to calculated vibrational modes (MAE 9.27 cm⁻¹). A near-complete manuscript draft exists for this NAM work. LPS and LTA are markedly less mature: because both molecules are too large for direct whole-molecule DFT, the project uses a fragment-based strategy (computing Raman spectra of small representative sub-structures and combining them by non-negative least-squares, NNLS, fitting against experimental spectra). The LPS fragment model achieves only modest agreement with experiment (R² ≈ 0.18); the analogous LTA composite-fit run in the project's primary dataset failed outright (all reported fit statistics are NaN), and a whole-molecule LTA DFT attempt separately failed at the geometry-optimisation step. A masters-thesis document (finalmtp.docx, April 2026) reports substantially better LTA and NAM fit numbers than the underlying raw analysis outputs support; this discrepancy is flagged explicitly in Section 20 rather than resolved by assumption.</w:t>
      </w:r>
    </w:p>
    <w:p>
      <w:pPr>
        <w:spacing w:after="120"/>
      </w:pPr>
      <w:r>
        <w:rPr>
          <w:b w:val="0"/>
          <w:i w:val="0"/>
        </w:rPr>
        <w:t>A silver-on-silicon SERS substrate was fabricated using an HF-assisted electroless silver deposition protocol and validated using Rhodamine 6G as a benchmark analyte. The R6G validation is the strongest quantitative result in the project: 31 Raman peaks were matched between DFT-predicted and experimentally measured R6G spectra with an RMSE of 4.62 cm⁻¹ (r = 0.99995), and fabrication conditions were shown to measurably affect signal intensity (r = 0.853, p = 0.0071 at 1510 cm⁻¹). However, no enhancement factor, calibration curve, or limit-of-detection was computed for R6G, and preliminary testing of NAM directly on the fabricated substrate shows a weak signal (mean SNR 0.89), indicating the substrate is not yet optimised for the target biomarkers.</w:t>
      </w:r>
    </w:p>
    <w:p>
      <w:pPr>
        <w:spacing w:after="120"/>
      </w:pPr>
      <w:r>
        <w:rPr>
          <w:b w:val="0"/>
          <w:i w:val="0"/>
        </w:rPr>
        <w:t>Taken together, the evidence supports describing this project as a promising, methodologically sound research prototype and reference-analysis framework — not yet a validated diagnostic device. The clearest near-term path to a publishable result is the NAM DFT + experimental Raman characterisation work, which is close to submission-ready pending a small number of specific, identified gaps (Section 19). LPS and LTA require substantially more computational and experimental work before they reach a comparable standard, and biomarker-on-substrate SERS detection — the platform's ultimate purpose — is only just beginning.</w:t>
      </w:r>
    </w:p>
    <w:p>
      <w:pPr>
        <w:pStyle w:val="Heading2"/>
      </w:pPr>
      <w:r>
        <w:t>Key Numbers at a Glance</w:t>
      </w:r>
    </w:p>
    <w:tbl>
      <w:tblPr>
        <w:tblStyle w:val="TableGrid"/>
        <w:tblW w:type="auto" w:w="0"/>
        <w:jc w:val="center"/>
        <w:tblLayout w:type="autofit"/>
        <w:tblLook w:firstColumn="1" w:firstRow="1" w:lastColumn="0" w:lastRow="0" w:noHBand="0" w:noVBand="1" w:val="04A0"/>
      </w:tblPr>
      <w:tblGrid>
        <w:gridCol w:w="1863"/>
        <w:gridCol w:w="1863"/>
        <w:gridCol w:w="1863"/>
        <w:gridCol w:w="1863"/>
        <w:gridCol w:w="1863"/>
      </w:tblGrid>
      <w:tr>
        <w:tc>
          <w:tcPr>
            <w:tcW w:type="dxa" w:w="1584"/>
            <w:shd w:val="clear" w:fill="2E74B5"/>
          </w:tcPr>
          <w:p>
            <w:r/>
            <w:r>
              <w:rPr>
                <w:b/>
                <w:color w:val="FFFFFF"/>
                <w:sz w:val="19"/>
              </w:rPr>
              <w:t>Metric</w:t>
            </w:r>
          </w:p>
        </w:tc>
        <w:tc>
          <w:tcPr>
            <w:tcW w:type="dxa" w:w="1944"/>
            <w:shd w:val="clear" w:fill="2E74B5"/>
          </w:tcPr>
          <w:p>
            <w:r/>
            <w:r>
              <w:rPr>
                <w:b/>
                <w:color w:val="FFFFFF"/>
                <w:sz w:val="19"/>
              </w:rPr>
              <w:t>NAM</w:t>
            </w:r>
          </w:p>
        </w:tc>
        <w:tc>
          <w:tcPr>
            <w:tcW w:type="dxa" w:w="1944"/>
            <w:shd w:val="clear" w:fill="2E74B5"/>
          </w:tcPr>
          <w:p>
            <w:r/>
            <w:r>
              <w:rPr>
                <w:b/>
                <w:color w:val="FFFFFF"/>
                <w:sz w:val="19"/>
              </w:rPr>
              <w:t>LPS</w:t>
            </w:r>
          </w:p>
        </w:tc>
        <w:tc>
          <w:tcPr>
            <w:tcW w:type="dxa" w:w="1944"/>
            <w:shd w:val="clear" w:fill="2E74B5"/>
          </w:tcPr>
          <w:p>
            <w:r/>
            <w:r>
              <w:rPr>
                <w:b/>
                <w:color w:val="FFFFFF"/>
                <w:sz w:val="19"/>
              </w:rPr>
              <w:t>LTA</w:t>
            </w:r>
          </w:p>
        </w:tc>
        <w:tc>
          <w:tcPr>
            <w:tcW w:type="dxa" w:w="1944"/>
            <w:shd w:val="clear" w:fill="2E74B5"/>
          </w:tcPr>
          <w:p>
            <w:r/>
            <w:r>
              <w:rPr>
                <w:b/>
                <w:color w:val="FFFFFF"/>
                <w:sz w:val="19"/>
              </w:rPr>
              <w:t>R6G (substrate validation)</w:t>
            </w:r>
          </w:p>
        </w:tc>
      </w:tr>
      <w:tr>
        <w:tc>
          <w:tcPr>
            <w:tcW w:type="dxa" w:w="1584"/>
          </w:tcPr>
          <w:p>
            <w:r/>
            <w:r>
              <w:rPr>
                <w:sz w:val="18"/>
              </w:rPr>
              <w:t>Whole-molecule DFT</w:t>
            </w:r>
          </w:p>
        </w:tc>
        <w:tc>
          <w:tcPr>
            <w:tcW w:type="dxa" w:w="1944"/>
          </w:tcPr>
          <w:p>
            <w:r/>
            <w:r>
              <w:rPr>
                <w:sz w:val="18"/>
              </w:rPr>
              <w:t>Succeeded (Gaussian 16, B3LYP-D3BJ/6-311++G(d,p))</w:t>
            </w:r>
          </w:p>
        </w:tc>
        <w:tc>
          <w:tcPr>
            <w:tcW w:type="dxa" w:w="1944"/>
          </w:tcPr>
          <w:p>
            <w:r/>
            <w:r>
              <w:rPr>
                <w:sz w:val="18"/>
              </w:rPr>
              <w:t>Not attempted (too large); Lipid A input prepared, never run</w:t>
            </w:r>
          </w:p>
        </w:tc>
        <w:tc>
          <w:tcPr>
            <w:tcW w:type="dxa" w:w="1944"/>
          </w:tcPr>
          <w:p>
            <w:r/>
            <w:r>
              <w:rPr>
                <w:sz w:val="18"/>
              </w:rPr>
              <w:t>Attempted, FAILED (geometry error, Gaussian 09W)</w:t>
            </w:r>
          </w:p>
        </w:tc>
        <w:tc>
          <w:tcPr>
            <w:tcW w:type="dxa" w:w="1944"/>
          </w:tcPr>
          <w:p>
            <w:r/>
            <w:r>
              <w:rPr>
                <w:sz w:val="18"/>
              </w:rPr>
              <w:t>Succeeded (Gaussian 16, B3LYP/6-311++G(d,p))</w:t>
            </w:r>
          </w:p>
        </w:tc>
      </w:tr>
      <w:tr>
        <w:tc>
          <w:tcPr>
            <w:tcW w:type="dxa" w:w="1584"/>
            <w:shd w:val="clear" w:fill="F2F6FA"/>
          </w:tcPr>
          <w:p>
            <w:r/>
            <w:r>
              <w:rPr>
                <w:sz w:val="18"/>
              </w:rPr>
              <w:t>Fragment / composite DFT</w:t>
            </w:r>
          </w:p>
        </w:tc>
        <w:tc>
          <w:tcPr>
            <w:tcW w:type="dxa" w:w="1944"/>
            <w:shd w:val="clear" w:fill="F2F6FA"/>
          </w:tcPr>
          <w:p>
            <w:r/>
            <w:r>
              <w:rPr>
                <w:sz w:val="18"/>
              </w:rPr>
              <w:t>N/A (whole molecule used)</w:t>
            </w:r>
          </w:p>
        </w:tc>
        <w:tc>
          <w:tcPr>
            <w:tcW w:type="dxa" w:w="1944"/>
            <w:shd w:val="clear" w:fill="F2F6FA"/>
          </w:tcPr>
          <w:p>
            <w:r/>
            <w:r>
              <w:rPr>
                <w:sz w:val="18"/>
              </w:rPr>
              <w:t>5 fragments, NNLS composite, R² = 0.18, r = 0.51</w:t>
            </w:r>
          </w:p>
        </w:tc>
        <w:tc>
          <w:tcPr>
            <w:tcW w:type="dxa" w:w="1944"/>
            <w:shd w:val="clear" w:fill="F2F6FA"/>
          </w:tcPr>
          <w:p>
            <w:r/>
            <w:r>
              <w:rPr>
                <w:sz w:val="18"/>
              </w:rPr>
              <w:t>3 fragments; composite fit run = NaN (failed) in primary dataset</w:t>
            </w:r>
          </w:p>
        </w:tc>
        <w:tc>
          <w:tcPr>
            <w:tcW w:type="dxa" w:w="1944"/>
            <w:shd w:val="clear" w:fill="F2F6FA"/>
          </w:tcPr>
          <w:p>
            <w:r/>
            <w:r>
              <w:rPr>
                <w:sz w:val="18"/>
              </w:rPr>
              <w:t>N/A</w:t>
            </w:r>
          </w:p>
        </w:tc>
      </w:tr>
      <w:tr>
        <w:tc>
          <w:tcPr>
            <w:tcW w:type="dxa" w:w="1584"/>
          </w:tcPr>
          <w:p>
            <w:r/>
            <w:r>
              <w:rPr>
                <w:sz w:val="18"/>
              </w:rPr>
              <w:t>Raw powder / solution Raman spectra</w:t>
            </w:r>
          </w:p>
        </w:tc>
        <w:tc>
          <w:tcPr>
            <w:tcW w:type="dxa" w:w="1944"/>
          </w:tcPr>
          <w:p>
            <w:r/>
            <w:r>
              <w:rPr>
                <w:sz w:val="18"/>
              </w:rPr>
              <w:t>≈227 curated (plus additional concentration-series data)</w:t>
            </w:r>
          </w:p>
        </w:tc>
        <w:tc>
          <w:tcPr>
            <w:tcW w:type="dxa" w:w="1944"/>
          </w:tcPr>
          <w:p>
            <w:r/>
            <w:r>
              <w:rPr>
                <w:sz w:val="18"/>
              </w:rPr>
              <w:t>Comparatively thin – one systematic powder dataset</w:t>
            </w:r>
          </w:p>
        </w:tc>
        <w:tc>
          <w:tcPr>
            <w:tcW w:type="dxa" w:w="1944"/>
          </w:tcPr>
          <w:p>
            <w:r/>
            <w:r>
              <w:rPr>
                <w:sz w:val="18"/>
              </w:rPr>
              <w:t>Several hundred across multiple studies (12-spot and 136-spectrum sets, plus power/time sweeps)</w:t>
            </w:r>
          </w:p>
        </w:tc>
        <w:tc>
          <w:tcPr>
            <w:tcW w:type="dxa" w:w="1944"/>
          </w:tcPr>
          <w:p>
            <w:r/>
            <w:r>
              <w:rPr>
                <w:sz w:val="18"/>
              </w:rPr>
              <w:t>97 spectra across 8 fabrication conditions</w:t>
            </w:r>
          </w:p>
        </w:tc>
      </w:tr>
      <w:tr>
        <w:tc>
          <w:tcPr>
            <w:tcW w:type="dxa" w:w="1584"/>
            <w:shd w:val="clear" w:fill="F2F6FA"/>
          </w:tcPr>
          <w:p>
            <w:r/>
            <w:r>
              <w:rPr>
                <w:sz w:val="18"/>
              </w:rPr>
              <w:t>Sim-vs-exp match quality</w:t>
            </w:r>
          </w:p>
        </w:tc>
        <w:tc>
          <w:tcPr>
            <w:tcW w:type="dxa" w:w="1944"/>
            <w:shd w:val="clear" w:fill="F2F6FA"/>
          </w:tcPr>
          <w:p>
            <w:r/>
            <w:r>
              <w:rPr>
                <w:sz w:val="18"/>
              </w:rPr>
              <w:t>30/41 bands matched, MAE 9.27 cm⁻¹, r = 0.9996</w:t>
            </w:r>
          </w:p>
        </w:tc>
        <w:tc>
          <w:tcPr>
            <w:tcW w:type="dxa" w:w="1944"/>
            <w:shd w:val="clear" w:fill="F2F6FA"/>
          </w:tcPr>
          <w:p>
            <w:r/>
            <w:r>
              <w:rPr>
                <w:sz w:val="18"/>
              </w:rPr>
              <w:t>R² = 0.18 (weak)</w:t>
            </w:r>
          </w:p>
        </w:tc>
        <w:tc>
          <w:tcPr>
            <w:tcW w:type="dxa" w:w="1944"/>
            <w:shd w:val="clear" w:fill="F2F6FA"/>
          </w:tcPr>
          <w:p>
            <w:r/>
            <w:r>
              <w:rPr>
                <w:sz w:val="18"/>
              </w:rPr>
              <w:t>Unresolved (NaN) in primary run; inconsistent claims elsewhere</w:t>
            </w:r>
          </w:p>
        </w:tc>
        <w:tc>
          <w:tcPr>
            <w:tcW w:type="dxa" w:w="1944"/>
            <w:shd w:val="clear" w:fill="F2F6FA"/>
          </w:tcPr>
          <w:p>
            <w:r/>
            <w:r>
              <w:rPr>
                <w:sz w:val="18"/>
              </w:rPr>
              <w:t>31 peaks matched, RMSE 4.62 cm⁻¹, r = 0.99995</w:t>
            </w:r>
          </w:p>
        </w:tc>
      </w:tr>
      <w:tr>
        <w:tc>
          <w:tcPr>
            <w:tcW w:type="dxa" w:w="1584"/>
          </w:tcPr>
          <w:p>
            <w:r/>
            <w:r>
              <w:rPr>
                <w:sz w:val="18"/>
              </w:rPr>
              <w:t>On-substrate SERS testing</w:t>
            </w:r>
          </w:p>
        </w:tc>
        <w:tc>
          <w:tcPr>
            <w:tcW w:type="dxa" w:w="1944"/>
          </w:tcPr>
          <w:p>
            <w:r/>
            <w:r>
              <w:rPr>
                <w:sz w:val="18"/>
              </w:rPr>
              <w:t>Begun – weak signal (mean SNR 0.89)</w:t>
            </w:r>
          </w:p>
        </w:tc>
        <w:tc>
          <w:tcPr>
            <w:tcW w:type="dxa" w:w="1944"/>
          </w:tcPr>
          <w:p>
            <w:r/>
            <w:r>
              <w:rPr>
                <w:sz w:val="18"/>
              </w:rPr>
              <w:t>Not yet evidenced</w:t>
            </w:r>
          </w:p>
        </w:tc>
        <w:tc>
          <w:tcPr>
            <w:tcW w:type="dxa" w:w="1944"/>
          </w:tcPr>
          <w:p>
            <w:r/>
            <w:r>
              <w:rPr>
                <w:sz w:val="18"/>
              </w:rPr>
              <w:t>Not yet evidenced</w:t>
            </w:r>
          </w:p>
        </w:tc>
        <w:tc>
          <w:tcPr>
            <w:tcW w:type="dxa" w:w="1944"/>
          </w:tcPr>
          <w:p>
            <w:r/>
            <w:r>
              <w:rPr>
                <w:sz w:val="18"/>
              </w:rPr>
              <w:t>Validated (peak-matching only; no EF/LOD)</w:t>
            </w:r>
          </w:p>
        </w:tc>
      </w:tr>
    </w:tbl>
    <w:p>
      <w:pPr>
        <w:spacing w:after="40"/>
      </w:pPr>
    </w:p>
    <w:p>
      <w:r>
        <w:br w:type="page"/>
      </w:r>
    </w:p>
    <w:p>
      <w:pPr>
        <w:pStyle w:val="Heading1"/>
      </w:pPr>
      <w:r>
        <w:t>2. Introduction</w:t>
      </w:r>
    </w:p>
    <w:p>
      <w:pPr>
        <w:spacing w:after="120"/>
      </w:pPr>
      <w:r>
        <w:rPr>
          <w:b w:val="0"/>
          <w:i w:val="0"/>
        </w:rPr>
        <w:t>Sepsis is a dysregulated host immune response to infection that can rapidly progress to organ failure and death; it is estimated to cause tens of millions of cases and several million deaths annually worldwide, with a disproportionate share of mortality in low-resource settings. Timely, pathogen-specific diagnosis is the single greatest lever on outcome, because empirical (unfocused) antibiotic therapy both delays effective treatment and drives antimicrobial resistance (AMR).</w:t>
      </w:r>
    </w:p>
    <w:p>
      <w:pPr>
        <w:spacing w:after="120"/>
      </w:pPr>
      <w:r>
        <w:rPr>
          <w:b w:val="0"/>
          <w:i w:val="0"/>
        </w:rPr>
        <w:t>Current diagnostic options each have a significant limitation for this purpose. Blood culture, the clinical gold standard, is slow (24–72 hours) and insensitive (30–50% sensitivity, further reduced by prior antibiotic exposure). Molecular assays (PCR/NGS) require known target sequences and are expensive. Host-response biomarkers such as C-reactive protein (CRP), procalcitonin (PCT), and interleukin-6 (IL-6) are widely used but are indirect — they indicate that inflammation is occurring, not which organism, or even which broad class of organism (Gram-positive vs Gram-negative), is responsible; published diagnostic AUCs for these markers individually are moderate at best (e.g. CRP AUC as low as 0.76–0.78 in neonatal-sepsis cohorts reviewed in the project's own literature survey).</w:t>
      </w:r>
    </w:p>
    <w:p>
      <w:pPr>
        <w:spacing w:after="120"/>
      </w:pPr>
      <w:r>
        <w:rPr>
          <w:b w:val="0"/>
          <w:i w:val="0"/>
        </w:rPr>
        <w:t>This project's central premise, stated explicitly in the researcher's own introductory draft (SEPSIS.docx.pdf) and repeated consistently across the project's presentations from October 2025 through to the most recent documents, is that detecting bacteria-derived, structurally conserved surface molecules directly — rather than the host's downstream inflammatory response — can provide a faster, pathogen-specific readout, including immediate Gram-class discrimination with direct therapeutic relevance (empirical antibiotic choice differs materially by Gram class). Surface-Enhanced Raman Spectroscopy (SERS) was selected as the sensing modality because it combines molecular-fingerprint specificity (a full vibrational spectrum, not a single antibody-dependent binding event) with the very large signal enhancement (typically 10⁴–10⁸×, reportedly up to 10¹⁰–10¹¹× under optimised conditions) needed to detect biologically relevant, often sub-nanomolar concentrations of these molecules in a practical timeframe.</w:t>
      </w:r>
    </w:p>
    <w:p>
      <w:pPr>
        <w:spacing w:after="120"/>
      </w:pPr>
      <w:r>
        <w:rPr>
          <w:b w:val="0"/>
          <w:i w:val="0"/>
        </w:rPr>
        <w:t>The remainder of this report reconstructs, from the project's own files, why each specific biomarker and method was chosen, what computational and experimental work has been done, how well simulation and experiment agree, what has been fabricated and validated, what remains to be done, and what an incoming researcher would need to know to continue the work without re-deriving it from scratch.</w:t>
      </w:r>
    </w:p>
    <w:p>
      <w:r>
        <w:br w:type="page"/>
      </w:r>
    </w:p>
    <w:p>
      <w:pPr>
        <w:pStyle w:val="Heading1"/>
      </w:pPr>
      <w:r>
        <w:t>3. Research Objectives</w:t>
      </w:r>
    </w:p>
    <w:p>
      <w:pPr>
        <w:spacing w:after="120"/>
      </w:pPr>
      <w:r>
        <w:rPr>
          <w:b w:val="0"/>
          <w:i w:val="0"/>
        </w:rPr>
        <w:t>The project's objectives are stated consistently, with increasing quantitative precision, across the October–December 2025 presentation decks and the November 2025 written project report. The core objectives, as quantified in the 3rd-Semester review deck (Nov–Dec 2025) and the November 2025 written report, are:</w:t>
      </w:r>
    </w:p>
    <w:p>
      <w:pPr>
        <w:pStyle w:val="ListBullet"/>
        <w:spacing w:after="60"/>
      </w:pPr>
      <w:r>
        <w:rPr>
          <w:b/>
        </w:rPr>
        <w:t xml:space="preserve">Substrate design — </w:t>
      </w:r>
      <w:r>
        <w:t>design a reproducible bimetallic (or silver-only) plasmonic SERS substrate with target enhancement factor &gt; 10⁸ and nanostructure feature size in the 10–100 nm range.</w:t>
      </w:r>
    </w:p>
    <w:p>
      <w:pPr>
        <w:pStyle w:val="ListBullet"/>
        <w:spacing w:after="60"/>
      </w:pPr>
      <w:r>
        <w:rPr>
          <w:b/>
        </w:rPr>
        <w:t xml:space="preserve">Biomarker fingerprinting — </w:t>
      </w:r>
      <w:r>
        <w:t>identify distinct, assignable Raman spectral signatures for NAM (peptidoglycan, universal bacterial marker), LPS (Gram-negative marker), and LTA (Gram-positive marker), supported by DFT simulation.</w:t>
      </w:r>
    </w:p>
    <w:p>
      <w:pPr>
        <w:pStyle w:val="ListBullet"/>
        <w:spacing w:after="60"/>
      </w:pPr>
      <w:r>
        <w:rPr>
          <w:b/>
        </w:rPr>
        <w:t xml:space="preserve">Rapid, low-volume, label-free detection — </w:t>
      </w:r>
      <w:r>
        <w:t>target 50–100 µL of plasma, femtomolar sensitivity, and a total assay workflow of 25–35 minutes.</w:t>
      </w:r>
    </w:p>
    <w:p>
      <w:pPr>
        <w:pStyle w:val="ListBullet"/>
        <w:spacing w:after="60"/>
      </w:pPr>
      <w:r>
        <w:rPr>
          <w:b/>
        </w:rPr>
        <w:t xml:space="preserve">Point-of-care feasibility — </w:t>
      </w:r>
      <w:r>
        <w:t>target a total turnaround under 30 minutes and a per-test cost of USD 2–5, with automated spectral analysis, ultimately on a portable instrument.</w:t>
      </w:r>
    </w:p>
    <w:p>
      <w:pPr>
        <w:pStyle w:val="ListBullet"/>
        <w:spacing w:after="60"/>
      </w:pPr>
      <w:r>
        <w:rPr>
          <w:b/>
        </w:rPr>
        <w:t xml:space="preserve">Gram-class discrimination — </w:t>
      </w:r>
      <w:r>
        <w:t>use the combination of markers to distinguish Gram-positive from Gram-negative sepsis in a single test, directly informing empirical antibiotic choice.</w:t>
      </w:r>
    </w:p>
    <w:p>
      <w:pPr>
        <w:pStyle w:val="Heading2"/>
      </w:pPr>
      <w:r>
        <w:t>Why NAM, LPS, and LTA Specifically</w:t>
      </w:r>
    </w:p>
    <w:p>
      <w:pPr>
        <w:spacing w:after="120"/>
      </w:pPr>
      <w:r>
        <w:rPr>
          <w:b w:val="0"/>
          <w:i w:val="0"/>
        </w:rPr>
        <w:t>The rationale for each biomarker, compiled from the project's literature review documents (SEPSIS.docx.pdf, the Bacterial Surface Markers evidence dossiers, and the NAM_LPS_LTA_Raman_Peaks_LiteratureReport.docx), is as follows.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872"/>
            <w:shd w:val="clear" w:fill="2E74B5"/>
          </w:tcPr>
          <w:p>
            <w:r/>
            <w:r>
              <w:rPr>
                <w:b/>
                <w:color w:val="FFFFFF"/>
                <w:sz w:val="19"/>
              </w:rPr>
              <w:t>Biomarker</w:t>
            </w:r>
          </w:p>
        </w:tc>
        <w:tc>
          <w:tcPr>
            <w:tcW w:type="dxa" w:w="3744"/>
            <w:shd w:val="clear" w:fill="2E74B5"/>
          </w:tcPr>
          <w:p>
            <w:r/>
            <w:r>
              <w:rPr>
                <w:b/>
                <w:color w:val="FFFFFF"/>
                <w:sz w:val="19"/>
              </w:rPr>
              <w:t>Biological rationale</w:t>
            </w:r>
          </w:p>
        </w:tc>
        <w:tc>
          <w:tcPr>
            <w:tcW w:type="dxa" w:w="3888"/>
            <w:shd w:val="clear" w:fill="2E74B5"/>
          </w:tcPr>
          <w:p>
            <w:r/>
            <w:r>
              <w:rPr>
                <w:b/>
                <w:color w:val="FFFFFF"/>
                <w:sz w:val="19"/>
              </w:rPr>
              <w:t>Clinical relevance cited in project literature</w:t>
            </w:r>
          </w:p>
        </w:tc>
      </w:tr>
      <w:tr>
        <w:tc>
          <w:tcPr>
            <w:tcW w:type="dxa" w:w="1872"/>
          </w:tcPr>
          <w:p>
            <w:r/>
            <w:r>
              <w:rPr>
                <w:sz w:val="18"/>
              </w:rPr>
              <w:t>NAM (N-acetylmuramic acid)</w:t>
            </w:r>
          </w:p>
        </w:tc>
        <w:tc>
          <w:tcPr>
            <w:tcW w:type="dxa" w:w="3744"/>
          </w:tcPr>
          <w:p>
            <w:r/>
            <w:r>
              <w:rPr>
                <w:sz w:val="18"/>
              </w:rPr>
              <w:t>Core building block of peptidoglycan, present in the cell wall of essentially all bacteria (Gram-positive and Gram-negative); structurally absent from human, viral, and fungal cells, giving intrinsic bacterial specificity.</w:t>
            </w:r>
          </w:p>
        </w:tc>
        <w:tc>
          <w:tcPr>
            <w:tcW w:type="dxa" w:w="3888"/>
          </w:tcPr>
          <w:p>
            <w:r/>
            <w:r>
              <w:rPr>
                <w:sz w:val="18"/>
              </w:rPr>
              <w:t>Peptidoglycan fragments (muramyl dipeptide-related) are shed during bacterial growth/lysis and are absent in viral/fungal infection, cited as bacteria-specific in the project's own introduction draft.</w:t>
            </w:r>
          </w:p>
        </w:tc>
      </w:tr>
      <w:tr>
        <w:tc>
          <w:tcPr>
            <w:tcW w:type="dxa" w:w="1872"/>
            <w:shd w:val="clear" w:fill="F2F6FA"/>
          </w:tcPr>
          <w:p>
            <w:r/>
            <w:r>
              <w:rPr>
                <w:sz w:val="18"/>
              </w:rPr>
              <w:t>LPS (lipopolysaccharide)</w:t>
            </w:r>
          </w:p>
        </w:tc>
        <w:tc>
          <w:tcPr>
            <w:tcW w:type="dxa" w:w="3744"/>
            <w:shd w:val="clear" w:fill="F2F6FA"/>
          </w:tcPr>
          <w:p>
            <w:r/>
            <w:r>
              <w:rPr>
                <w:sz w:val="18"/>
              </w:rPr>
              <w:t>Outer-membrane component unique to Gram-negative bacteria; toxicity concentrated in the conserved Lipid A core; released during bacteremia (endotoxin).</w:t>
            </w:r>
          </w:p>
        </w:tc>
        <w:tc>
          <w:tcPr>
            <w:tcW w:type="dxa" w:w="3888"/>
            <w:shd w:val="clear" w:fill="F2F6FA"/>
          </w:tcPr>
          <w:p>
            <w:r/>
            <w:r>
              <w:rPr>
                <w:sz w:val="18"/>
              </w:rPr>
              <w:t>Endotoxin (LPS) is the accepted gold-standard Gram-negative sepsis marker; literature reviewed by the project reports severe-sepsis plasma endotoxin of 110–726 pg/mL (median ~300) vs &lt;10 pg/mL in healthy controls, and correlation with mortality.</w:t>
            </w:r>
          </w:p>
        </w:tc>
      </w:tr>
      <w:tr>
        <w:tc>
          <w:tcPr>
            <w:tcW w:type="dxa" w:w="1872"/>
          </w:tcPr>
          <w:p>
            <w:r/>
            <w:r>
              <w:rPr>
                <w:sz w:val="18"/>
              </w:rPr>
              <w:t>LTA (lipoteichoic acid)</w:t>
            </w:r>
          </w:p>
        </w:tc>
        <w:tc>
          <w:tcPr>
            <w:tcW w:type="dxa" w:w="3744"/>
          </w:tcPr>
          <w:p>
            <w:r/>
            <w:r>
              <w:rPr>
                <w:sz w:val="18"/>
              </w:rPr>
              <w:t>Cell-wall-embedded glycolipid unique to Gram-positive bacteria (which lack an outer membrane and LPS); can synergise with peptidoglycan fragments to trigger inflammatory signalling via CD14.</w:t>
            </w:r>
          </w:p>
        </w:tc>
        <w:tc>
          <w:tcPr>
            <w:tcW w:type="dxa" w:w="3888"/>
          </w:tcPr>
          <w:p>
            <w:r/>
            <w:r>
              <w:rPr>
                <w:sz w:val="18"/>
              </w:rPr>
              <w:t>Project's literature review reports plasma LTA of ~3.93 ng/mL (range 0.25–15) in catheter-associated infection cohorts, exceeding levels at the catheter aspirate site in 70% of patients — supporting LTA as a systemic Gram-positive marker.</w:t>
            </w:r>
          </w:p>
        </w:tc>
      </w:tr>
    </w:tbl>
    <w:p>
      <w:pPr>
        <w:spacing w:after="40"/>
      </w:pPr>
    </w:p>
    <w:p>
      <w:pPr>
        <w:spacing w:after="120"/>
      </w:pPr>
      <w:r>
        <w:rPr>
          <w:b w:val="0"/>
          <w:i w:val="0"/>
        </w:rPr>
        <w:t>The clinical literature reviewed by the project (notably Opal &amp; Cohen, “Clinical Gram-positive sepsis: Does it fundamentally differ from Gram-negative bacterial sepsis?”, Crit Care Med 1999) establishes that Gram-positive and Gram-negative sepsis are mechanistically distinct — different signalling kinetics, different dominant cytokines, and, critically, sometimes opposite responses to the same anti-inflammatory therapy in clinical trials. This is the direct clinical justification for building a sensor that discriminates Gram class rather than only detecting “sepsis is present.”</w:t>
      </w:r>
    </w:p>
    <w:p>
      <w:pPr>
        <w:pStyle w:val="Heading2"/>
      </w:pPr>
      <w:r>
        <w:t>Why SERS</w:t>
      </w:r>
    </w:p>
    <w:p>
      <w:pPr>
        <w:spacing w:after="120"/>
      </w:pPr>
      <w:r>
        <w:rPr>
          <w:b w:val="0"/>
          <w:i w:val="0"/>
        </w:rPr>
        <w:t>SERS was chosen over conventional Raman, ELISA, colorimetric lateral-flow, and PCR-based approaches because it is the only one of these methods that combines (a) label-free molecular-fingerprint specificity, (b) sufficient sensitivity (literature precedent for SERS-based cytokine and bacterial detection spans femtomolar-to-CFU/mL ranges, well beyond what unenhanced Raman can achieve), and (c) a rapid (minutes-scale), portable-instrument-compatible workflow. The project's host laboratory (Prof. Ajay Agarwal's group) had prior published precedent for exactly this style of AgNP-on-silicon SERS substrate applied to inflammatory cytokines (IL-1β, IL-6, TNF-α) and sweat metabolites, which was directly reused as the starting fabrication protocol for this project (Section 10).</w:t>
      </w:r>
    </w:p>
    <w:p>
      <w:pPr>
        <w:pStyle w:val="Heading2"/>
      </w:pPr>
      <w:r>
        <w:t>Why Simulation (DFT) Was Required</w:t>
      </w:r>
    </w:p>
    <w:p>
      <w:pPr>
        <w:spacing w:after="120"/>
      </w:pPr>
      <w:r>
        <w:rPr>
          <w:b w:val="0"/>
          <w:i w:val="0"/>
        </w:rPr>
        <w:t>Unlike CRP or PCT, for which multiple independent experimental Raman/SERS peak tables already exist in the literature, NAM, LPS, and LTA had no well-established, mutually agreed Raman peak assignments available to the project at the outset. Density-functional-theory (DFT) calculation of each molecule's vibrational spectrum was therefore required to predict which bands should appear, at what wavenumber, and with what relative intensity, before (and alongside) experimental substrate development — both to guide interpretation of the collected spectra and to assign otherwise-ambiguous experimental bands to specific molecular vibrations. The project's own DFT protocol document (“Beginner's Strategy for Simulating Bacterial Biomarkers in Gaussian”) explicitly frames this as necessary because LPS and LTA are polymeric and too large to model in full, requiring a fragment-based tractability strategy that itself needed to be designed and validated computationally.</w:t>
      </w:r>
    </w:p>
    <w:p>
      <w:r>
        <w:br w:type="page"/>
      </w:r>
    </w:p>
    <w:p>
      <w:pPr>
        <w:pStyle w:val="Heading1"/>
      </w:pPr>
      <w:r>
        <w:t>4. Literature Background</w:t>
      </w:r>
    </w:p>
    <w:p>
      <w:pPr>
        <w:spacing w:after="120"/>
      </w:pPr>
      <w:r>
        <w:rPr>
          <w:b w:val="0"/>
          <w:i w:val="0"/>
        </w:rPr>
        <w:t>The project maintains an internal literature corpus of roughly a dozen primary papers plus several project-authored synthesis documents. The key sources, and what each specifically contributes to the project's rationale, are summarised below.</w:t>
      </w:r>
    </w:p>
    <w:tbl>
      <w:tblPr>
        <w:tblStyle w:val="TableGrid"/>
        <w:tblW w:type="auto" w:w="0"/>
        <w:jc w:val="center"/>
        <w:tblLayout w:type="autofit"/>
        <w:tblLook w:firstColumn="1" w:firstRow="1" w:lastColumn="0" w:lastRow="0" w:noHBand="0" w:noVBand="1" w:val="04A0"/>
      </w:tblPr>
      <w:tblGrid>
        <w:gridCol w:w="4658"/>
        <w:gridCol w:w="4658"/>
      </w:tblGrid>
      <w:tr>
        <w:tc>
          <w:tcPr>
            <w:tcW w:type="dxa" w:w="3600"/>
            <w:shd w:val="clear" w:fill="2E74B5"/>
          </w:tcPr>
          <w:p>
            <w:r/>
            <w:r>
              <w:rPr>
                <w:b/>
                <w:color w:val="FFFFFF"/>
                <w:sz w:val="19"/>
              </w:rPr>
              <w:t>Source</w:t>
            </w:r>
          </w:p>
        </w:tc>
        <w:tc>
          <w:tcPr>
            <w:tcW w:type="dxa" w:w="6336"/>
            <w:shd w:val="clear" w:fill="2E74B5"/>
          </w:tcPr>
          <w:p>
            <w:r/>
            <w:r>
              <w:rPr>
                <w:b/>
                <w:color w:val="FFFFFF"/>
                <w:sz w:val="19"/>
              </w:rPr>
              <w:t>Contribution</w:t>
            </w:r>
          </w:p>
        </w:tc>
      </w:tr>
      <w:tr>
        <w:tc>
          <w:tcPr>
            <w:tcW w:type="dxa" w:w="3600"/>
          </w:tcPr>
          <w:p>
            <w:r/>
            <w:r>
              <w:rPr>
                <w:sz w:val="18"/>
              </w:rPr>
              <w:t>Opal &amp; Cohen, Crit Care Med 1999 (“Clinical Gram-positive sepsis”)</w:t>
            </w:r>
          </w:p>
        </w:tc>
        <w:tc>
          <w:tcPr>
            <w:tcW w:type="dxa" w:w="6336"/>
          </w:tcPr>
          <w:p>
            <w:r/>
            <w:r>
              <w:rPr>
                <w:sz w:val="18"/>
              </w:rPr>
              <w:t>Establishes that Gram-positive and Gram-negative sepsis are mechanistically distinct (different CD14-mediated signalling kinetics, different dominant cytokines, sometimes opposite responses to anti-inflammatory therapy) — the core clinical justification for a Gram-class-discriminating sensor.</w:t>
            </w:r>
          </w:p>
        </w:tc>
      </w:tr>
      <w:tr>
        <w:tc>
          <w:tcPr>
            <w:tcW w:type="dxa" w:w="3600"/>
            <w:shd w:val="clear" w:fill="F2F6FA"/>
          </w:tcPr>
          <w:p>
            <w:r/>
            <w:r>
              <w:rPr>
                <w:sz w:val="18"/>
              </w:rPr>
              <w:t>SEPSIS.docx.pdf (project's own introduction draft)</w:t>
            </w:r>
          </w:p>
        </w:tc>
        <w:tc>
          <w:tcPr>
            <w:tcW w:type="dxa" w:w="6336"/>
            <w:shd w:val="clear" w:fill="F2F6FA"/>
          </w:tcPr>
          <w:p>
            <w:r/>
            <w:r>
              <w:rPr>
                <w:sz w:val="18"/>
              </w:rPr>
              <w:t>Synthesises limitations of blood culture, PCR, and host biomarkers; enumerates candidate bacterial surface biomarkers (LPS, LTA, PGN/NAM, OMPs, capsular polysaccharide, flagellin, exotoxins) and states the project's explicit thesis: direct bacterial fingerprinting via SERS over indirect host-response markers.</w:t>
            </w:r>
          </w:p>
        </w:tc>
      </w:tr>
      <w:tr>
        <w:tc>
          <w:tcPr>
            <w:tcW w:type="dxa" w:w="3600"/>
          </w:tcPr>
          <w:p>
            <w:r/>
            <w:r>
              <w:rPr>
                <w:sz w:val="18"/>
              </w:rPr>
              <w:t>Bacterial_Surface_Markers_Evidence_Dossier(_Updated).pdf</w:t>
            </w:r>
          </w:p>
        </w:tc>
        <w:tc>
          <w:tcPr>
            <w:tcW w:type="dxa" w:w="6336"/>
          </w:tcPr>
          <w:p>
            <w:r/>
            <w:r>
              <w:rPr>
                <w:sz w:val="18"/>
              </w:rPr>
              <w:t>Structured evidence table ranking candidate bacterial-specific, blood-detectable surface markers; supports the specific choice of LPS + LTA + peptidoglycan-family markers as the most validated near-term diagnostic panel.</w:t>
            </w:r>
          </w:p>
        </w:tc>
      </w:tr>
      <w:tr>
        <w:tc>
          <w:tcPr>
            <w:tcW w:type="dxa" w:w="3600"/>
            <w:shd w:val="clear" w:fill="F2F6FA"/>
          </w:tcPr>
          <w:p>
            <w:r/>
            <w:r>
              <w:rPr>
                <w:sz w:val="18"/>
              </w:rPr>
              <w:t>Pilot et al., Biosensors 9(2):57, 2019 (SERS review)</w:t>
            </w:r>
          </w:p>
        </w:tc>
        <w:tc>
          <w:tcPr>
            <w:tcW w:type="dxa" w:w="6336"/>
            <w:shd w:val="clear" w:fill="F2F6FA"/>
          </w:tcPr>
          <w:p>
            <w:r/>
            <w:r>
              <w:rPr>
                <w:sz w:val="18"/>
              </w:rPr>
              <w:t>Comprehensive SERS mechanism/fabrication review; substrate design benchmarks (enhancement &gt;10⁵, &lt;20% reproducibility variation, mm² area, ~1 month stability); precedent for SERS bacteria detection down to 10 CFU/mL.</w:t>
            </w:r>
          </w:p>
        </w:tc>
      </w:tr>
      <w:tr>
        <w:tc>
          <w:tcPr>
            <w:tcW w:type="dxa" w:w="3600"/>
          </w:tcPr>
          <w:p>
            <w:r/>
            <w:r>
              <w:rPr>
                <w:sz w:val="18"/>
              </w:rPr>
              <w:t>Chauhan et al., Prog. Biophys. Mol. Biol. 184:32-41, 2023</w:t>
            </w:r>
          </w:p>
        </w:tc>
        <w:tc>
          <w:tcPr>
            <w:tcW w:type="dxa" w:w="6336"/>
          </w:tcPr>
          <w:p>
            <w:r/>
            <w:r>
              <w:rPr>
                <w:sz w:val="18"/>
              </w:rPr>
              <w:t>Broad SERS-biosensor review; comparative literature LOD table used for benchmarking (e.g. E. coli O157:H7 via Au — LOD 100–10⁵ CFU/mL; Y. pestis/F. tularensis via Au nanotags — LOD 43–357 CFU/mL).</w:t>
            </w:r>
          </w:p>
        </w:tc>
      </w:tr>
      <w:tr>
        <w:tc>
          <w:tcPr>
            <w:tcW w:type="dxa" w:w="3600"/>
            <w:shd w:val="clear" w:fill="F2F6FA"/>
          </w:tcPr>
          <w:p>
            <w:r/>
            <w:r>
              <w:rPr>
                <w:sz w:val="18"/>
              </w:rPr>
              <w:t>Muniz-Miranda et al., Molecules 28:573, 2023 (“Can DFT provide useful information for SERS?”)</w:t>
            </w:r>
          </w:p>
        </w:tc>
        <w:tc>
          <w:tcPr>
            <w:tcW w:type="dxa" w:w="6336"/>
            <w:shd w:val="clear" w:fill="F2F6FA"/>
          </w:tcPr>
          <w:p>
            <w:r/>
            <w:r>
              <w:rPr>
                <w:sz w:val="18"/>
              </w:rPr>
              <w:t>Direct methodological justification for pairing DFT with SERS: identifies adsorption site, binding geometry, and frequency shifts, information unobtainable from experiment alone — the paper's own stated rationale for computational work in this project.</w:t>
            </w:r>
          </w:p>
        </w:tc>
      </w:tr>
      <w:tr>
        <w:tc>
          <w:tcPr>
            <w:tcW w:type="dxa" w:w="3600"/>
          </w:tcPr>
          <w:p>
            <w:r/>
            <w:r>
              <w:rPr>
                <w:sz w:val="18"/>
              </w:rPr>
              <w:t>pdf_13ee988c.pdf (project's internal Gaussian/DFT protocol guide)</w:t>
            </w:r>
          </w:p>
        </w:tc>
        <w:tc>
          <w:tcPr>
            <w:tcW w:type="dxa" w:w="6336"/>
          </w:tcPr>
          <w:p>
            <w:r/>
            <w:r>
              <w:rPr>
                <w:sz w:val="18"/>
              </w:rPr>
              <w:t>Lays out the fragment-based tractability strategy for LPS/LTA, PubChem CIDs used, charge/solvation guidance, and a predicted diagnostic-peak table (P–O ~580 cm⁻¹, C–O glycosidic ~1050 cm⁻¹, amide III ~1200 cm⁻¹, amide II ~1600 cm⁻¹, C–H ~2900 cm⁻¹) that anticipated several of the bands later observed experimentally.</w:t>
            </w:r>
          </w:p>
        </w:tc>
      </w:tr>
      <w:tr>
        <w:tc>
          <w:tcPr>
            <w:tcW w:type="dxa" w:w="3600"/>
            <w:shd w:val="clear" w:fill="F2F6FA"/>
          </w:tcPr>
          <w:p>
            <w:r/>
            <w:r>
              <w:rPr>
                <w:sz w:val="18"/>
              </w:rPr>
              <w:t>Chen et al., Open Life Sci. 20:20221005 (neonatal sepsis biomarker comparison)</w:t>
            </w:r>
          </w:p>
        </w:tc>
        <w:tc>
          <w:tcPr>
            <w:tcW w:type="dxa" w:w="6336"/>
            <w:shd w:val="clear" w:fill="F2F6FA"/>
          </w:tcPr>
          <w:p>
            <w:r/>
            <w:r>
              <w:rPr>
                <w:sz w:val="18"/>
              </w:rPr>
              <w:t>Quantifies the moderate diagnostic performance of conventional host-response biomarkers (CRP AUC as low as 0.76–0.78), reinforcing the case for pathogen-derived alternatives.</w:t>
            </w:r>
          </w:p>
        </w:tc>
      </w:tr>
      <w:tr>
        <w:tc>
          <w:tcPr>
            <w:tcW w:type="dxa" w:w="3600"/>
          </w:tcPr>
          <w:p>
            <w:r/>
            <w:r>
              <w:rPr>
                <w:sz w:val="18"/>
              </w:rPr>
              <w:t>Rahbar et al., Front. Bioeng. Biotechnol. 9:778269, 2021 (colorimetric IL-6 LFA)</w:t>
            </w:r>
          </w:p>
        </w:tc>
        <w:tc>
          <w:tcPr>
            <w:tcW w:type="dxa" w:w="6336"/>
          </w:tcPr>
          <w:p>
            <w:r/>
            <w:r>
              <w:rPr>
                <w:sz w:val="18"/>
              </w:rPr>
              <w:t>Comparator sensitivity benchmark: silver-amplified colorimetric LFA reaches 5 pg/mL for IL-6, used to contextualise SERS's expected sensitivity advantage.</w:t>
            </w:r>
          </w:p>
        </w:tc>
      </w:tr>
      <w:tr>
        <w:tc>
          <w:tcPr>
            <w:tcW w:type="dxa" w:w="3600"/>
            <w:shd w:val="clear" w:fill="F2F6FA"/>
          </w:tcPr>
          <w:p>
            <w:r/>
            <w:r>
              <w:rPr>
                <w:sz w:val="18"/>
              </w:rPr>
              <w:t>Socrates; De Gelder et al.; Silverstein; Smith (spectroscopy reference texts)</w:t>
            </w:r>
          </w:p>
        </w:tc>
        <w:tc>
          <w:tcPr>
            <w:tcW w:type="dxa" w:w="6336"/>
            <w:shd w:val="clear" w:fill="F2F6FA"/>
          </w:tcPr>
          <w:p>
            <w:r/>
            <w:r>
              <w:rPr>
                <w:sz w:val="18"/>
              </w:rPr>
              <w:t>Standard functional-group/Raman correlation references used throughout the project's peak-assignment tables.</w:t>
            </w:r>
          </w:p>
        </w:tc>
      </w:tr>
      <w:tr>
        <w:tc>
          <w:tcPr>
            <w:tcW w:type="dxa" w:w="3600"/>
          </w:tcPr>
          <w:p>
            <w:r/>
            <w:r>
              <w:rPr>
                <w:sz w:val="18"/>
              </w:rPr>
              <w:t>Lab's own prior IEEE APSCON 2023 papers (Akilandeshwari et al.; Soni et al.)</w:t>
            </w:r>
          </w:p>
        </w:tc>
        <w:tc>
          <w:tcPr>
            <w:tcW w:type="dxa" w:w="6336"/>
          </w:tcPr>
          <w:p>
            <w:r/>
            <w:r>
              <w:rPr>
                <w:sz w:val="18"/>
              </w:rPr>
              <w:t>Directly reused: the AgNP-on-Si wet-chemical fabrication protocol (Piranha clean → buffered HF dip → AgNO₃/HF electroless deposition → bake → desiccated storage) is the same protocol adapted for this project's substrate (Section 10).</w:t>
            </w:r>
          </w:p>
        </w:tc>
      </w:tr>
    </w:tbl>
    <w:p>
      <w:pPr>
        <w:spacing w:after="40"/>
      </w:pPr>
    </w:p>
    <w:p>
      <w:pPr>
        <w:spacing w:after="120"/>
      </w:pPr>
      <w:r>
        <w:rPr>
          <w:b w:val="0"/>
          <w:i w:val="0"/>
        </w:rPr>
        <w:t>A full per-document extraction (including additional supporting literature on cytokine SERS platforms, IL-6 immunobiology, and vancomycin/lectin-based bacterial capture probes) is preserved in the project's working notes; the References section (Section 21) lists all sources identified during this review.</w:t>
      </w:r>
    </w:p>
    <w:p>
      <w:r>
        <w:br w:type="page"/>
      </w:r>
    </w:p>
    <w:p>
      <w:pPr>
        <w:pStyle w:val="Heading1"/>
      </w:pPr>
      <w:r>
        <w:t>5. Overall Project Timeline</w:t>
      </w:r>
    </w:p>
    <w:p>
      <w:pPr>
        <w:spacing w:after="120"/>
      </w:pPr>
      <w:r>
        <w:rPr>
          <w:b w:val="0"/>
          <w:i w:val="0"/>
        </w:rPr>
        <w:t>Dates below are drawn from file modification timestamps, explicit in-document dates, and email correspondence headers. Where only a month is evidenced, no day is given. This is the single most complete timeline reconstructable from the project folder; it should be treated as approximate at the week level but reliable at the month level.</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584"/>
            <w:shd w:val="clear" w:fill="2E74B5"/>
          </w:tcPr>
          <w:p>
            <w:r/>
            <w:r>
              <w:rPr>
                <w:b/>
                <w:color w:val="FFFFFF"/>
                <w:sz w:val="19"/>
              </w:rPr>
              <w:t>Period</w:t>
            </w:r>
          </w:p>
        </w:tc>
        <w:tc>
          <w:tcPr>
            <w:tcW w:type="dxa" w:w="2160"/>
            <w:shd w:val="clear" w:fill="2E74B5"/>
          </w:tcPr>
          <w:p>
            <w:r/>
            <w:r>
              <w:rPr>
                <w:b/>
                <w:color w:val="FFFFFF"/>
                <w:sz w:val="19"/>
              </w:rPr>
              <w:t>Phase</w:t>
            </w:r>
          </w:p>
        </w:tc>
        <w:tc>
          <w:tcPr>
            <w:tcW w:type="dxa" w:w="6192"/>
            <w:shd w:val="clear" w:fill="2E74B5"/>
          </w:tcPr>
          <w:p>
            <w:r/>
            <w:r>
              <w:rPr>
                <w:b/>
                <w:color w:val="FFFFFF"/>
                <w:sz w:val="19"/>
              </w:rPr>
              <w:t>Key milestones</w:t>
            </w:r>
          </w:p>
        </w:tc>
      </w:tr>
      <w:tr>
        <w:tc>
          <w:tcPr>
            <w:tcW w:type="dxa" w:w="1584"/>
          </w:tcPr>
          <w:p>
            <w:r/>
            <w:r>
              <w:rPr>
                <w:sz w:val="18"/>
              </w:rPr>
              <w:t>Aug – Oct 2025</w:t>
            </w:r>
          </w:p>
        </w:tc>
        <w:tc>
          <w:tcPr>
            <w:tcW w:type="dxa" w:w="2160"/>
          </w:tcPr>
          <w:p>
            <w:r/>
            <w:r>
              <w:rPr>
                <w:sz w:val="18"/>
              </w:rPr>
              <w:t>Foundation &amp; concept</w:t>
            </w:r>
          </w:p>
        </w:tc>
        <w:tc>
          <w:tcPr>
            <w:tcW w:type="dxa" w:w="6192"/>
          </w:tcPr>
          <w:p>
            <w:r/>
            <w:r>
              <w:rPr>
                <w:sz w:val="18"/>
              </w:rPr>
              <w:t>Literature review begun; biomarker panel (NAM/LPS/LTA) proposed and held stable from the earliest deck (8 Oct 2025) onward; SERS rationale, 785 nm excitation choice, and conceptual fabrication/workflow diagrams drafted; no experimental data yet.</w:t>
            </w:r>
          </w:p>
        </w:tc>
      </w:tr>
      <w:tr>
        <w:tc>
          <w:tcPr>
            <w:tcW w:type="dxa" w:w="1584"/>
            <w:shd w:val="clear" w:fill="F2F6FA"/>
          </w:tcPr>
          <w:p>
            <w:r/>
            <w:r>
              <w:rPr>
                <w:sz w:val="18"/>
              </w:rPr>
              <w:t>Oct 2025</w:t>
            </w:r>
          </w:p>
        </w:tc>
        <w:tc>
          <w:tcPr>
            <w:tcW w:type="dxa" w:w="2160"/>
            <w:shd w:val="clear" w:fill="F2F6FA"/>
          </w:tcPr>
          <w:p>
            <w:r/>
            <w:r>
              <w:rPr>
                <w:sz w:val="18"/>
              </w:rPr>
              <w:t>Concept refinement</w:t>
            </w:r>
          </w:p>
        </w:tc>
        <w:tc>
          <w:tcPr>
            <w:tcW w:type="dxa" w:w="6192"/>
            <w:shd w:val="clear" w:fill="F2F6FA"/>
          </w:tcPr>
          <w:p>
            <w:r/>
            <w:r>
              <w:rPr>
                <w:sz w:val="18"/>
              </w:rPr>
              <w:t>8 Oct: first full concept deck. 16 Oct: fabrication-process diagram and 4-step sample-to-answer workflow pipeline added (3 same-day file variants). 30 Oct: parallel AI/ML-framed fellowship application deck (adjacent narrative, CRP/IL-6/TNF-α framing, not continuous with the core NAM/LPS/LTA thesis line).</w:t>
            </w:r>
          </w:p>
        </w:tc>
      </w:tr>
      <w:tr>
        <w:tc>
          <w:tcPr>
            <w:tcW w:type="dxa" w:w="1584"/>
          </w:tcPr>
          <w:p>
            <w:r/>
            <w:r>
              <w:rPr>
                <w:sz w:val="18"/>
              </w:rPr>
              <w:t>Nov 2025</w:t>
            </w:r>
          </w:p>
        </w:tc>
        <w:tc>
          <w:tcPr>
            <w:tcW w:type="dxa" w:w="2160"/>
          </w:tcPr>
          <w:p>
            <w:r/>
            <w:r>
              <w:rPr>
                <w:sz w:val="18"/>
              </w:rPr>
              <w:t>Formal review &amp; evaluation</w:t>
            </w:r>
          </w:p>
        </w:tc>
        <w:tc>
          <w:tcPr>
            <w:tcW w:type="dxa" w:w="6192"/>
          </w:tcPr>
          <w:p>
            <w:r/>
            <w:r>
              <w:rPr>
                <w:sz w:val="18"/>
              </w:rPr>
              <w:t>24 Nov: IDRP masters-project evaluation form. 27 Nov: full written project report finalised/submitted (Project Report_SERS-sukesh.pdf) — states patent filing is planned post-validation, not yet filed. 28 Nov – 2 Dec: 3rd-Semester review deck, most complete checkpoint of this period — literature review and biomarker-panel work reported as complete; substrate optimisation and biomarker procurement reported as “initiated”/“ongoing,” not complete.</w:t>
            </w:r>
          </w:p>
        </w:tc>
      </w:tr>
      <w:tr>
        <w:tc>
          <w:tcPr>
            <w:tcW w:type="dxa" w:w="1584"/>
            <w:shd w:val="clear" w:fill="F2F6FA"/>
          </w:tcPr>
          <w:p>
            <w:r/>
            <w:r>
              <w:rPr>
                <w:sz w:val="18"/>
              </w:rPr>
              <w:t>Dec 2025</w:t>
            </w:r>
          </w:p>
        </w:tc>
        <w:tc>
          <w:tcPr>
            <w:tcW w:type="dxa" w:w="2160"/>
            <w:shd w:val="clear" w:fill="F2F6FA"/>
          </w:tcPr>
          <w:p>
            <w:r/>
            <w:r>
              <w:rPr>
                <w:sz w:val="18"/>
              </w:rPr>
              <w:t>Procurement initiated</w:t>
            </w:r>
          </w:p>
        </w:tc>
        <w:tc>
          <w:tcPr>
            <w:tcW w:type="dxa" w:w="6192"/>
            <w:shd w:val="clear" w:fill="F2F6FA"/>
          </w:tcPr>
          <w:p>
            <w:r/>
            <w:r>
              <w:rPr>
                <w:sz w:val="18"/>
              </w:rPr>
              <w:t>Team requests quotations for NAM (Sigma A3007), LPS (Sigma L2630, E. coli O111:B4), and LTA (Sigma L2515, S. aureus) from a supplier (8 Dec, reminder 11 Dec); MOQ and budget finalised (₹54,000–78,000 + 15% contingency).</w:t>
            </w:r>
          </w:p>
        </w:tc>
      </w:tr>
      <w:tr>
        <w:tc>
          <w:tcPr>
            <w:tcW w:type="dxa" w:w="1584"/>
          </w:tcPr>
          <w:p>
            <w:r/>
            <w:r>
              <w:rPr>
                <w:sz w:val="18"/>
              </w:rPr>
              <w:t>8 – 9 Jan 2026</w:t>
            </w:r>
          </w:p>
        </w:tc>
        <w:tc>
          <w:tcPr>
            <w:tcW w:type="dxa" w:w="2160"/>
          </w:tcPr>
          <w:p>
            <w:r/>
            <w:r>
              <w:rPr>
                <w:sz w:val="18"/>
              </w:rPr>
              <w:t>Procurement completed; deep literature review; experimental-design planning</w:t>
            </w:r>
          </w:p>
        </w:tc>
        <w:tc>
          <w:tcPr>
            <w:tcW w:type="dxa" w:w="6192"/>
          </w:tcPr>
          <w:p>
            <w:r/>
            <w:r>
              <w:rPr>
                <w:sz w:val="18"/>
              </w:rPr>
              <w:t>First reagent consignment received (stated “awaiting the second” on 8 Jan, “completed” by 9 Jan); extensive literature review of blood/serum LPS and LTA concentration ranges in sepsis; solvent-solubility characterisation (water = best solvent for all three biomarkers); concrete serial-dilution LOD protocol defined (1.0 → 10⁻⁴ mg/mL); adoption of KnowItAll® Raman Identification Pro software, validated first on a reference glucose spectrum.</w:t>
            </w:r>
          </w:p>
        </w:tc>
      </w:tr>
      <w:tr>
        <w:tc>
          <w:tcPr>
            <w:tcW w:type="dxa" w:w="1584"/>
            <w:shd w:val="clear" w:fill="F2F6FA"/>
          </w:tcPr>
          <w:p>
            <w:r/>
            <w:r>
              <w:rPr>
                <w:sz w:val="18"/>
              </w:rPr>
              <w:t>Jan – Feb 2026</w:t>
            </w:r>
          </w:p>
        </w:tc>
        <w:tc>
          <w:tcPr>
            <w:tcW w:type="dxa" w:w="2160"/>
            <w:shd w:val="clear" w:fill="F2F6FA"/>
          </w:tcPr>
          <w:p>
            <w:r/>
            <w:r>
              <w:rPr>
                <w:sz w:val="18"/>
              </w:rPr>
              <w:t>NAM baseline experimental + first-generation DFT</w:t>
            </w:r>
          </w:p>
        </w:tc>
        <w:tc>
          <w:tcPr>
            <w:tcW w:type="dxa" w:w="6192"/>
            <w:shd w:val="clear" w:fill="F2F6FA"/>
          </w:tcPr>
          <w:p>
            <w:r/>
            <w:r>
              <w:rPr>
                <w:sz w:val="18"/>
              </w:rPr>
              <w:t>Systematic NAM powder Raman parameter sweep begins (integration time 5–25 s × laser power 5–80%, ≈80 spectra); first NAM DFT calculation performed (Gaussian 09, B3LYP/6-311+G(d,p)); ORCA attempted first but abandoned in favour of Gaussian; solution-phase NAM measurements showed no distinct Raman peaks, motivating a switch to powder-only measurements. Feb 2026: first DFT-vs-experiment NAM comparison report prepared “for Monthly Review Meeting.”</w:t>
            </w:r>
          </w:p>
        </w:tc>
      </w:tr>
      <w:tr>
        <w:tc>
          <w:tcPr>
            <w:tcW w:type="dxa" w:w="1584"/>
          </w:tcPr>
          <w:p>
            <w:r/>
            <w:r>
              <w:rPr>
                <w:sz w:val="18"/>
              </w:rPr>
              <w:t>Mar – Apr 2026</w:t>
            </w:r>
          </w:p>
        </w:tc>
        <w:tc>
          <w:tcPr>
            <w:tcW w:type="dxa" w:w="2160"/>
          </w:tcPr>
          <w:p>
            <w:r/>
            <w:r>
              <w:rPr>
                <w:sz w:val="18"/>
              </w:rPr>
              <w:t>Expanded biomarker analysis: LTA &amp; LPS fragment DFT; broader experimental sweeps</w:t>
            </w:r>
          </w:p>
        </w:tc>
        <w:tc>
          <w:tcPr>
            <w:tcW w:type="dxa" w:w="6192"/>
          </w:tcPr>
          <w:p>
            <w:r/>
            <w:r>
              <w:rPr>
                <w:sz w:val="18"/>
              </w:rPr>
              <w:t>Large ad-hoc experimental batch (“4-4-26”) covering NAM and LTA at multiple power/time settings; LPS and LTA fragment-based DFT calculations performed (5 LPS fragments: KDO, D-glucosamine, heptose, myristic acid, phosphoric acid; 3 LTA fragments: glycerol-phosphate, D-alanine, N-acetyl-D-glucosamine), each combined via NNLS fitting against an experimental spectrum; whole-molecule LTA DFT attempted and failed (geometry-optimisation error).</w:t>
            </w:r>
          </w:p>
        </w:tc>
      </w:tr>
      <w:tr>
        <w:tc>
          <w:tcPr>
            <w:tcW w:type="dxa" w:w="1584"/>
            <w:shd w:val="clear" w:fill="F2F6FA"/>
          </w:tcPr>
          <w:p>
            <w:r/>
            <w:r>
              <w:rPr>
                <w:sz w:val="18"/>
              </w:rPr>
              <w:t>8 Apr 2026</w:t>
            </w:r>
          </w:p>
        </w:tc>
        <w:tc>
          <w:tcPr>
            <w:tcW w:type="dxa" w:w="2160"/>
            <w:shd w:val="clear" w:fill="F2F6FA"/>
          </w:tcPr>
          <w:p>
            <w:r/>
            <w:r>
              <w:rPr>
                <w:sz w:val="18"/>
              </w:rPr>
              <w:t>Formal review meeting</w:t>
            </w:r>
          </w:p>
        </w:tc>
        <w:tc>
          <w:tcPr>
            <w:tcW w:type="dxa" w:w="6192"/>
            <w:shd w:val="clear" w:fill="F2F6FA"/>
          </w:tcPr>
          <w:p>
            <w:r/>
            <w:r>
              <w:rPr>
                <w:sz w:val="18"/>
              </w:rPr>
              <w:t>49-slide comprehensive review: Rhodamine B DFT method-validation exercise, NAM Raman-DFT analysis (best spectrum SNR 95.9 at 25 s/80% power), LTA fragment DFT and experimental power-variation study, and a documented advisor Q&amp;A covering quantitative-vs-qualitative detection limits, dead-vs-live bacteria discrimination, and clinical validation requirements.</w:t>
            </w:r>
          </w:p>
        </w:tc>
      </w:tr>
      <w:tr>
        <w:tc>
          <w:tcPr>
            <w:tcW w:type="dxa" w:w="1584"/>
          </w:tcPr>
          <w:p>
            <w:r/>
            <w:r>
              <w:rPr>
                <w:sz w:val="18"/>
              </w:rPr>
              <w:t>10 Apr 2026</w:t>
            </w:r>
          </w:p>
        </w:tc>
        <w:tc>
          <w:tcPr>
            <w:tcW w:type="dxa" w:w="2160"/>
          </w:tcPr>
          <w:p>
            <w:r/>
            <w:r>
              <w:rPr>
                <w:sz w:val="18"/>
              </w:rPr>
              <w:t>Exploratory pivot considered (not pursued)</w:t>
            </w:r>
          </w:p>
        </w:tc>
        <w:tc>
          <w:tcPr>
            <w:tcW w:type="dxa" w:w="6192"/>
          </w:tcPr>
          <w:p>
            <w:r/>
            <w:r>
              <w:rPr>
                <w:sz w:val="18"/>
              </w:rPr>
              <w:t>Brainstorming session on an alternative/expanded biomarker direction — detecting bacterial siderophores directly from blood via SERS. Conceptual only; no associated experimental data found; not evidenced as pursued further.</w:t>
            </w:r>
          </w:p>
        </w:tc>
      </w:tr>
      <w:tr>
        <w:tc>
          <w:tcPr>
            <w:tcW w:type="dxa" w:w="1584"/>
            <w:shd w:val="clear" w:fill="F2F6FA"/>
          </w:tcPr>
          <w:p>
            <w:r/>
            <w:r>
              <w:rPr>
                <w:sz w:val="18"/>
              </w:rPr>
              <w:t>Apr 2026</w:t>
            </w:r>
          </w:p>
        </w:tc>
        <w:tc>
          <w:tcPr>
            <w:tcW w:type="dxa" w:w="2160"/>
            <w:shd w:val="clear" w:fill="F2F6FA"/>
          </w:tcPr>
          <w:p>
            <w:r/>
            <w:r>
              <w:rPr>
                <w:sz w:val="18"/>
              </w:rPr>
              <w:t>Masters thesis report &amp; clinical translation planning</w:t>
            </w:r>
          </w:p>
        </w:tc>
        <w:tc>
          <w:tcPr>
            <w:tcW w:type="dxa" w:w="6192"/>
            <w:shd w:val="clear" w:fill="F2F6FA"/>
          </w:tcPr>
          <w:p>
            <w:r/>
            <w:r>
              <w:rPr>
                <w:sz w:val="18"/>
              </w:rPr>
              <w:t>Full masters thesis report finalised (finalmtp.docx / report final masters, 49 pp, certified by Prof. Ajay Agarwal and Dr. Neeraj Gupta); LPS + LTA decks finalised (15–18 Apr, LPS optimum condition determined as 60 s/20% power/30 accumulations); clinical sepsis biobank proposal and a detailed 20-step blood-sample SOP drafted (target 50 sepsis / 50 suspected-negative / 30 control samples) — planning only, no patient samples collected per evidence reviewed; rapid blood-biomarker capture workflow (Polymyxin B/anti-Lipid A beads for LPS, anti-LTA antibody beads for LTA, protease/hydrolysis for NAM) designed.</w:t>
            </w:r>
          </w:p>
        </w:tc>
      </w:tr>
      <w:tr>
        <w:tc>
          <w:tcPr>
            <w:tcW w:type="dxa" w:w="1584"/>
          </w:tcPr>
          <w:p>
            <w:r/>
            <w:r>
              <w:rPr>
                <w:sz w:val="18"/>
              </w:rPr>
              <w:t>May 2026</w:t>
            </w:r>
          </w:p>
        </w:tc>
        <w:tc>
          <w:tcPr>
            <w:tcW w:type="dxa" w:w="2160"/>
          </w:tcPr>
          <w:p>
            <w:r/>
            <w:r>
              <w:rPr>
                <w:sz w:val="18"/>
              </w:rPr>
              <w:t>NAM DFT regeneration; second NAM powder dataset</w:t>
            </w:r>
          </w:p>
        </w:tc>
        <w:tc>
          <w:tcPr>
            <w:tcW w:type="dxa" w:w="6192"/>
          </w:tcPr>
          <w:p>
            <w:r/>
            <w:r>
              <w:rPr>
                <w:sz w:val="18"/>
              </w:rPr>
              <w:t>NAM DFT recalculated at Gaussian 16 (B3LYP-D3BJ/6-311++G(d,p), tight optimisation) — resolved a previously unassigned 872 cm⁻¹ band and sharpened the mechanistic argument around the 730/731 cm⁻¹ region; new NAM powder dataset collected (“data-of-nam-powder”, the May/29-05-26 dataset) providing true replicate measurements (11 spectra each at 70%/10 s and 90%/10 s) and a photostability/laser-damage series (sample destroyed at 90% power / 60 s integration).</w:t>
            </w:r>
          </w:p>
        </w:tc>
      </w:tr>
      <w:tr>
        <w:tc>
          <w:tcPr>
            <w:tcW w:type="dxa" w:w="1584"/>
            <w:shd w:val="clear" w:fill="F2F6FA"/>
          </w:tcPr>
          <w:p>
            <w:r/>
            <w:r>
              <w:rPr>
                <w:sz w:val="18"/>
              </w:rPr>
              <w:t>Jun 2026</w:t>
            </w:r>
          </w:p>
        </w:tc>
        <w:tc>
          <w:tcPr>
            <w:tcW w:type="dxa" w:w="2160"/>
            <w:shd w:val="clear" w:fill="F2F6FA"/>
          </w:tcPr>
          <w:p>
            <w:r/>
            <w:r>
              <w:rPr>
                <w:sz w:val="18"/>
              </w:rPr>
              <w:t>SERS substrate fabrication + Rhodamine 6G validation</w:t>
            </w:r>
          </w:p>
        </w:tc>
        <w:tc>
          <w:tcPr>
            <w:tcW w:type="dxa" w:w="6192"/>
            <w:shd w:val="clear" w:fill="F2F6FA"/>
          </w:tcPr>
          <w:p>
            <w:r/>
            <w:r>
              <w:rPr>
                <w:sz w:val="18"/>
              </w:rPr>
              <w:t>Ag/Si SERS substrate fabricated via HF-assisted electroless silver deposition across 8 fabrication conditions (etchant volume × soak/reaction time); validated with 97 Rhodamine 6G Raman spectra; DFT-vs-experiment R6G peak matching achieved RMSE 4.62 cm⁻¹ (r = 0.99995), the strongest quantitative agreement anywhere in the project.</w:t>
            </w:r>
          </w:p>
        </w:tc>
      </w:tr>
      <w:tr>
        <w:tc>
          <w:tcPr>
            <w:tcW w:type="dxa" w:w="1584"/>
          </w:tcPr>
          <w:p>
            <w:r/>
            <w:r>
              <w:rPr>
                <w:sz w:val="18"/>
              </w:rPr>
              <w:t>Jul 2026</w:t>
            </w:r>
          </w:p>
        </w:tc>
        <w:tc>
          <w:tcPr>
            <w:tcW w:type="dxa" w:w="2160"/>
          </w:tcPr>
          <w:p>
            <w:r/>
            <w:r>
              <w:rPr>
                <w:sz w:val="18"/>
              </w:rPr>
              <w:t>Forward planning (not yet executed)</w:t>
            </w:r>
          </w:p>
        </w:tc>
        <w:tc>
          <w:tcPr>
            <w:tcW w:type="dxa" w:w="6192"/>
          </w:tcPr>
          <w:p>
            <w:r/>
            <w:r>
              <w:rPr>
                <w:sz w:val="18"/>
              </w:rPr>
              <w:t>“Rapid SERS Validation Plan” drafted: a 5-day, 6-experiment plan (R6G QC, NAM blank/reference, NAM concentration series, deposition/adsorption comparison, acquisition-setting check, repeatability) — explicitly framed as a plan, with instructions not to report anything as completed until actually measured.</w:t>
            </w:r>
          </w:p>
        </w:tc>
      </w:tr>
      <w:tr>
        <w:tc>
          <w:tcPr>
            <w:tcW w:type="dxa" w:w="1584"/>
            <w:shd w:val="clear" w:fill="F2F6FA"/>
          </w:tcPr>
          <w:p>
            <w:r/>
            <w:r>
              <w:rPr>
                <w:sz w:val="18"/>
              </w:rPr>
              <w:t>Aug 2026 (current)</w:t>
            </w:r>
          </w:p>
        </w:tc>
        <w:tc>
          <w:tcPr>
            <w:tcW w:type="dxa" w:w="2160"/>
            <w:shd w:val="clear" w:fill="F2F6FA"/>
          </w:tcPr>
          <w:p>
            <w:r/>
            <w:r>
              <w:rPr>
                <w:sz w:val="18"/>
              </w:rPr>
              <w:t>Consolidation, self-audit, and re-planning</w:t>
            </w:r>
          </w:p>
        </w:tc>
        <w:tc>
          <w:tcPr>
            <w:tcW w:type="dxa" w:w="6192"/>
            <w:shd w:val="clear" w:fill="F2F6FA"/>
          </w:tcPr>
          <w:p>
            <w:r/>
            <w:r>
              <w:rPr>
                <w:sz w:val="18"/>
              </w:rPr>
              <w:t>A self-generated whole-project status report (evidence cutoff 3 Aug 2026) consolidates all quantitative results and explicitly flags unresolved issues (LTA NaN fitting branch, inconsistent DFT method generations, weak NAM-on-substrate signal). Multiple new strategy documents dated 7 Aug 2026 (NAM capture strategies, NAM detection experimental plan, SERS substrate procurement, boronic-acid design rationale, R6G research briefing) indicate an active re-planning push for the NAM-on-substrate detection phase, which is the project's current focus at the time of this report.</w:t>
            </w:r>
          </w:p>
        </w:tc>
      </w:tr>
    </w:tbl>
    <w:p>
      <w:pPr>
        <w:spacing w:after="40"/>
      </w:pPr>
    </w:p>
    <w:p>
      <w:r>
        <w:br w:type="page"/>
      </w:r>
    </w:p>
    <w:p>
      <w:pPr>
        <w:pStyle w:val="Heading1"/>
      </w:pPr>
      <w:r>
        <w:t>6. Simulation Studies</w:t>
      </w:r>
    </w:p>
    <w:p>
      <w:pPr>
        <w:spacing w:after="120"/>
      </w:pPr>
      <w:r>
        <w:rPr>
          <w:b w:val="0"/>
          <w:i w:val="0"/>
        </w:rPr>
        <w:t>All computational work in this project uses Gaussian (versions 09 and 16, both appear in the project's files) for geometry optimisation and harmonic-frequency/Raman-activity calculation, generally at the B3LYP density functional. Structures were sourced from PubChem and built/pre-optimised in Avogadro or GaussView before submission to the institute HPC cluster (an HPC user-approval form on file confirms cluster access was requested under this project). ORCA was attempted early in the project as an alternative but abandoned in favour of Gaussian.</w:t>
      </w:r>
    </w:p>
    <w:p>
      <w:pPr>
        <w:pStyle w:val="Heading2"/>
      </w:pPr>
      <w:r>
        <w:t>6.1 NAM Simulation</w:t>
      </w:r>
    </w:p>
    <w:p>
      <w:pPr>
        <w:spacing w:after="120"/>
      </w:pPr>
      <w:r>
        <w:rPr>
          <w:b w:val="0"/>
          <w:i w:val="0"/>
        </w:rPr>
        <w:t>NAM (C₁₁H₁₉NO₈, PubChem CID 5462244, Sigma-Aldrich A3007) is small enough for direct whole-molecule DFT, and is the only one of the three target biomarkers for which this project achieved a fully successful, well-validated whole-molecule calculation.</w:t>
      </w:r>
    </w:p>
    <w:p>
      <w:pPr>
        <w:spacing w:after="120"/>
      </w:pPr>
      <w:r>
        <w:rPr>
          <w:b w:val="0"/>
          <w:i w:val="0"/>
        </w:rPr>
        <w:t>Two calculation generations exist and are both present in the project files: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1872"/>
            <w:shd w:val="clear" w:fill="2E74B5"/>
          </w:tcPr>
          <w:p>
            <w:r/>
            <w:r>
              <w:rPr>
                <w:b/>
                <w:color w:val="FFFFFF"/>
                <w:sz w:val="19"/>
              </w:rPr>
            </w:r>
          </w:p>
        </w:tc>
        <w:tc>
          <w:tcPr>
            <w:tcW w:type="dxa" w:w="3888"/>
            <w:shd w:val="clear" w:fill="2E74B5"/>
          </w:tcPr>
          <w:p>
            <w:r/>
            <w:r>
              <w:rPr>
                <w:b/>
                <w:color w:val="FFFFFF"/>
                <w:sz w:val="19"/>
              </w:rPr>
              <w:t>Generation 1 (superseded)</w:t>
            </w:r>
          </w:p>
        </w:tc>
        <w:tc>
          <w:tcPr>
            <w:tcW w:type="dxa" w:w="4320"/>
            <w:shd w:val="clear" w:fill="2E74B5"/>
          </w:tcPr>
          <w:p>
            <w:r/>
            <w:r>
              <w:rPr>
                <w:b/>
                <w:color w:val="FFFFFF"/>
                <w:sz w:val="19"/>
              </w:rPr>
              <w:t>Generation 2 (current / most authoritative)</w:t>
            </w:r>
          </w:p>
        </w:tc>
      </w:tr>
      <w:tr>
        <w:tc>
          <w:tcPr>
            <w:tcW w:type="dxa" w:w="1872"/>
          </w:tcPr>
          <w:p>
            <w:r/>
            <w:r>
              <w:rPr>
                <w:sz w:val="18"/>
              </w:rPr>
              <w:t>Software</w:t>
            </w:r>
          </w:p>
        </w:tc>
        <w:tc>
          <w:tcPr>
            <w:tcW w:type="dxa" w:w="3888"/>
          </w:tcPr>
          <w:p>
            <w:r/>
            <w:r>
              <w:rPr>
                <w:sz w:val="18"/>
              </w:rPr>
              <w:t>Gaussian 09</w:t>
            </w:r>
          </w:p>
        </w:tc>
        <w:tc>
          <w:tcPr>
            <w:tcW w:type="dxa" w:w="4320"/>
          </w:tcPr>
          <w:p>
            <w:r/>
            <w:r>
              <w:rPr>
                <w:sz w:val="18"/>
              </w:rPr>
              <w:t>Gaussian 16</w:t>
            </w:r>
          </w:p>
        </w:tc>
      </w:tr>
      <w:tr>
        <w:tc>
          <w:tcPr>
            <w:tcW w:type="dxa" w:w="1872"/>
            <w:shd w:val="clear" w:fill="F2F6FA"/>
          </w:tcPr>
          <w:p>
            <w:r/>
            <w:r>
              <w:rPr>
                <w:sz w:val="18"/>
              </w:rPr>
              <w:t>Method / basis</w:t>
            </w:r>
          </w:p>
        </w:tc>
        <w:tc>
          <w:tcPr>
            <w:tcW w:type="dxa" w:w="3888"/>
            <w:shd w:val="clear" w:fill="F2F6FA"/>
          </w:tcPr>
          <w:p>
            <w:r/>
            <w:r>
              <w:rPr>
                <w:sz w:val="18"/>
              </w:rPr>
              <w:t>B3LYP/6-311+G(d,p), no dispersion correction, default optimisation</w:t>
            </w:r>
          </w:p>
        </w:tc>
        <w:tc>
          <w:tcPr>
            <w:tcW w:type="dxa" w:w="4320"/>
            <w:shd w:val="clear" w:fill="F2F6FA"/>
          </w:tcPr>
          <w:p>
            <w:r/>
            <w:r>
              <w:rPr>
                <w:sz w:val="18"/>
              </w:rPr>
              <w:t>B3LYP-D3BJ/6-311++G(d,p) (Grimme D3 dispersion, Becke-Johnson damping), tight optimisation with calculated force constants, ultrafine integration grid, tight SCF</w:t>
            </w:r>
          </w:p>
        </w:tc>
      </w:tr>
      <w:tr>
        <w:tc>
          <w:tcPr>
            <w:tcW w:type="dxa" w:w="1872"/>
          </w:tcPr>
          <w:p>
            <w:r/>
            <w:r>
              <w:rPr>
                <w:sz w:val="18"/>
              </w:rPr>
              <w:t>Phase / model</w:t>
            </w:r>
          </w:p>
        </w:tc>
        <w:tc>
          <w:tcPr>
            <w:tcW w:type="dxa" w:w="3888"/>
          </w:tcPr>
          <w:p>
            <w:r/>
            <w:r>
              <w:rPr>
                <w:sz w:val="18"/>
              </w:rPr>
              <w:t>Gas-phase, isolated molecule, β-anomer only</w:t>
            </w:r>
          </w:p>
        </w:tc>
        <w:tc>
          <w:tcPr>
            <w:tcW w:type="dxa" w:w="4320"/>
          </w:tcPr>
          <w:p>
            <w:r/>
            <w:r>
              <w:rPr>
                <w:sz w:val="18"/>
              </w:rPr>
              <w:t>Gas-phase, isolated molecule, β-anomer only (same limitation carried forward)</w:t>
            </w:r>
          </w:p>
        </w:tc>
      </w:tr>
      <w:tr>
        <w:tc>
          <w:tcPr>
            <w:tcW w:type="dxa" w:w="1872"/>
            <w:shd w:val="clear" w:fill="F2F6FA"/>
          </w:tcPr>
          <w:p>
            <w:r/>
            <w:r>
              <w:rPr>
                <w:sz w:val="18"/>
              </w:rPr>
              <w:t>Vibrational modes</w:t>
            </w:r>
          </w:p>
        </w:tc>
        <w:tc>
          <w:tcPr>
            <w:tcW w:type="dxa" w:w="3888"/>
            <w:shd w:val="clear" w:fill="F2F6FA"/>
          </w:tcPr>
          <w:p>
            <w:r/>
            <w:r>
              <w:rPr>
                <w:sz w:val="18"/>
              </w:rPr>
              <w:t>111 normal modes (3N−6, N=39 atoms)</w:t>
            </w:r>
          </w:p>
        </w:tc>
        <w:tc>
          <w:tcPr>
            <w:tcW w:type="dxa" w:w="4320"/>
            <w:shd w:val="clear" w:fill="F2F6FA"/>
          </w:tcPr>
          <w:p>
            <w:r/>
            <w:r>
              <w:rPr>
                <w:sz w:val="18"/>
              </w:rPr>
              <w:t>111 normal modes; confirmed true minimum (zero imaginary frequencies)</w:t>
            </w:r>
          </w:p>
        </w:tc>
      </w:tr>
      <w:tr>
        <w:tc>
          <w:tcPr>
            <w:tcW w:type="dxa" w:w="1872"/>
          </w:tcPr>
          <w:p>
            <w:r/>
            <w:r>
              <w:rPr>
                <w:sz w:val="18"/>
              </w:rPr>
              <w:t>Fit to experiment</w:t>
            </w:r>
          </w:p>
        </w:tc>
        <w:tc>
          <w:tcPr>
            <w:tcW w:type="dxa" w:w="3888"/>
          </w:tcPr>
          <w:p>
            <w:r/>
            <w:r>
              <w:rPr>
                <w:sz w:val="18"/>
              </w:rPr>
              <w:t>MAE 9.4–9.8 cm⁻¹, RMSE 10.7–11.0 cm⁻¹, r = 0.9996</w:t>
            </w:r>
          </w:p>
        </w:tc>
        <w:tc>
          <w:tcPr>
            <w:tcW w:type="dxa" w:w="4320"/>
          </w:tcPr>
          <w:p>
            <w:r/>
            <w:r>
              <w:rPr>
                <w:sz w:val="18"/>
              </w:rPr>
              <w:t>MAE 9.1–9.3 cm⁻¹, RMSE 10.2–10.3 cm⁻¹, r = 0.9996–0.99967</w:t>
            </w:r>
          </w:p>
        </w:tc>
      </w:tr>
      <w:tr>
        <w:tc>
          <w:tcPr>
            <w:tcW w:type="dxa" w:w="1872"/>
            <w:shd w:val="clear" w:fill="F2F6FA"/>
          </w:tcPr>
          <w:p>
            <w:r/>
            <w:r>
              <w:rPr>
                <w:sz w:val="18"/>
              </w:rPr>
              <w:t>What changed</w:t>
            </w:r>
          </w:p>
        </w:tc>
        <w:tc>
          <w:tcPr>
            <w:tcW w:type="dxa" w:w="3888"/>
            <w:shd w:val="clear" w:fill="F2F6FA"/>
          </w:tcPr>
          <w:p>
            <w:r/>
            <w:r>
              <w:rPr>
                <w:sz w:val="18"/>
              </w:rPr>
              <w:t>Left the 872 cm⁻¹ and 956 cm⁻¹ experimental bands unassigned</w:t>
            </w:r>
          </w:p>
        </w:tc>
        <w:tc>
          <w:tcPr>
            <w:tcW w:type="dxa" w:w="4320"/>
            <w:shd w:val="clear" w:fill="F2F6FA"/>
          </w:tcPr>
          <w:p>
            <w:r/>
            <w:r>
              <w:rPr>
                <w:sz w:val="18"/>
              </w:rPr>
              <w:t>Resolved 872 cm⁻¹ as hydroxymethyl wagging; sharpened the mechanistic case that the 730/731 cm⁻¹ mode is a carboxylic-acid O–H wag (47.9% of atomic displacement, only 0.5% ring character) — evidence against this mode being the origin of a commonly cited “730 cm⁻¹ bacterial SERS marker band,” since that proton is absent once muramic acid is amide-linked inside intact peptidoglycan</w:t>
            </w:r>
          </w:p>
        </w:tc>
      </w:tr>
    </w:tbl>
    <w:p>
      <w:pPr>
        <w:spacing w:after="40"/>
      </w:pPr>
    </w:p>
    <w:p>
      <w:pPr>
        <w:spacing w:after="120"/>
      </w:pPr>
      <w:r>
        <w:rPr>
          <w:b w:val="0"/>
          <w:i w:val="0"/>
        </w:rPr>
        <w:t>A separate whole-molecule NAM calculation also exists in the “20-04” raw-data folder (Gaussian 16, B3LYP/6-31+G(d,p), a third basis-set variant, converged SCF energy −1087.24345062 Hartree). The masters thesis document (finalmtp.docx) reports an NAM fit of “51 matched peaks, RMSE ≈ 2.1 cm⁻¹” from this or a related run — a result markedly better than the archive's own internally-validated 30/41-peak, RMSE ≈ 10.3 cm⁻¹ figure. The project's own internal methodological review (REPO_REVIEW.md, in NAM_paper_analysis/) demonstrates that an earlier, similarly optimistic “RMSE 2.12 cm⁻¹ / 51 matched peaks” claim was a statistical artefact of an overly wide (±10 cm⁻¹) peak-matching window that silently drops disagreeing bands, and that a defensible, honest matching window (±18 cm⁻¹, discrete mode assignment) gives the ~10 cm⁻¹ RMSE figures used in the final archive. This report treats the MAE ≈ 9.3 cm⁻¹ / RMSE ≈ 10.3 cm⁻¹ figures as the authoritative NAM result and flags the finalmtp.docx 2.1 cm⁻¹ figure as very likely subject to the same artefact (Section 20).</w:t>
      </w:r>
    </w:p>
    <w:p>
      <w:pPr>
        <w:pStyle w:val="Heading3"/>
      </w:pPr>
      <w:r>
        <w:t>NAM — Key vibrational assignments (final Gaussian 16 calculation)</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736"/>
            <w:shd w:val="clear" w:fill="2E74B5"/>
          </w:tcPr>
          <w:p>
            <w:r/>
            <w:r>
              <w:rPr>
                <w:b/>
                <w:color w:val="FFFFFF"/>
                <w:sz w:val="19"/>
              </w:rPr>
              <w:t>Experimental peak (cm⁻¹)</w:t>
            </w:r>
          </w:p>
        </w:tc>
        <w:tc>
          <w:tcPr>
            <w:tcW w:type="dxa" w:w="2448"/>
            <w:shd w:val="clear" w:fill="2E74B5"/>
          </w:tcPr>
          <w:p>
            <w:r/>
            <w:r>
              <w:rPr>
                <w:b/>
                <w:color w:val="FFFFFF"/>
                <w:sz w:val="19"/>
              </w:rPr>
              <w:t>Calculated (scaled, cm⁻¹)</w:t>
            </w:r>
          </w:p>
        </w:tc>
        <w:tc>
          <w:tcPr>
            <w:tcW w:type="dxa" w:w="1584"/>
            <w:shd w:val="clear" w:fill="2E74B5"/>
          </w:tcPr>
          <w:p>
            <w:r/>
            <w:r>
              <w:rPr>
                <w:b/>
                <w:color w:val="FFFFFF"/>
                <w:sz w:val="19"/>
              </w:rPr>
              <w:t>Confidence</w:t>
            </w:r>
          </w:p>
        </w:tc>
        <w:tc>
          <w:tcPr>
            <w:tcW w:type="dxa" w:w="4752"/>
            <w:shd w:val="clear" w:fill="2E74B5"/>
          </w:tcPr>
          <w:p>
            <w:r/>
            <w:r>
              <w:rPr>
                <w:b/>
                <w:color w:val="FFFFFF"/>
                <w:sz w:val="19"/>
              </w:rPr>
              <w:t>Assignment</w:t>
            </w:r>
          </w:p>
        </w:tc>
      </w:tr>
      <w:tr>
        <w:tc>
          <w:tcPr>
            <w:tcW w:type="dxa" w:w="2736"/>
          </w:tcPr>
          <w:p>
            <w:r/>
            <w:r>
              <w:rPr>
                <w:sz w:val="18"/>
              </w:rPr>
              <w:t>458.0</w:t>
            </w:r>
          </w:p>
        </w:tc>
        <w:tc>
          <w:tcPr>
            <w:tcW w:type="dxa" w:w="2448"/>
          </w:tcPr>
          <w:p>
            <w:r/>
            <w:r>
              <w:rPr>
                <w:sz w:val="18"/>
              </w:rPr>
              <w:t>460.45</w:t>
            </w:r>
          </w:p>
        </w:tc>
        <w:tc>
          <w:tcPr>
            <w:tcW w:type="dxa" w:w="1584"/>
          </w:tcPr>
          <w:p>
            <w:r/>
            <w:r>
              <w:rPr>
                <w:sz w:val="18"/>
              </w:rPr>
              <w:t>High</w:t>
            </w:r>
          </w:p>
        </w:tc>
        <w:tc>
          <w:tcPr>
            <w:tcW w:type="dxa" w:w="4752"/>
          </w:tcPr>
          <w:p>
            <w:r/>
            <w:r>
              <w:rPr>
                <w:sz w:val="18"/>
              </w:rPr>
              <w:t>Pyranose skeletal deformation</w:t>
            </w:r>
          </w:p>
        </w:tc>
      </w:tr>
      <w:tr>
        <w:tc>
          <w:tcPr>
            <w:tcW w:type="dxa" w:w="2736"/>
            <w:shd w:val="clear" w:fill="F2F6FA"/>
          </w:tcPr>
          <w:p>
            <w:r/>
            <w:r>
              <w:rPr>
                <w:sz w:val="18"/>
              </w:rPr>
              <w:t>744.0 (bacterial “730 cm⁻¹” region)</w:t>
            </w:r>
          </w:p>
        </w:tc>
        <w:tc>
          <w:tcPr>
            <w:tcW w:type="dxa" w:w="2448"/>
            <w:shd w:val="clear" w:fill="F2F6FA"/>
          </w:tcPr>
          <w:p>
            <w:r/>
            <w:r>
              <w:rPr>
                <w:sz w:val="18"/>
              </w:rPr>
              <w:t>731.27</w:t>
            </w:r>
          </w:p>
        </w:tc>
        <w:tc>
          <w:tcPr>
            <w:tcW w:type="dxa" w:w="1584"/>
            <w:shd w:val="clear" w:fill="F2F6FA"/>
          </w:tcPr>
          <w:p>
            <w:r/>
            <w:r>
              <w:rPr>
                <w:sz w:val="18"/>
              </w:rPr>
              <w:t>High</w:t>
            </w:r>
          </w:p>
        </w:tc>
        <w:tc>
          <w:tcPr>
            <w:tcW w:type="dxa" w:w="4752"/>
            <w:shd w:val="clear" w:fill="F2F6FA"/>
          </w:tcPr>
          <w:p>
            <w:r/>
            <w:r>
              <w:rPr>
                <w:sz w:val="18"/>
              </w:rPr>
              <w:t>Carboxylic-acid O–H out-of-plane wag (47.9% displacement, 0.5% ring character) — argues against a muramic-acid origin for this commonly cited bacterial SERS marker band</w:t>
            </w:r>
          </w:p>
        </w:tc>
      </w:tr>
      <w:tr>
        <w:tc>
          <w:tcPr>
            <w:tcW w:type="dxa" w:w="2736"/>
          </w:tcPr>
          <w:p>
            <w:r/>
            <w:r>
              <w:rPr>
                <w:sz w:val="18"/>
              </w:rPr>
              <w:t>871.0 / 872</w:t>
            </w:r>
          </w:p>
        </w:tc>
        <w:tc>
          <w:tcPr>
            <w:tcW w:type="dxa" w:w="2448"/>
          </w:tcPr>
          <w:p>
            <w:r/>
            <w:r>
              <w:rPr>
                <w:sz w:val="18"/>
              </w:rPr>
              <w:t>872.97</w:t>
            </w:r>
          </w:p>
        </w:tc>
        <w:tc>
          <w:tcPr>
            <w:tcW w:type="dxa" w:w="1584"/>
          </w:tcPr>
          <w:p>
            <w:r/>
            <w:r>
              <w:rPr>
                <w:sz w:val="18"/>
              </w:rPr>
              <w:t>High</w:t>
            </w:r>
          </w:p>
        </w:tc>
        <w:tc>
          <w:tcPr>
            <w:tcW w:type="dxa" w:w="4752"/>
          </w:tcPr>
          <w:p>
            <w:r/>
            <w:r>
              <w:rPr>
                <w:sz w:val="18"/>
              </w:rPr>
              <w:t>Hydroxymethyl (CH₂OH) wagging</w:t>
            </w:r>
          </w:p>
        </w:tc>
      </w:tr>
      <w:tr>
        <w:tc>
          <w:tcPr>
            <w:tcW w:type="dxa" w:w="2736"/>
            <w:shd w:val="clear" w:fill="F2F6FA"/>
          </w:tcPr>
          <w:p>
            <w:r/>
            <w:r>
              <w:rPr>
                <w:sz w:val="18"/>
              </w:rPr>
              <w:t>930.0 / 955.9</w:t>
            </w:r>
          </w:p>
        </w:tc>
        <w:tc>
          <w:tcPr>
            <w:tcW w:type="dxa" w:w="2448"/>
            <w:shd w:val="clear" w:fill="F2F6FA"/>
          </w:tcPr>
          <w:p>
            <w:r/>
            <w:r>
              <w:rPr>
                <w:sz w:val="18"/>
              </w:rPr>
              <w:t>926.67</w:t>
            </w:r>
          </w:p>
        </w:tc>
        <w:tc>
          <w:tcPr>
            <w:tcW w:type="dxa" w:w="1584"/>
            <w:shd w:val="clear" w:fill="F2F6FA"/>
          </w:tcPr>
          <w:p>
            <w:r/>
            <w:r>
              <w:rPr>
                <w:sz w:val="18"/>
              </w:rPr>
              <w:t>High</w:t>
            </w:r>
          </w:p>
        </w:tc>
        <w:tc>
          <w:tcPr>
            <w:tcW w:type="dxa" w:w="4752"/>
            <w:shd w:val="clear" w:fill="F2F6FA"/>
          </w:tcPr>
          <w:p>
            <w:r/>
            <w:r>
              <w:rPr>
                <w:sz w:val="18"/>
              </w:rPr>
              <w:t>Pyranose ring breathing — repeatedly identified across multiple independent analyses as the key NAM / bacterial-cell-wall diagnostic marker band</w:t>
            </w:r>
          </w:p>
        </w:tc>
      </w:tr>
      <w:tr>
        <w:tc>
          <w:tcPr>
            <w:tcW w:type="dxa" w:w="2736"/>
          </w:tcPr>
          <w:p>
            <w:r/>
            <w:r>
              <w:rPr>
                <w:sz w:val="18"/>
              </w:rPr>
              <w:t>1730.0</w:t>
            </w:r>
          </w:p>
        </w:tc>
        <w:tc>
          <w:tcPr>
            <w:tcW w:type="dxa" w:w="2448"/>
          </w:tcPr>
          <w:p>
            <w:r/>
            <w:r>
              <w:rPr>
                <w:sz w:val="18"/>
              </w:rPr>
              <w:t>1722.82</w:t>
            </w:r>
          </w:p>
        </w:tc>
        <w:tc>
          <w:tcPr>
            <w:tcW w:type="dxa" w:w="1584"/>
          </w:tcPr>
          <w:p>
            <w:r/>
            <w:r>
              <w:rPr>
                <w:sz w:val="18"/>
              </w:rPr>
              <w:t>Tentative</w:t>
            </w:r>
          </w:p>
        </w:tc>
        <w:tc>
          <w:tcPr>
            <w:tcW w:type="dxa" w:w="4752"/>
          </w:tcPr>
          <w:p>
            <w:r/>
            <w:r>
              <w:rPr>
                <w:sz w:val="18"/>
              </w:rPr>
              <w:t>Amide-linked carbonyl (C=O) stretch</w:t>
            </w:r>
          </w:p>
        </w:tc>
      </w:tr>
      <w:tr>
        <w:tc>
          <w:tcPr>
            <w:tcW w:type="dxa" w:w="2736"/>
            <w:shd w:val="clear" w:fill="F2F6FA"/>
          </w:tcPr>
          <w:p>
            <w:r/>
            <w:r>
              <w:rPr>
                <w:sz w:val="18"/>
              </w:rPr>
              <w:t>1769.0</w:t>
            </w:r>
          </w:p>
        </w:tc>
        <w:tc>
          <w:tcPr>
            <w:tcW w:type="dxa" w:w="2448"/>
            <w:shd w:val="clear" w:fill="F2F6FA"/>
          </w:tcPr>
          <w:p>
            <w:r/>
            <w:r>
              <w:rPr>
                <w:sz w:val="18"/>
              </w:rPr>
              <w:t>1759.24</w:t>
            </w:r>
          </w:p>
        </w:tc>
        <w:tc>
          <w:tcPr>
            <w:tcW w:type="dxa" w:w="1584"/>
            <w:shd w:val="clear" w:fill="F2F6FA"/>
          </w:tcPr>
          <w:p>
            <w:r/>
            <w:r>
              <w:rPr>
                <w:sz w:val="18"/>
              </w:rPr>
              <w:t>High</w:t>
            </w:r>
          </w:p>
        </w:tc>
        <w:tc>
          <w:tcPr>
            <w:tcW w:type="dxa" w:w="4752"/>
            <w:shd w:val="clear" w:fill="F2F6FA"/>
          </w:tcPr>
          <w:p>
            <w:r/>
            <w:r>
              <w:rPr>
                <w:sz w:val="18"/>
              </w:rPr>
              <w:t>Carbonyl-region vibration</w:t>
            </w:r>
          </w:p>
        </w:tc>
      </w:tr>
    </w:tbl>
    <w:p>
      <w:pPr>
        <w:spacing w:after="40"/>
      </w:pPr>
    </w:p>
    <w:p>
      <w:pPr>
        <w:spacing w:after="160"/>
        <w:ind w:left="360"/>
      </w:pPr>
      <w:r>
        <w:rPr>
          <w:i/>
          <w:color w:val="555555"/>
          <w:sz w:val="19"/>
        </w:rPr>
        <w:t>Full table: 41 reproducible experimental bands (32 high-confidence, 9 tentative) between 400–1800 cm⁻¹, of which 30 matched a calculated mode within ±18 cm⁻¹. Nine unmatched bands (772, 830, 956, 1517, 1589, 1637, 1652, 1663, 1702, 1785, 1797 cm⁻¹) remain unassigned, concentrated above 1500 cm⁻¹ (amide I/II, carboxyl C=O region) — the weakest-covered part of the spectrum.</w:t>
      </w:r>
    </w:p>
    <w:p>
      <w:pPr>
        <w:spacing w:after="120"/>
      </w:pPr>
      <w:r>
        <w:rPr>
          <w:b w:val="0"/>
          <w:i w:val="0"/>
        </w:rPr>
        <w:t>NAM sample: Sigma-Aldrich A3007, CAS 10597-89-4, purity ≥98% (TLC), powder placed directly on a glass slide with no purification. The physical sample is an α/β anomeric mixture (no stereo-descriptor at the anomeric carbon), whereas the DFT model covers only the β anomer — an explicitly unresolved discrepancy that may explain two still-unmatched bands (831, 956 cm⁻¹) that have been repeatedly proposed, but never confirmed, as α-anomer-specific.</w:t>
      </w:r>
    </w:p>
    <w:p>
      <w:pPr>
        <w:pStyle w:val="Heading2"/>
      </w:pPr>
      <w:r>
        <w:t>6.2 LPS Simulation</w:t>
      </w:r>
    </w:p>
    <w:p>
      <w:pPr>
        <w:spacing w:after="120"/>
      </w:pPr>
      <w:r>
        <w:rPr>
          <w:b w:val="0"/>
          <w:i w:val="0"/>
        </w:rPr>
        <w:t>Full-molecule LPS (and even full Lipid A) is too large for direct DFT treatment. The project instead computed five representative molecular fragments, each independently optimised and frequency-calculated at B3LYP/6-31G(d): 3-deoxy-D-manno-octulosonic acid (KDO, a core LPS sugar), D-glucosamine (Lipid A backbone unit), L-glycero-D-manno-heptose (core sugar), myristic acid (a Lipid A fatty-acid chain), and phosphoric acid (phosphate group proxy). A separate, more ambitious attempt to build and run a full “Lipid A proxy” structure (E. coli O111:B4, C₃₅H₆₂N₂O₁₈P₂²⁻, 119 atoms) was prepared with three different, mutually inconsistent calculation setups (HF/3-21G with an internally contradictory charge; B3LYP/6-31G(d)+D3BJ; B3LYP/6-31G(d) without dispersion) — but no completed Gaussian output exists anywhere in the project for this whole-molecule attempt; only input-generation tooling and a workflow guide exist. This whole-molecule LPS calculation has therefore never actually been run.</w:t>
      </w:r>
    </w:p>
    <w:p>
      <w:pPr>
        <w:spacing w:after="120"/>
      </w:pPr>
      <w:r>
        <w:rPr>
          <w:b w:val="0"/>
          <w:i w:val="0"/>
        </w:rPr>
        <w:t>The five LPS fragment spectra were combined by non-negative least-squares (NNLS) fitting against a specific experimental LPS powder spectrum (60 s integration, 20% laser power, 30 accumulations — determined as the optimal acquisition condition after testing several combinations):</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3744"/>
            <w:shd w:val="clear" w:fill="2E74B5"/>
          </w:tcPr>
          <w:p>
            <w:r/>
            <w:r>
              <w:rPr>
                <w:b/>
                <w:color w:val="FFFFFF"/>
                <w:sz w:val="19"/>
              </w:rPr>
              <w:t>Fragment</w:t>
            </w:r>
          </w:p>
        </w:tc>
        <w:tc>
          <w:tcPr>
            <w:tcW w:type="dxa" w:w="2448"/>
            <w:shd w:val="clear" w:fill="2E74B5"/>
          </w:tcPr>
          <w:p>
            <w:r/>
            <w:r>
              <w:rPr>
                <w:b/>
                <w:color w:val="FFFFFF"/>
                <w:sz w:val="19"/>
              </w:rPr>
              <w:t>NNLS weight</w:t>
            </w:r>
          </w:p>
        </w:tc>
        <w:tc>
          <w:tcPr>
            <w:tcW w:type="dxa" w:w="3888"/>
            <w:shd w:val="clear" w:fill="2E74B5"/>
          </w:tcPr>
          <w:p>
            <w:r/>
            <w:r>
              <w:rPr>
                <w:b/>
                <w:color w:val="FFFFFF"/>
                <w:sz w:val="19"/>
              </w:rPr>
              <w:t>Share of composite spectrum</w:t>
            </w:r>
          </w:p>
        </w:tc>
      </w:tr>
      <w:tr>
        <w:tc>
          <w:tcPr>
            <w:tcW w:type="dxa" w:w="3744"/>
          </w:tcPr>
          <w:p>
            <w:r/>
            <w:r>
              <w:rPr>
                <w:sz w:val="18"/>
              </w:rPr>
              <w:t>KDO</w:t>
            </w:r>
          </w:p>
        </w:tc>
        <w:tc>
          <w:tcPr>
            <w:tcW w:type="dxa" w:w="2448"/>
          </w:tcPr>
          <w:p>
            <w:r/>
            <w:r>
              <w:rPr>
                <w:sz w:val="18"/>
              </w:rPr>
              <w:t>0.4730</w:t>
            </w:r>
          </w:p>
        </w:tc>
        <w:tc>
          <w:tcPr>
            <w:tcW w:type="dxa" w:w="3888"/>
          </w:tcPr>
          <w:p>
            <w:r/>
            <w:r>
              <w:rPr>
                <w:sz w:val="18"/>
              </w:rPr>
              <w:t>47.3% (dominant contributor)</w:t>
            </w:r>
          </w:p>
        </w:tc>
      </w:tr>
      <w:tr>
        <w:tc>
          <w:tcPr>
            <w:tcW w:type="dxa" w:w="3744"/>
            <w:shd w:val="clear" w:fill="F2F6FA"/>
          </w:tcPr>
          <w:p>
            <w:r/>
            <w:r>
              <w:rPr>
                <w:sz w:val="18"/>
              </w:rPr>
              <w:t>L-glycero-D-manno-heptose</w:t>
            </w:r>
          </w:p>
        </w:tc>
        <w:tc>
          <w:tcPr>
            <w:tcW w:type="dxa" w:w="2448"/>
            <w:shd w:val="clear" w:fill="F2F6FA"/>
          </w:tcPr>
          <w:p>
            <w:r/>
            <w:r>
              <w:rPr>
                <w:sz w:val="18"/>
              </w:rPr>
              <w:t>0.2577</w:t>
            </w:r>
          </w:p>
        </w:tc>
        <w:tc>
          <w:tcPr>
            <w:tcW w:type="dxa" w:w="3888"/>
            <w:shd w:val="clear" w:fill="F2F6FA"/>
          </w:tcPr>
          <w:p>
            <w:r/>
            <w:r>
              <w:rPr>
                <w:sz w:val="18"/>
              </w:rPr>
              <w:t>25.8%</w:t>
            </w:r>
          </w:p>
        </w:tc>
      </w:tr>
      <w:tr>
        <w:tc>
          <w:tcPr>
            <w:tcW w:type="dxa" w:w="3744"/>
          </w:tcPr>
          <w:p>
            <w:r/>
            <w:r>
              <w:rPr>
                <w:sz w:val="18"/>
              </w:rPr>
              <w:t>D-glucosamine</w:t>
            </w:r>
          </w:p>
        </w:tc>
        <w:tc>
          <w:tcPr>
            <w:tcW w:type="dxa" w:w="2448"/>
          </w:tcPr>
          <w:p>
            <w:r/>
            <w:r>
              <w:rPr>
                <w:sz w:val="18"/>
              </w:rPr>
              <w:t>0.1527</w:t>
            </w:r>
          </w:p>
        </w:tc>
        <w:tc>
          <w:tcPr>
            <w:tcW w:type="dxa" w:w="3888"/>
          </w:tcPr>
          <w:p>
            <w:r/>
            <w:r>
              <w:rPr>
                <w:sz w:val="18"/>
              </w:rPr>
              <w:t>15.3%</w:t>
            </w:r>
          </w:p>
        </w:tc>
      </w:tr>
      <w:tr>
        <w:tc>
          <w:tcPr>
            <w:tcW w:type="dxa" w:w="3744"/>
            <w:shd w:val="clear" w:fill="F2F6FA"/>
          </w:tcPr>
          <w:p>
            <w:r/>
            <w:r>
              <w:rPr>
                <w:sz w:val="18"/>
              </w:rPr>
              <w:t>Myristic acid</w:t>
            </w:r>
          </w:p>
        </w:tc>
        <w:tc>
          <w:tcPr>
            <w:tcW w:type="dxa" w:w="2448"/>
            <w:shd w:val="clear" w:fill="F2F6FA"/>
          </w:tcPr>
          <w:p>
            <w:r/>
            <w:r>
              <w:rPr>
                <w:sz w:val="18"/>
              </w:rPr>
              <w:t>0.1165</w:t>
            </w:r>
          </w:p>
        </w:tc>
        <w:tc>
          <w:tcPr>
            <w:tcW w:type="dxa" w:w="3888"/>
            <w:shd w:val="clear" w:fill="F2F6FA"/>
          </w:tcPr>
          <w:p>
            <w:r/>
            <w:r>
              <w:rPr>
                <w:sz w:val="18"/>
              </w:rPr>
              <w:t>11.7%</w:t>
            </w:r>
          </w:p>
        </w:tc>
      </w:tr>
      <w:tr>
        <w:tc>
          <w:tcPr>
            <w:tcW w:type="dxa" w:w="3744"/>
          </w:tcPr>
          <w:p>
            <w:r/>
            <w:r>
              <w:rPr>
                <w:sz w:val="18"/>
              </w:rPr>
              <w:t>Phosphoric acid</w:t>
            </w:r>
          </w:p>
        </w:tc>
        <w:tc>
          <w:tcPr>
            <w:tcW w:type="dxa" w:w="2448"/>
          </w:tcPr>
          <w:p>
            <w:r/>
            <w:r>
              <w:rPr>
                <w:sz w:val="18"/>
              </w:rPr>
              <w:t>0.0000</w:t>
            </w:r>
          </w:p>
        </w:tc>
        <w:tc>
          <w:tcPr>
            <w:tcW w:type="dxa" w:w="3888"/>
          </w:tcPr>
          <w:p>
            <w:r/>
            <w:r>
              <w:rPr>
                <w:sz w:val="18"/>
              </w:rPr>
              <w:t>0.0% (no measurable contribution)</w:t>
            </w:r>
          </w:p>
        </w:tc>
      </w:tr>
    </w:tbl>
    <w:p>
      <w:pPr>
        <w:spacing w:after="40"/>
      </w:pPr>
    </w:p>
    <w:p>
      <w:pPr>
        <w:spacing w:after="120"/>
      </w:pPr>
      <w:r>
        <w:rPr>
          <w:b w:val="0"/>
          <w:i w:val="0"/>
        </w:rPr>
        <w:t>Fit quality: RMSE = 0.185, R² = 0.180, Pearson r = 0.508 (versus an equal-weighting baseline of RMSE 0.189, R² 0.149, r 0.417 — i.e. NNLS optimisation improves R² by ~21% but the absolute fit remains modest). Best-matching spectral regions were 707–779, 870–892, and 921–945 cm⁻¹; mismatch was concentrated at 331–333, 367–408, 446–461, 821–855, and 1084–1089 cm⁻¹, among others. In plain terms, the five-fragment linear model explains roughly a fifth of the variance in the real LPS powder spectrum — a useful starting decomposition, but not yet a validated predictive model.</w:t>
      </w:r>
    </w:p>
    <w:p>
      <w:pPr>
        <w:spacing w:after="120"/>
      </w:pPr>
      <w:r>
        <w:rPr>
          <w:b w:val="0"/>
          <w:i w:val="0"/>
        </w:rPr>
        <w:t>Literature-derived LPS peak references collected by the project (Yang et al. 2022, RSC) cite 1614, 1003, and 1333 cm⁻¹ as the three most common LPS characteristic peaks, with 857, 1333, and 1593 cm⁻¹ reported as machine-learning discriminating features; a broader literature table lists 735 (C–O–C), 794 (C–O), 857 (glycosidic, key discriminator), 894–917 (sugar ring), 989–1003 (Kdo/carbohydrate), 1131 (Lipid A lipid chain), 1330–1333 (CH deformation), and 2900–2933 cm⁻¹ (CH₂/CH₃, a reported SERS marker region for Lipid A).</w:t>
      </w:r>
    </w:p>
    <w:p>
      <w:pPr>
        <w:pStyle w:val="Heading2"/>
      </w:pPr>
      <w:r>
        <w:t>6.3 LTA Simulation</w:t>
      </w:r>
    </w:p>
    <w:p>
      <w:pPr>
        <w:spacing w:after="120"/>
      </w:pPr>
      <w:r>
        <w:rPr>
          <w:b w:val="0"/>
          <w:i w:val="0"/>
        </w:rPr>
        <w:t>LTA modelling followed the same fragment logic as LPS: glycerol-phosphate (the repeating polymer backbone unit), D-alanine (a common substituent), and N-acetyl-D-glucosamine (GlcNAc, a glycan unit), each computed independently.</w:t>
      </w:r>
    </w:p>
    <w:p>
      <w:pPr>
        <w:spacing w:after="120"/>
      </w:pPr>
      <w:r>
        <w:rPr>
          <w:b w:val="0"/>
          <w:i w:val="0"/>
        </w:rPr>
        <w:t>A whole-molecule LTA calculation was also attempted directly from the PubChem structure (CID 137349712, B3LYP/6-311++G(d,p), Gaussian 09W) but FAILED at the geometry-optimisation step with a “small interatomic distances / atoms too close” error, terminating after only 2 CPU seconds with no SCF energies, frequencies, or Raman activities ever computed. This failure — a starting-geometry problem rather than a fundamental theory-level limitation — is the direct reason the project pivoted to the fragment-based LTA strategy.</w:t>
      </w:r>
    </w:p>
    <w:p>
      <w:pPr>
        <w:spacing w:after="120"/>
      </w:pPr>
      <w:r>
        <w:rPr>
          <w:b w:val="0"/>
          <w:i w:val="0"/>
        </w:rPr>
        <w:t>The standalone glycerol-phosphate fragment calculation succeeded cleanly (Gaussian 16, B3LYP/6-31G(d), SMD implicit water solvent, SCF=Tight, final energy E = −1748.81207109 Hartree, no imaginary frequencies), with key bands at 481 cm⁻¹ (O–P–O bending), 922 cm⁻¹ (P–O–C stretch), 1291 cm⁻¹ (O–H deformation), 3046–3091 cm⁻¹ (C–H stretch), and 3712 cm⁻¹ (O–H stretch).</w:t>
      </w:r>
    </w:p>
    <w:p>
      <w:pPr>
        <w:spacing w:after="120"/>
      </w:pPr>
      <w:r>
        <w:rPr>
          <w:b w:val="0"/>
          <w:i w:val="0"/>
        </w:rPr>
        <w:t>However, the composite (NNLS) fit combining all three LTA fragments against an experimental LTA spectrum (10 s / 70% power / 10 accumulations), in the project's primary “20-04” dataset, FAILED to produce valid output — the fit-summary report literally records the fitted weights and all quality metrics (RMSE, MAE, R², Pearson r) as NaN, indicating the fitting notebook was not fully executed when this report was generated. This is a confirmed, unresolved gap: the LTA composite spectral model has no valid quantitative fit in the primary evidence reviewed. (The masters thesis document, finalmtp.docx, separately reports a specific LTA composite fit of “RMSE ≈ 0.19, Pearson ≈ 0.34” — this number cannot be reconciled with the NaN result in the primary dataset and is flagged in Section 20 as an unresolved inconsistency requiring direct re-verification.)</w:t>
      </w:r>
    </w:p>
    <w:p>
      <w:pPr>
        <w:spacing w:after="120"/>
      </w:pPr>
      <w:r>
        <w:rPr>
          <w:b w:val="0"/>
          <w:i w:val="0"/>
        </w:rPr>
        <w:t>Literature-derived LTA diagnostic peaks compiled by the project: O–P–O bend 481–492 cm⁻¹, P–O–C stretch 920–935 cm⁻¹, and P–O symmetric stretch 815–840 cm⁻¹ — all phosphate-backbone vibrations, consistent with LTA's polyglycerol-phosphate structure and with the project's own successful glycerol-phosphate fragment calculation above.</w:t>
      </w:r>
    </w:p>
    <w:p>
      <w:r>
        <w:br w:type="page"/>
      </w:r>
    </w:p>
    <w:p>
      <w:pPr>
        <w:pStyle w:val="Heading1"/>
      </w:pPr>
      <w:r>
        <w:t>7. Simulation Comparison — NAM vs LPS vs LTA</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1872"/>
            <w:shd w:val="clear" w:fill="2E74B5"/>
          </w:tcPr>
          <w:p>
            <w:r/>
            <w:r>
              <w:rPr>
                <w:b/>
                <w:color w:val="FFFFFF"/>
                <w:sz w:val="19"/>
              </w:rPr>
            </w:r>
          </w:p>
        </w:tc>
        <w:tc>
          <w:tcPr>
            <w:tcW w:type="dxa" w:w="3312"/>
            <w:shd w:val="clear" w:fill="2E74B5"/>
          </w:tcPr>
          <w:p>
            <w:r/>
            <w:r>
              <w:rPr>
                <w:b/>
                <w:color w:val="FFFFFF"/>
                <w:sz w:val="19"/>
              </w:rPr>
              <w:t>NAM</w:t>
            </w:r>
          </w:p>
        </w:tc>
        <w:tc>
          <w:tcPr>
            <w:tcW w:type="dxa" w:w="3312"/>
            <w:shd w:val="clear" w:fill="2E74B5"/>
          </w:tcPr>
          <w:p>
            <w:r/>
            <w:r>
              <w:rPr>
                <w:b/>
                <w:color w:val="FFFFFF"/>
                <w:sz w:val="19"/>
              </w:rPr>
              <w:t>LPS</w:t>
            </w:r>
          </w:p>
        </w:tc>
        <w:tc>
          <w:tcPr>
            <w:tcW w:type="dxa" w:w="3024"/>
            <w:shd w:val="clear" w:fill="2E74B5"/>
          </w:tcPr>
          <w:p>
            <w:r/>
            <w:r>
              <w:rPr>
                <w:b/>
                <w:color w:val="FFFFFF"/>
                <w:sz w:val="19"/>
              </w:rPr>
              <w:t>LTA</w:t>
            </w:r>
          </w:p>
        </w:tc>
      </w:tr>
      <w:tr>
        <w:tc>
          <w:tcPr>
            <w:tcW w:type="dxa" w:w="1872"/>
          </w:tcPr>
          <w:p>
            <w:r/>
            <w:r>
              <w:rPr>
                <w:sz w:val="18"/>
              </w:rPr>
              <w:t>Modelling strategy</w:t>
            </w:r>
          </w:p>
        </w:tc>
        <w:tc>
          <w:tcPr>
            <w:tcW w:type="dxa" w:w="3312"/>
          </w:tcPr>
          <w:p>
            <w:r/>
            <w:r>
              <w:rPr>
                <w:sz w:val="18"/>
              </w:rPr>
              <w:t>Whole molecule (small enough for direct DFT)</w:t>
            </w:r>
          </w:p>
        </w:tc>
        <w:tc>
          <w:tcPr>
            <w:tcW w:type="dxa" w:w="3312"/>
          </w:tcPr>
          <w:p>
            <w:r/>
            <w:r>
              <w:rPr>
                <w:sz w:val="18"/>
              </w:rPr>
              <w:t>Fragment-based (5 fragments); whole-molecule (Lipid A) never run</w:t>
            </w:r>
          </w:p>
        </w:tc>
        <w:tc>
          <w:tcPr>
            <w:tcW w:type="dxa" w:w="3024"/>
          </w:tcPr>
          <w:p>
            <w:r/>
            <w:r>
              <w:rPr>
                <w:sz w:val="18"/>
              </w:rPr>
              <w:t>Fragment-based (3 fragments); whole-molecule attempted, FAILED</w:t>
            </w:r>
          </w:p>
        </w:tc>
      </w:tr>
      <w:tr>
        <w:tc>
          <w:tcPr>
            <w:tcW w:type="dxa" w:w="1872"/>
            <w:shd w:val="clear" w:fill="F2F6FA"/>
          </w:tcPr>
          <w:p>
            <w:r/>
            <w:r>
              <w:rPr>
                <w:sz w:val="18"/>
              </w:rPr>
              <w:t>Theory level</w:t>
            </w:r>
          </w:p>
        </w:tc>
        <w:tc>
          <w:tcPr>
            <w:tcW w:type="dxa" w:w="3312"/>
            <w:shd w:val="clear" w:fill="F2F6FA"/>
          </w:tcPr>
          <w:p>
            <w:r/>
            <w:r>
              <w:rPr>
                <w:sz w:val="18"/>
              </w:rPr>
              <w:t>B3LYP-D3BJ/6-311++G(d,p) (current)</w:t>
            </w:r>
          </w:p>
        </w:tc>
        <w:tc>
          <w:tcPr>
            <w:tcW w:type="dxa" w:w="3312"/>
            <w:shd w:val="clear" w:fill="F2F6FA"/>
          </w:tcPr>
          <w:p>
            <w:r/>
            <w:r>
              <w:rPr>
                <w:sz w:val="18"/>
              </w:rPr>
              <w:t>B3LYP/6-31G(d) per fragment</w:t>
            </w:r>
          </w:p>
        </w:tc>
        <w:tc>
          <w:tcPr>
            <w:tcW w:type="dxa" w:w="3024"/>
            <w:shd w:val="clear" w:fill="F2F6FA"/>
          </w:tcPr>
          <w:p>
            <w:r/>
            <w:r>
              <w:rPr>
                <w:sz w:val="18"/>
              </w:rPr>
              <w:t>B3LYP/6-31G(d) per fragment (glycerol-phosphate run with SMD water solvent)</w:t>
            </w:r>
          </w:p>
        </w:tc>
      </w:tr>
      <w:tr>
        <w:tc>
          <w:tcPr>
            <w:tcW w:type="dxa" w:w="1872"/>
          </w:tcPr>
          <w:p>
            <w:r/>
            <w:r>
              <w:rPr>
                <w:sz w:val="18"/>
              </w:rPr>
              <w:t>Computational maturity</w:t>
            </w:r>
          </w:p>
        </w:tc>
        <w:tc>
          <w:tcPr>
            <w:tcW w:type="dxa" w:w="3312"/>
          </w:tcPr>
          <w:p>
            <w:r/>
            <w:r>
              <w:rPr>
                <w:sz w:val="18"/>
              </w:rPr>
              <w:t>High — validated, reproducible, true energy minimum confirmed</w:t>
            </w:r>
          </w:p>
        </w:tc>
        <w:tc>
          <w:tcPr>
            <w:tcW w:type="dxa" w:w="3312"/>
          </w:tcPr>
          <w:p>
            <w:r/>
            <w:r>
              <w:rPr>
                <w:sz w:val="18"/>
              </w:rPr>
              <w:t>Medium — fragments computed cleanly, but composite assembly (NNLS) only modestly explains experimental spectrum</w:t>
            </w:r>
          </w:p>
        </w:tc>
        <w:tc>
          <w:tcPr>
            <w:tcW w:type="dxa" w:w="3024"/>
          </w:tcPr>
          <w:p>
            <w:r/>
            <w:r>
              <w:rPr>
                <w:sz w:val="18"/>
              </w:rPr>
              <w:t>Low — composite assembly unresolved (NaN) in primary dataset; whole-molecule route blocked by a geometry error</w:t>
            </w:r>
          </w:p>
        </w:tc>
      </w:tr>
      <w:tr>
        <w:tc>
          <w:tcPr>
            <w:tcW w:type="dxa" w:w="1872"/>
            <w:shd w:val="clear" w:fill="F2F6FA"/>
          </w:tcPr>
          <w:p>
            <w:r/>
            <w:r>
              <w:rPr>
                <w:sz w:val="18"/>
              </w:rPr>
              <w:t>Best experimental fit</w:t>
            </w:r>
          </w:p>
        </w:tc>
        <w:tc>
          <w:tcPr>
            <w:tcW w:type="dxa" w:w="3312"/>
            <w:shd w:val="clear" w:fill="F2F6FA"/>
          </w:tcPr>
          <w:p>
            <w:r/>
            <w:r>
              <w:rPr>
                <w:sz w:val="18"/>
              </w:rPr>
              <w:t>30/41 bands matched, MAE 9.27 cm⁻¹, r = 0.9996</w:t>
            </w:r>
          </w:p>
        </w:tc>
        <w:tc>
          <w:tcPr>
            <w:tcW w:type="dxa" w:w="3312"/>
            <w:shd w:val="clear" w:fill="F2F6FA"/>
          </w:tcPr>
          <w:p>
            <w:r/>
            <w:r>
              <w:rPr>
                <w:sz w:val="18"/>
              </w:rPr>
              <w:t>R² = 0.18, r = 0.51 (weak)</w:t>
            </w:r>
          </w:p>
        </w:tc>
        <w:tc>
          <w:tcPr>
            <w:tcW w:type="dxa" w:w="3024"/>
            <w:shd w:val="clear" w:fill="F2F6FA"/>
          </w:tcPr>
          <w:p>
            <w:r/>
            <w:r>
              <w:rPr>
                <w:sz w:val="18"/>
              </w:rPr>
              <w:t>No valid composite fit in primary dataset (NaN); standalone fragment fit not independently benchmarked against a full LTA experimental spectrum</w:t>
            </w:r>
          </w:p>
        </w:tc>
      </w:tr>
      <w:tr>
        <w:tc>
          <w:tcPr>
            <w:tcW w:type="dxa" w:w="1872"/>
          </w:tcPr>
          <w:p>
            <w:r/>
            <w:r>
              <w:rPr>
                <w:sz w:val="18"/>
              </w:rPr>
              <w:t>Diagnostic / characteristic peaks</w:t>
            </w:r>
          </w:p>
        </w:tc>
        <w:tc>
          <w:tcPr>
            <w:tcW w:type="dxa" w:w="3312"/>
          </w:tcPr>
          <w:p>
            <w:r/>
            <w:r>
              <w:rPr>
                <w:sz w:val="18"/>
              </w:rPr>
              <w:t>~930–960 cm⁻¹ (pyranose ring breathing / lactyl-amide linkage — primary cell-wall marker); ~872 cm⁻¹ (hydroxymethyl wag); amide II ~1545–1558 cm⁻¹</w:t>
            </w:r>
          </w:p>
        </w:tc>
        <w:tc>
          <w:tcPr>
            <w:tcW w:type="dxa" w:w="3312"/>
          </w:tcPr>
          <w:p>
            <w:r/>
            <w:r>
              <w:rPr>
                <w:sz w:val="18"/>
              </w:rPr>
              <w:t>CH₂ doublet 2848–2935 cm⁻¹ (Lipid A-specific, literature); P=O 1220–1240 cm⁻¹; 857/1333/1593 cm⁻¹ (literature ML-discriminating set)</w:t>
            </w:r>
          </w:p>
        </w:tc>
        <w:tc>
          <w:tcPr>
            <w:tcW w:type="dxa" w:w="3024"/>
          </w:tcPr>
          <w:p>
            <w:r/>
            <w:r>
              <w:rPr>
                <w:sz w:val="18"/>
              </w:rPr>
              <w:t>O–P–O bend 481–492 cm⁻¹; P–O–C stretch 920–935 cm⁻¹; P–O symmetric stretch 815–840 cm⁻¹ (all phosphate-backbone)</w:t>
            </w:r>
          </w:p>
        </w:tc>
      </w:tr>
      <w:tr>
        <w:tc>
          <w:tcPr>
            <w:tcW w:type="dxa" w:w="1872"/>
            <w:shd w:val="clear" w:fill="F2F6FA"/>
          </w:tcPr>
          <w:p>
            <w:r/>
            <w:r>
              <w:rPr>
                <w:sz w:val="18"/>
              </w:rPr>
              <w:t>Overlap with the other two molecules</w:t>
            </w:r>
          </w:p>
        </w:tc>
        <w:tc>
          <w:tcPr>
            <w:tcW w:type="dxa" w:w="3312"/>
            <w:shd w:val="clear" w:fill="F2F6FA"/>
          </w:tcPr>
          <w:p>
            <w:r/>
            <w:r>
              <w:rPr>
                <w:sz w:val="18"/>
              </w:rPr>
              <w:t>Glycosidic C–O stretch (~1050 cm⁻¹) region overlaps with LPS's carbohydrate/Kdo region (~989–1003 cm⁻¹) and broadly with LTA's glycan (GlcNAc) contribution</w:t>
            </w:r>
          </w:p>
        </w:tc>
        <w:tc>
          <w:tcPr>
            <w:tcW w:type="dxa" w:w="3312"/>
            <w:shd w:val="clear" w:fill="F2F6FA"/>
          </w:tcPr>
          <w:p>
            <w:r/>
            <w:r>
              <w:rPr>
                <w:sz w:val="18"/>
              </w:rPr>
              <w:t>Broad C–H/CH₂/CH₃ region (2800–3000 cm⁻¹) overlaps across all three; phosphate region (~1000–1100 cm⁻¹) overlaps with LTA's phosphate-backbone bands</w:t>
            </w:r>
          </w:p>
        </w:tc>
        <w:tc>
          <w:tcPr>
            <w:tcW w:type="dxa" w:w="3024"/>
            <w:shd w:val="clear" w:fill="F2F6FA"/>
          </w:tcPr>
          <w:p>
            <w:r/>
            <w:r>
              <w:rPr>
                <w:sz w:val="18"/>
              </w:rPr>
              <w:t>Phosphate-backbone bands (480–935 cm⁻¹) sit close to several NAM ring/skeletal modes (458–930 cm⁻¹) — a potential source of ambiguity in mixed or whole-bacterium spectra</w:t>
            </w:r>
          </w:p>
        </w:tc>
      </w:tr>
      <w:tr>
        <w:tc>
          <w:tcPr>
            <w:tcW w:type="dxa" w:w="1872"/>
          </w:tcPr>
          <w:p>
            <w:r/>
            <w:r>
              <w:rPr>
                <w:sz w:val="18"/>
              </w:rPr>
              <w:t>Expected detection difficulty (this project's evidence)</w:t>
            </w:r>
          </w:p>
        </w:tc>
        <w:tc>
          <w:tcPr>
            <w:tcW w:type="dxa" w:w="3312"/>
          </w:tcPr>
          <w:p>
            <w:r/>
            <w:r>
              <w:rPr>
                <w:sz w:val="18"/>
              </w:rPr>
              <w:t>Lowest — best-characterised molecule, single confirmed whole-molecule calculation, clear cell-wall marker band identified and partially cross-validated against experiment</w:t>
            </w:r>
          </w:p>
        </w:tc>
        <w:tc>
          <w:tcPr>
            <w:tcW w:type="dxa" w:w="3312"/>
          </w:tcPr>
          <w:p>
            <w:r/>
            <w:r>
              <w:rPr>
                <w:sz w:val="18"/>
              </w:rPr>
              <w:t>Moderate-to-high — fragment model captures only ~18% of experimental spectral variance; whole Lipid A structure never computed</w:t>
            </w:r>
          </w:p>
        </w:tc>
        <w:tc>
          <w:tcPr>
            <w:tcW w:type="dxa" w:w="3024"/>
          </w:tcPr>
          <w:p>
            <w:r/>
            <w:r>
              <w:rPr>
                <w:sz w:val="18"/>
              </w:rPr>
              <w:t>Highest — whole-molecule computation failed outright; composite fragment model unresolved in the primary dataset; internally inconsistent fit numbers across project documents</w:t>
            </w:r>
          </w:p>
        </w:tc>
      </w:tr>
    </w:tbl>
    <w:p>
      <w:pPr>
        <w:spacing w:after="40"/>
      </w:pPr>
    </w:p>
    <w:p>
      <w:pPr>
        <w:spacing w:after="120"/>
      </w:pPr>
      <w:r>
        <w:rPr>
          <w:b w:val="0"/>
          <w:i w:val="0"/>
        </w:rPr>
        <w:t>A general interpretive caution surfaced in the project's own literature review (Premasiri et al., referenced in the “repot” folder) applies to all three molecules: at 785 nm excitation, SERS signals from whole bacteria can in some published studies be dominated by purine metabolites (adenine, hypoxanthine, xanthine, guanine, uric acid, AMP) rather than by structural cell-wall components such as peptidoglycan or LPS. This is an important caveat for interpreting any future whole-bacterium (as opposed to purified-biomarker) SERS measurements in this project, and is not yet addressed experimentally.</w:t>
      </w:r>
    </w:p>
    <w:p>
      <w:r>
        <w:br w:type="page"/>
      </w:r>
    </w:p>
    <w:p>
      <w:pPr>
        <w:pStyle w:val="Heading1"/>
      </w:pPr>
      <w:r>
        <w:t>8. Experimental Raman Studies — Raw Powders</w:t>
      </w:r>
    </w:p>
    <w:p>
      <w:pPr>
        <w:spacing w:after="120"/>
      </w:pPr>
      <w:r>
        <w:rPr>
          <w:b w:val="0"/>
          <w:i w:val="0"/>
        </w:rPr>
        <w:t>All raw-powder Raman work used the same instrument throughout the project: a B&amp;W Tek i-Raman Plus (BWS465-785H / BTC665N-785H-SYS spectrometer, BAC102-785E microscope), 785 nm excitation (784.92 nm as reported by the instrument), 20× objective (50× available, unused), 2048-pixel detector, spectral range approximately −46 to 2842 cm⁻¹, controlled via BWSpec/BWRam software. Full instrument specifications are consolidated in Section 13.</w:t>
      </w:r>
    </w:p>
    <w:p>
      <w:pPr>
        <w:pStyle w:val="Heading2"/>
      </w:pPr>
      <w:r>
        <w:t>8.1 NAM Powder</w:t>
      </w:r>
    </w:p>
    <w:p>
      <w:pPr>
        <w:spacing w:after="120"/>
      </w:pPr>
      <w:r>
        <w:rPr>
          <w:b w:val="0"/>
          <w:i w:val="0"/>
        </w:rPr>
        <w:t>NAM is by far the most extensively measured biomarker. Sample: Sigma-Aldrich A3007 powder placed directly on a glass slide, no purification, no lot number recorded.</w:t>
      </w:r>
    </w:p>
    <w:p>
      <w:pPr>
        <w:pStyle w:val="ListBullet"/>
        <w:spacing w:after="60"/>
      </w:pPr>
      <w:r>
        <w:rPr>
          <w:b/>
        </w:rPr>
        <w:t xml:space="preserve">April 2026 (first campaign) — </w:t>
      </w:r>
      <w:r>
        <w:t>98 spectra, systematic power × time grid (5–80% power × 5–25 s integration), collected without true replicates (each condition measured once; power confounded with acquisition order).</w:t>
      </w:r>
    </w:p>
    <w:p>
      <w:pPr>
        <w:pStyle w:val="ListBullet"/>
        <w:spacing w:after="60"/>
      </w:pPr>
      <w:r>
        <w:rPr>
          <w:b/>
        </w:rPr>
        <w:t xml:space="preserve">May 2026 (second campaign, “data-of-nam-powder”) — </w:t>
      </w:r>
      <w:r>
        <w:t>131 files providing true replicate measurements: 11 spectra each at 70%/10 s/5 accumulations and 90%/10 s/5 accumulations (together forming a 22-spectrum reference spectrum, mean pairwise correlation 0.986), a 10-scan same-spot photostability series, and a laser-damage series that destroyed the sample at 90% power / 60 s integration (930 cm⁻¹ intensity fell from 0.44 to 0.23 across five same-spot scans).</w:t>
      </w:r>
    </w:p>
    <w:p>
      <w:pPr>
        <w:pStyle w:val="ListBullet"/>
        <w:spacing w:after="60"/>
      </w:pPr>
      <w:r>
        <w:rPr>
          <w:b/>
        </w:rPr>
        <w:t xml:space="preserve">Consolidated archive (NAM_Raman_Archive, compiled 5 Aug 2026) — </w:t>
      </w:r>
      <w:r>
        <w:t>227 curated spectra total across five condition sets (optimisation grid, May replicates, photostability, glass blanks, excluded laser-damage spectra), with a documented, reproducible preprocessing pipeline (ALS baseline correction, Savitzky-Golay smoothing, min-max normalisation, two-criterion statistical peak validation) and a formally identified laser-damage safety threshold: ≤80% power / ≤25 s is safe; 90% power / 60 s destroys the sample.</w:t>
      </w:r>
    </w:p>
    <w:p>
      <w:pPr>
        <w:pStyle w:val="ListBullet"/>
        <w:spacing w:after="60"/>
      </w:pPr>
      <w:r>
        <w:rPr>
          <w:b/>
        </w:rPr>
        <w:t xml:space="preserve">Independent second dataset (Zaki, labmate) — </w:t>
      </w:r>
      <w:r>
        <w:t>Introduces concentration (0.01 mg/mL and 0.1 mg/mL, in solution/suspension rather than neat powder) and a sonication treatment (1-hour sonicated vs non-sonicated) as additional variables not present in the primary powder dataset — useful but not directly poolable with the power/time-focused primary dataset without renormalisation.</w:t>
      </w:r>
    </w:p>
    <w:p>
      <w:pPr>
        <w:spacing w:after="160"/>
        <w:ind w:left="360"/>
      </w:pPr>
      <w:r>
        <w:rPr>
          <w:i/>
          <w:color w:val="555555"/>
          <w:sz w:val="19"/>
        </w:rPr>
        <w:t>Solution-phase NAM measurements were attempted early in the project and showed no distinct Raman peaks, which is why the project settled on powder-only measurement for NAM baseline characterisation.</w:t>
      </w:r>
    </w:p>
    <w:p>
      <w:pPr>
        <w:pStyle w:val="Heading2"/>
      </w:pPr>
      <w:r>
        <w:t>8.2 LPS Powder</w:t>
      </w:r>
    </w:p>
    <w:p>
      <w:pPr>
        <w:spacing w:after="120"/>
      </w:pPr>
      <w:r>
        <w:rPr>
          <w:b w:val="0"/>
          <w:i w:val="0"/>
        </w:rPr>
        <w:t>LPS experimental characterisation is markedly thinner than NAM. The main dataset is a single systematic powder series (Zaki, labmate): integration times 5, 10, 15, 20, and 25 seconds, laser power swept 5–80%, sample E. coli O111:B4 LPS (Sigma L2630). One specific acquisition condition — 60 s integration, 20% power, 30 accumulations — was selected as optimal (after comparing 10/20/30/60 s combinations) and used as the reference experimental spectrum for the LPS fragment-DFT NNLS fitting described in Section 6.2. No equivalent multi-power/multi-time Sukesh-collected LPS dataset was found in the project folder; LPS has not yet been tested on the fabricated SERS substrate as of the evidence reviewed.</w:t>
      </w:r>
    </w:p>
    <w:p>
      <w:pPr>
        <w:pStyle w:val="Heading2"/>
      </w:pPr>
      <w:r>
        <w:t>8.3 LTA Powder</w:t>
      </w:r>
    </w:p>
    <w:p>
      <w:pPr>
        <w:spacing w:after="120"/>
      </w:pPr>
      <w:r>
        <w:rPr>
          <w:b w:val="0"/>
          <w:i w:val="0"/>
        </w:rPr>
        <w:t>LTA experimental data is substantial but fragmented across many small, ad-hoc-named batches rather than one consolidated archive (unlike NAM). Key datasets:</w:t>
      </w:r>
    </w:p>
    <w:p>
      <w:pPr>
        <w:pStyle w:val="ListBullet"/>
        <w:spacing w:after="60"/>
      </w:pPr>
      <w:r>
        <w:t>A spot-to-spot variability study (fixed 20 s integration, fixed power, multiple sample locations) — run at least twice (once at project-root level, once dated 9 Feb 2026 inside Sukesh's folder, apparently a repeat/copy of the same experiment type).</w:t>
      </w:r>
    </w:p>
    <w:p>
      <w:pPr>
        <w:pStyle w:val="ListBullet"/>
        <w:spacing w:after="60"/>
      </w:pPr>
      <w:r>
        <w:t>The large “4-4-26” ad-hoc batch: LTA at 10 s/different powers/10-set replicates, 30 s/50% power/15-set, and 45 s/different powers (set 2) — informally named, exploratory parameter sweeps rather than a systematic grid.</w:t>
      </w:r>
    </w:p>
    <w:p>
      <w:pPr>
        <w:pStyle w:val="ListBullet"/>
        <w:spacing w:after="60"/>
      </w:pPr>
      <w:r>
        <w:t>A dedicated “lta/experiment” condition (10 s/70% power/10 accumulations) used as the reference spectrum for LTA fragment-DFT fitting (Section 6.3).</w:t>
      </w:r>
    </w:p>
    <w:p>
      <w:pPr>
        <w:pStyle w:val="ListBullet"/>
        <w:spacing w:after="60"/>
      </w:pPr>
      <w:r>
        <w:t>A four-condition power comparison (10 s integration; 40/50/60/70% power) in “new plotting same place,” focused on the 500–2000 cm⁻¹ fingerprint window.</w:t>
      </w:r>
    </w:p>
    <w:p>
      <w:pPr>
        <w:pStyle w:val="ListBullet"/>
        <w:spacing w:after="60"/>
      </w:pPr>
      <w:r>
        <w:t>Sukesh's 0.1 µg/mL LTA multispot study (10 s, powers 15–95%, 2 replicate sets) — one companion 15 s condition was planned but never collected (folder present, 0 files).</w:t>
      </w:r>
    </w:p>
    <w:p>
      <w:pPr>
        <w:pStyle w:val="ListBullet"/>
        <w:spacing w:after="60"/>
      </w:pPr>
      <w:r>
        <w:t>Zaki's independent LTA dataset: pure powder (10/15/20/25 s, power 5–80%) plus a 10 µg/mL solution condition — again a concentration variable not present in Sukesh's power/time-focused series.</w:t>
      </w:r>
    </w:p>
    <w:p>
      <w:pPr>
        <w:pStyle w:val="ListBullet"/>
        <w:spacing w:after="60"/>
      </w:pPr>
      <w:r>
        <w:rPr>
          <w:b/>
        </w:rPr>
        <w:t xml:space="preserve">A 12-spot substrate-adjacent reproducibility study — </w:t>
      </w:r>
      <w:r>
        <w:t>7 characteristic peaks, average correlation 0.9787, average peak coefficient of variation 16.74% (reported in the August 2026 project status report).</w:t>
      </w:r>
    </w:p>
    <w:p>
      <w:pPr>
        <w:pStyle w:val="ListBullet"/>
        <w:spacing w:after="60"/>
      </w:pPr>
      <w:r>
        <w:rPr>
          <w:b/>
        </w:rPr>
        <w:t xml:space="preserve">A 136-spectrum expanded study — </w:t>
      </w:r>
      <w:r>
        <w:t>best condition 20 s/40% power, SNR 139.03, but a poor whole-spectrum correlation (Pearson −0.0084) is flagged in the same status report as an unresolved analysis branch requiring re-examination.</w:t>
      </w:r>
    </w:p>
    <w:p>
      <w:r>
        <w:br w:type="page"/>
      </w:r>
    </w:p>
    <w:p>
      <w:pPr>
        <w:pStyle w:val="Heading1"/>
      </w:pPr>
      <w:r>
        <w:t>9. Simulation vs Experimental Comparison</w:t>
      </w:r>
    </w:p>
    <w:p>
      <w:pPr>
        <w:pStyle w:val="Heading2"/>
      </w:pPr>
      <w:r>
        <w:t>9.1 NAM</w:t>
      </w:r>
    </w:p>
    <w:tbl>
      <w:tblPr>
        <w:tblStyle w:val="TableGrid"/>
        <w:tblW w:type="auto" w:w="0"/>
        <w:jc w:val="center"/>
        <w:tblLayout w:type="autofit"/>
        <w:tblLook w:firstColumn="1" w:firstRow="1" w:lastColumn="0" w:lastRow="0" w:noHBand="0" w:noVBand="1" w:val="04A0"/>
      </w:tblPr>
      <w:tblGrid>
        <w:gridCol w:w="1863"/>
        <w:gridCol w:w="1863"/>
        <w:gridCol w:w="1863"/>
        <w:gridCol w:w="1863"/>
        <w:gridCol w:w="1863"/>
      </w:tblGrid>
      <w:tr>
        <w:tc>
          <w:tcPr>
            <w:tcW w:type="dxa" w:w="2160"/>
            <w:shd w:val="clear" w:fill="2E74B5"/>
          </w:tcPr>
          <w:p>
            <w:r/>
            <w:r>
              <w:rPr>
                <w:b/>
                <w:color w:val="FFFFFF"/>
                <w:sz w:val="19"/>
              </w:rPr>
              <w:t>Diagnostic range (cm⁻¹)</w:t>
            </w:r>
          </w:p>
        </w:tc>
        <w:tc>
          <w:tcPr>
            <w:tcW w:type="dxa" w:w="3168"/>
            <w:shd w:val="clear" w:fill="2E74B5"/>
          </w:tcPr>
          <w:p>
            <w:r/>
            <w:r>
              <w:rPr>
                <w:b/>
                <w:color w:val="FFFFFF"/>
                <w:sz w:val="19"/>
              </w:rPr>
              <w:t>Assignment</w:t>
            </w:r>
          </w:p>
        </w:tc>
        <w:tc>
          <w:tcPr>
            <w:tcW w:type="dxa" w:w="1728"/>
            <w:shd w:val="clear" w:fill="2E74B5"/>
          </w:tcPr>
          <w:p>
            <w:r/>
            <w:r>
              <w:rPr>
                <w:b/>
                <w:color w:val="FFFFFF"/>
                <w:sz w:val="19"/>
              </w:rPr>
              <w:t>Simulated peak</w:t>
            </w:r>
          </w:p>
        </w:tc>
        <w:tc>
          <w:tcPr>
            <w:tcW w:type="dxa" w:w="2016"/>
            <w:shd w:val="clear" w:fill="2E74B5"/>
          </w:tcPr>
          <w:p>
            <w:r/>
            <w:r>
              <w:rPr>
                <w:b/>
                <w:color w:val="FFFFFF"/>
                <w:sz w:val="19"/>
              </w:rPr>
              <w:t>Experimental peak</w:t>
            </w:r>
          </w:p>
        </w:tc>
        <w:tc>
          <w:tcPr>
            <w:tcW w:type="dxa" w:w="2448"/>
            <w:shd w:val="clear" w:fill="2E74B5"/>
          </w:tcPr>
          <w:p>
            <w:r/>
            <w:r>
              <w:rPr>
                <w:b/>
                <w:color w:val="FFFFFF"/>
                <w:sz w:val="19"/>
              </w:rPr>
              <w:t>Result</w:t>
            </w:r>
          </w:p>
        </w:tc>
      </w:tr>
      <w:tr>
        <w:tc>
          <w:tcPr>
            <w:tcW w:type="dxa" w:w="2160"/>
          </w:tcPr>
          <w:p>
            <w:r/>
            <w:r>
              <w:rPr>
                <w:sz w:val="18"/>
              </w:rPr>
              <w:t>875–895</w:t>
            </w:r>
          </w:p>
        </w:tc>
        <w:tc>
          <w:tcPr>
            <w:tcW w:type="dxa" w:w="3168"/>
          </w:tcPr>
          <w:p>
            <w:r/>
            <w:r>
              <w:rPr>
                <w:sz w:val="18"/>
              </w:rPr>
              <w:t>Sugar-ring C–H rocking</w:t>
            </w:r>
          </w:p>
        </w:tc>
        <w:tc>
          <w:tcPr>
            <w:tcW w:type="dxa" w:w="1728"/>
          </w:tcPr>
          <w:p>
            <w:r/>
            <w:r>
              <w:rPr>
                <w:sz w:val="18"/>
              </w:rPr>
              <w:t>—</w:t>
            </w:r>
          </w:p>
        </w:tc>
        <w:tc>
          <w:tcPr>
            <w:tcW w:type="dxa" w:w="2016"/>
          </w:tcPr>
          <w:p>
            <w:r/>
            <w:r>
              <w:rPr>
                <w:sz w:val="18"/>
              </w:rPr>
              <w:t>—</w:t>
            </w:r>
          </w:p>
        </w:tc>
        <w:tc>
          <w:tcPr>
            <w:tcW w:type="dxa" w:w="2448"/>
          </w:tcPr>
          <w:p>
            <w:r/>
            <w:r>
              <w:rPr>
                <w:sz w:val="18"/>
              </w:rPr>
              <w:t>Not detected in either</w:t>
            </w:r>
          </w:p>
        </w:tc>
      </w:tr>
      <w:tr>
        <w:tc>
          <w:tcPr>
            <w:tcW w:type="dxa" w:w="2160"/>
            <w:shd w:val="clear" w:fill="F2F6FA"/>
          </w:tcPr>
          <w:p>
            <w:r/>
            <w:r>
              <w:rPr>
                <w:sz w:val="18"/>
              </w:rPr>
              <w:t>930–960</w:t>
            </w:r>
          </w:p>
        </w:tc>
        <w:tc>
          <w:tcPr>
            <w:tcW w:type="dxa" w:w="3168"/>
            <w:shd w:val="clear" w:fill="F2F6FA"/>
          </w:tcPr>
          <w:p>
            <w:r/>
            <w:r>
              <w:rPr>
                <w:sz w:val="18"/>
              </w:rPr>
              <w:t>Lactyl/amide linkage (cell-wall marker)</w:t>
            </w:r>
          </w:p>
        </w:tc>
        <w:tc>
          <w:tcPr>
            <w:tcW w:type="dxa" w:w="1728"/>
            <w:shd w:val="clear" w:fill="F2F6FA"/>
          </w:tcPr>
          <w:p>
            <w:r/>
            <w:r>
              <w:rPr>
                <w:sz w:val="18"/>
              </w:rPr>
              <w:t>944.0</w:t>
            </w:r>
          </w:p>
        </w:tc>
        <w:tc>
          <w:tcPr>
            <w:tcW w:type="dxa" w:w="2016"/>
            <w:shd w:val="clear" w:fill="F2F6FA"/>
          </w:tcPr>
          <w:p>
            <w:r/>
            <w:r>
              <w:rPr>
                <w:sz w:val="18"/>
              </w:rPr>
              <w:t>955.9</w:t>
            </w:r>
          </w:p>
        </w:tc>
        <w:tc>
          <w:tcPr>
            <w:tcW w:type="dxa" w:w="2448"/>
            <w:shd w:val="clear" w:fill="F2F6FA"/>
          </w:tcPr>
          <w:p>
            <w:r/>
            <w:r>
              <w:rPr>
                <w:sz w:val="18"/>
              </w:rPr>
              <w:t>Matched (Δ 11.9 cm⁻¹)</w:t>
            </w:r>
          </w:p>
        </w:tc>
      </w:tr>
      <w:tr>
        <w:tc>
          <w:tcPr>
            <w:tcW w:type="dxa" w:w="2160"/>
          </w:tcPr>
          <w:p>
            <w:r/>
            <w:r>
              <w:rPr>
                <w:sz w:val="18"/>
              </w:rPr>
              <w:t>1010–1035</w:t>
            </w:r>
          </w:p>
        </w:tc>
        <w:tc>
          <w:tcPr>
            <w:tcW w:type="dxa" w:w="3168"/>
          </w:tcPr>
          <w:p>
            <w:r/>
            <w:r>
              <w:rPr>
                <w:sz w:val="18"/>
              </w:rPr>
              <w:t>C–C/C–O stretch (sugar backbone)</w:t>
            </w:r>
          </w:p>
        </w:tc>
        <w:tc>
          <w:tcPr>
            <w:tcW w:type="dxa" w:w="1728"/>
          </w:tcPr>
          <w:p>
            <w:r/>
            <w:r>
              <w:rPr>
                <w:sz w:val="18"/>
              </w:rPr>
              <w:t>1016.0</w:t>
            </w:r>
          </w:p>
        </w:tc>
        <w:tc>
          <w:tcPr>
            <w:tcW w:type="dxa" w:w="2016"/>
          </w:tcPr>
          <w:p>
            <w:r/>
            <w:r>
              <w:rPr>
                <w:sz w:val="18"/>
              </w:rPr>
              <w:t>1020.8</w:t>
            </w:r>
          </w:p>
        </w:tc>
        <w:tc>
          <w:tcPr>
            <w:tcW w:type="dxa" w:w="2448"/>
          </w:tcPr>
          <w:p>
            <w:r/>
            <w:r>
              <w:rPr>
                <w:sz w:val="18"/>
              </w:rPr>
              <w:t>Matched (Δ 4.8 cm⁻¹)</w:t>
            </w:r>
          </w:p>
        </w:tc>
      </w:tr>
      <w:tr>
        <w:tc>
          <w:tcPr>
            <w:tcW w:type="dxa" w:w="2160"/>
            <w:shd w:val="clear" w:fill="F2F6FA"/>
          </w:tcPr>
          <w:p>
            <w:r/>
            <w:r>
              <w:rPr>
                <w:sz w:val="18"/>
              </w:rPr>
              <w:t>1050–1105</w:t>
            </w:r>
          </w:p>
        </w:tc>
        <w:tc>
          <w:tcPr>
            <w:tcW w:type="dxa" w:w="3168"/>
            <w:shd w:val="clear" w:fill="F2F6FA"/>
          </w:tcPr>
          <w:p>
            <w:r/>
            <w:r>
              <w:rPr>
                <w:sz w:val="18"/>
              </w:rPr>
              <w:t>Glycosidic C–O stretch</w:t>
            </w:r>
          </w:p>
        </w:tc>
        <w:tc>
          <w:tcPr>
            <w:tcW w:type="dxa" w:w="1728"/>
            <w:shd w:val="clear" w:fill="F2F6FA"/>
          </w:tcPr>
          <w:p>
            <w:r/>
            <w:r>
              <w:rPr>
                <w:sz w:val="18"/>
              </w:rPr>
              <w:t>1056.0</w:t>
            </w:r>
          </w:p>
        </w:tc>
        <w:tc>
          <w:tcPr>
            <w:tcW w:type="dxa" w:w="2016"/>
            <w:shd w:val="clear" w:fill="F2F6FA"/>
          </w:tcPr>
          <w:p>
            <w:r/>
            <w:r>
              <w:rPr>
                <w:sz w:val="18"/>
              </w:rPr>
              <w:t>1059.2</w:t>
            </w:r>
          </w:p>
        </w:tc>
        <w:tc>
          <w:tcPr>
            <w:tcW w:type="dxa" w:w="2448"/>
            <w:shd w:val="clear" w:fill="F2F6FA"/>
          </w:tcPr>
          <w:p>
            <w:r/>
            <w:r>
              <w:rPr>
                <w:sz w:val="18"/>
              </w:rPr>
              <w:t>Matched (Δ 3.2 cm⁻¹)</w:t>
            </w:r>
          </w:p>
        </w:tc>
      </w:tr>
      <w:tr>
        <w:tc>
          <w:tcPr>
            <w:tcW w:type="dxa" w:w="2160"/>
          </w:tcPr>
          <w:p>
            <w:r/>
            <w:r>
              <w:rPr>
                <w:sz w:val="18"/>
              </w:rPr>
              <w:t>1230–1255</w:t>
            </w:r>
          </w:p>
        </w:tc>
        <w:tc>
          <w:tcPr>
            <w:tcW w:type="dxa" w:w="3168"/>
          </w:tcPr>
          <w:p>
            <w:r/>
            <w:r>
              <w:rPr>
                <w:sz w:val="18"/>
              </w:rPr>
              <w:t>C–O–H deformation</w:t>
            </w:r>
          </w:p>
        </w:tc>
        <w:tc>
          <w:tcPr>
            <w:tcW w:type="dxa" w:w="1728"/>
          </w:tcPr>
          <w:p>
            <w:r/>
            <w:r>
              <w:rPr>
                <w:sz w:val="18"/>
              </w:rPr>
              <w:t>—</w:t>
            </w:r>
          </w:p>
        </w:tc>
        <w:tc>
          <w:tcPr>
            <w:tcW w:type="dxa" w:w="2016"/>
          </w:tcPr>
          <w:p>
            <w:r/>
            <w:r>
              <w:rPr>
                <w:sz w:val="18"/>
              </w:rPr>
              <w:t>—</w:t>
            </w:r>
          </w:p>
        </w:tc>
        <w:tc>
          <w:tcPr>
            <w:tcW w:type="dxa" w:w="2448"/>
          </w:tcPr>
          <w:p>
            <w:r/>
            <w:r>
              <w:rPr>
                <w:sz w:val="18"/>
              </w:rPr>
              <w:t>Not detected</w:t>
            </w:r>
          </w:p>
        </w:tc>
      </w:tr>
      <w:tr>
        <w:tc>
          <w:tcPr>
            <w:tcW w:type="dxa" w:w="2160"/>
            <w:shd w:val="clear" w:fill="F2F6FA"/>
          </w:tcPr>
          <w:p>
            <w:r/>
            <w:r>
              <w:rPr>
                <w:sz w:val="18"/>
              </w:rPr>
              <w:t>1315–1350</w:t>
            </w:r>
          </w:p>
        </w:tc>
        <w:tc>
          <w:tcPr>
            <w:tcW w:type="dxa" w:w="3168"/>
            <w:shd w:val="clear" w:fill="F2F6FA"/>
          </w:tcPr>
          <w:p>
            <w:r/>
            <w:r>
              <w:rPr>
                <w:sz w:val="18"/>
              </w:rPr>
              <w:t>CH bending (sugar ring)</w:t>
            </w:r>
          </w:p>
        </w:tc>
        <w:tc>
          <w:tcPr>
            <w:tcW w:type="dxa" w:w="1728"/>
            <w:shd w:val="clear" w:fill="F2F6FA"/>
          </w:tcPr>
          <w:p>
            <w:r/>
            <w:r>
              <w:rPr>
                <w:sz w:val="18"/>
              </w:rPr>
              <w:t>1320.0</w:t>
            </w:r>
          </w:p>
        </w:tc>
        <w:tc>
          <w:tcPr>
            <w:tcW w:type="dxa" w:w="2016"/>
            <w:shd w:val="clear" w:fill="F2F6FA"/>
          </w:tcPr>
          <w:p>
            <w:r/>
            <w:r>
              <w:rPr>
                <w:sz w:val="18"/>
              </w:rPr>
              <w:t>1317.5</w:t>
            </w:r>
          </w:p>
        </w:tc>
        <w:tc>
          <w:tcPr>
            <w:tcW w:type="dxa" w:w="2448"/>
            <w:shd w:val="clear" w:fill="F2F6FA"/>
          </w:tcPr>
          <w:p>
            <w:r/>
            <w:r>
              <w:rPr>
                <w:sz w:val="18"/>
              </w:rPr>
              <w:t>Matched (Δ 2.5 cm⁻¹)</w:t>
            </w:r>
          </w:p>
        </w:tc>
      </w:tr>
      <w:tr>
        <w:tc>
          <w:tcPr>
            <w:tcW w:type="dxa" w:w="2160"/>
          </w:tcPr>
          <w:p>
            <w:r/>
            <w:r>
              <w:rPr>
                <w:sz w:val="18"/>
              </w:rPr>
              <w:t>1450–1470</w:t>
            </w:r>
          </w:p>
        </w:tc>
        <w:tc>
          <w:tcPr>
            <w:tcW w:type="dxa" w:w="3168"/>
          </w:tcPr>
          <w:p>
            <w:r/>
            <w:r>
              <w:rPr>
                <w:sz w:val="18"/>
              </w:rPr>
              <w:t>CH₃ deformation</w:t>
            </w:r>
          </w:p>
        </w:tc>
        <w:tc>
          <w:tcPr>
            <w:tcW w:type="dxa" w:w="1728"/>
          </w:tcPr>
          <w:p>
            <w:r/>
            <w:r>
              <w:rPr>
                <w:sz w:val="18"/>
              </w:rPr>
              <w:t>—</w:t>
            </w:r>
          </w:p>
        </w:tc>
        <w:tc>
          <w:tcPr>
            <w:tcW w:type="dxa" w:w="2016"/>
          </w:tcPr>
          <w:p>
            <w:r/>
            <w:r>
              <w:rPr>
                <w:sz w:val="18"/>
              </w:rPr>
              <w:t>1450.3</w:t>
            </w:r>
          </w:p>
        </w:tc>
        <w:tc>
          <w:tcPr>
            <w:tcW w:type="dxa" w:w="2448"/>
          </w:tcPr>
          <w:p>
            <w:r/>
            <w:r>
              <w:rPr>
                <w:sz w:val="18"/>
              </w:rPr>
              <w:t>Experimental only</w:t>
            </w:r>
          </w:p>
        </w:tc>
      </w:tr>
      <w:tr>
        <w:tc>
          <w:tcPr>
            <w:tcW w:type="dxa" w:w="2160"/>
            <w:shd w:val="clear" w:fill="F2F6FA"/>
          </w:tcPr>
          <w:p>
            <w:r/>
            <w:r>
              <w:rPr>
                <w:sz w:val="18"/>
              </w:rPr>
              <w:t>1670–1690</w:t>
            </w:r>
          </w:p>
        </w:tc>
        <w:tc>
          <w:tcPr>
            <w:tcW w:type="dxa" w:w="3168"/>
            <w:shd w:val="clear" w:fill="F2F6FA"/>
          </w:tcPr>
          <w:p>
            <w:r/>
            <w:r>
              <w:rPr>
                <w:sz w:val="18"/>
              </w:rPr>
              <w:t>Amide I (C=O)</w:t>
            </w:r>
          </w:p>
        </w:tc>
        <w:tc>
          <w:tcPr>
            <w:tcW w:type="dxa" w:w="1728"/>
            <w:shd w:val="clear" w:fill="F2F6FA"/>
          </w:tcPr>
          <w:p>
            <w:r/>
            <w:r>
              <w:rPr>
                <w:sz w:val="18"/>
              </w:rPr>
              <w:t>—</w:t>
            </w:r>
          </w:p>
        </w:tc>
        <w:tc>
          <w:tcPr>
            <w:tcW w:type="dxa" w:w="2016"/>
            <w:shd w:val="clear" w:fill="F2F6FA"/>
          </w:tcPr>
          <w:p>
            <w:r/>
            <w:r>
              <w:rPr>
                <w:sz w:val="18"/>
              </w:rPr>
              <w:t>1685.7</w:t>
            </w:r>
          </w:p>
        </w:tc>
        <w:tc>
          <w:tcPr>
            <w:tcW w:type="dxa" w:w="2448"/>
            <w:shd w:val="clear" w:fill="F2F6FA"/>
          </w:tcPr>
          <w:p>
            <w:r/>
            <w:r>
              <w:rPr>
                <w:sz w:val="18"/>
              </w:rPr>
              <w:t>Experimental only</w:t>
            </w:r>
          </w:p>
        </w:tc>
      </w:tr>
    </w:tbl>
    <w:p>
      <w:pPr>
        <w:spacing w:after="40"/>
      </w:pPr>
    </w:p>
    <w:p>
      <w:pPr>
        <w:spacing w:after="120"/>
      </w:pPr>
      <w:r>
        <w:rPr>
          <w:b w:val="0"/>
          <w:i w:val="0"/>
        </w:rPr>
        <w:t>Summary (independent DFT-vs-experiment comparison, plottingNAM/Analysis_Review_Document.md): 4 of 11 diagnostic ranges matched (36%), average peak shift 5.6 cm⁻¹ (max 11.9, min 2.5 cm⁻¹), described in the source document as “exceeding typical DFT-experimental benchmarks” (10–20 cm⁻¹ cited as the accepted literature tolerance). On the full 227-spectrum consolidated archive, 30 of 41 reproducible experimental bands matched a calculated mode within ±18 cm⁻¹ (MAE 9.27 cm⁻¹, RMSE 10.29 cm⁻¹). Both analyses independently confirm the 930–960 cm⁻¹ region as NAM's most robust, best-matched cell-wall marker band. The main sources of mismatch are (a) the 1550–1800 cm⁻¹ amide/carbonyl region, which is under-represented in the matched set, and (b) the DFT model's β-anomer-only geometry versus the experimental sample's α/β anomeric mixture.</w:t>
      </w:r>
    </w:p>
    <w:p>
      <w:pPr>
        <w:pStyle w:val="Heading2"/>
      </w:pPr>
      <w:r>
        <w:t>9.2 LPS</w:t>
      </w:r>
    </w:p>
    <w:p>
      <w:pPr>
        <w:spacing w:after="120"/>
      </w:pPr>
      <w:r>
        <w:rPr>
          <w:b w:val="0"/>
          <w:i w:val="0"/>
        </w:rPr>
        <w:t>The only quantitative simulation-vs-experiment comparison available for LPS is the five-fragment NNLS composite fit described in Section 6.2: RMSE 0.185, R² 0.180, Pearson r 0.508 against the reference experimental spectrum (60 s/20% power/30 accumulations). This is a substantially weaker agreement than achieved for NAM. Reasons evidenced in the project's own analysis include: (i) the fragment library omits any explicit O-antigen or full Lipid-A acyl-chain representation, (ii) the phosphoric-acid fragment contributed zero weight, suggesting either its spectral signature is not distinguishable in this fit or it is genuinely absent/overwhelmed in the real sample spectrum, and (iii) real LPS in the solid/powder state likely has intermolecular and aggregation effects not captured by any isolated small-molecule gas-phase fragment calculation. No experimental-vs-simulation comparison has yet been attempted using the instrument-configured “best” LPS acquisition condition against a whole-Lipid-A DFT spectrum, because that whole-molecule calculation has never been completed (Section 6.2).</w:t>
      </w:r>
    </w:p>
    <w:p>
      <w:pPr>
        <w:pStyle w:val="Heading2"/>
      </w:pPr>
      <w:r>
        <w:t>9.3 LTA</w:t>
      </w:r>
    </w:p>
    <w:p>
      <w:pPr>
        <w:spacing w:after="120"/>
      </w:pPr>
      <w:r>
        <w:rPr>
          <w:b w:val="0"/>
          <w:i w:val="0"/>
        </w:rPr>
        <w:t>As documented in Section 6.3, the primary project dataset's LTA composite-fit run produced NaN for every fit statistic — there is currently no valid quantitative simulation-vs-experiment comparison for LTA in the reviewed evidence base. The masters thesis document (finalmtp.docx) reports a specific alternative result (RMSE ≈ 0.19, Pearson ≈ 0.34) that cannot be reconciled with the primary dataset's failure and should be independently re-verified before being relied upon (see Section 20). The standalone glycerol-phosphate fragment calculation is chemically well-behaved (converged, no imaginary frequencies) and its predicted phosphate-backbone bands (481, 922 cm⁻¹) are broadly consistent with literature LTA assignments (O–P–O bend 481–492, P–O–C stretch 920–935 cm⁻¹) — this is encouraging at the single-fragment level even though the full composite comparison remains unresolved.</w:t>
      </w:r>
    </w:p>
    <w:p>
      <w:r>
        <w:br w:type="page"/>
      </w:r>
    </w:p>
    <w:p>
      <w:pPr>
        <w:pStyle w:val="Heading1"/>
      </w:pPr>
      <w:r>
        <w:t>10. SERS Substrate Fabrication</w:t>
      </w:r>
    </w:p>
    <w:p>
      <w:pPr>
        <w:spacing w:after="120"/>
      </w:pPr>
      <w:r>
        <w:rPr>
          <w:b w:val="0"/>
          <w:i w:val="0"/>
        </w:rPr>
        <w:t>The project fabricates a silver-on-silicon (Ag/Si) SERS substrate using a wet-chemical, HF-assisted electroless silver deposition protocol. This route was adapted directly from the host laboratory's own prior published fabrication protocol (Soni, Singh, Singh &amp; Agarwal, IEEE APSCON 2023, sweat-metabolite SERS sensor) rather than developed from scratch.</w:t>
      </w:r>
    </w:p>
    <w:p>
      <w:pPr>
        <w:pStyle w:val="Heading2"/>
      </w:pPr>
      <w:r>
        <w:t>Silicon Wafer</w:t>
      </w:r>
    </w:p>
    <w:p>
      <w:pPr>
        <w:spacing w:after="120"/>
      </w:pPr>
      <w:r>
        <w:rPr>
          <w:b w:val="0"/>
          <w:i w:val="0"/>
        </w:rPr>
        <w:t>Single-crystal, n-type, phosphorus-doped silicon, ⟨100⟩ crystal orientation, 1–10 Ω·cm resistivity, 2-inch diameter, 280 ± 25 µm thickness, single-side polished, Czochralski-grown (specifications recorded in the project's own “Raman Spectroscopy System and Silicon Wafer Specifications” note).</w:t>
      </w:r>
    </w:p>
    <w:p>
      <w:pPr>
        <w:pStyle w:val="Heading2"/>
      </w:pPr>
      <w:r>
        <w:t>Cleaning and Surface Preparation</w:t>
      </w:r>
    </w:p>
    <w:p>
      <w:pPr>
        <w:pStyle w:val="ListBullet"/>
        <w:spacing w:after="60"/>
      </w:pPr>
      <w:r>
        <w:t>Piranha solution clean (removes organic contamination).</w:t>
      </w:r>
    </w:p>
    <w:p>
      <w:pPr>
        <w:pStyle w:val="ListBullet"/>
        <w:spacing w:after="60"/>
      </w:pPr>
      <w:r>
        <w:t>Buffered HF dip (~5 minutes) to strip the native oxide layer immediately before metal deposition.</w:t>
      </w:r>
    </w:p>
    <w:p>
      <w:pPr>
        <w:pStyle w:val="ListBullet"/>
        <w:spacing w:after="60"/>
      </w:pPr>
      <w:r>
        <w:t>An alternative dry-processing route (Si diced to 1 cm × 1 cm, cleaned with acetone (5 min) then IPA (5 min) then DI water, followed by Ag sputtering at 20/30/40 nm thickness and annealing at 200/250/300 °C for 10–20 minutes to form nano-island hotspots) is described in a planning document (“silicon wafer -gpt.txt”) as a considered option, but no sputtering/evaporation/annealing output data was found anywhere in the project files — this route appears to be a documented alternative that was not the one actually executed.</w:t>
      </w:r>
    </w:p>
    <w:p>
      <w:pPr>
        <w:pStyle w:val="Heading2"/>
      </w:pPr>
      <w:r>
        <w:t>Silver Deposition (the route actually executed)</w:t>
      </w:r>
    </w:p>
    <w:p>
      <w:pPr>
        <w:spacing w:after="120"/>
      </w:pPr>
      <w:r>
        <w:rPr>
          <w:b w:val="0"/>
          <w:i w:val="0"/>
        </w:rPr>
        <w:t>Electroless silver deposition via a HF/AgNO₃ redox reaction: AgNO₃ (6 mg) dissolved in 45 mL deionised water combined with hydrofluoric acid, at two HF volumes (5 mL and 10 mL) crossed with four soak/reaction times (3, 4, 5, and 6 minutes) — 8 fabrication conditions in total. Post-deposition: DI water rinse, 110 °C bake (10 minutes) to evaporate residual surface water, then vacuum-desiccated storage to limit silver oxidation. FESEM characterisation of the lab's prior (cytokine/sweat-sensor) substrate showed AgNP clusters 75–110 nm in size with approximately 1000 hotspots per 10 µm laser spot diameter — no equivalent FESEM image was found for this project's own fabricated substrate; this is an identified characterisation gap (Section 17).</w:t>
      </w:r>
    </w:p>
    <w:p>
      <w:pPr>
        <w:pStyle w:val="Heading2"/>
      </w:pPr>
      <w:r>
        <w:t>Fabrication Workflow (text diagram)</w:t>
      </w:r>
    </w:p>
    <w:p>
      <w:pPr>
        <w:spacing w:after="120"/>
      </w:pPr>
      <w:r>
        <w:rPr>
          <w:b w:val="0"/>
          <w:i w:val="0"/>
        </w:rPr>
        <w:t>Si wafer (n-type, ⟨100⟩) → Piranha clean → buffered HF dip (strip native oxide) → immerse in AgNO₃ + HF solution, 5 or 10 mL HF, 3–6 min → DI water rinse → 110 °C bake, 10 min → vacuum-desiccated storage → substrate ready for analyte deposition and Raman acquisition.</w:t>
      </w:r>
    </w:p>
    <w:p>
      <w:pPr>
        <w:pStyle w:val="Heading2"/>
      </w:pPr>
      <w:r>
        <w:t>Optimisation and Problems Encountered</w:t>
      </w:r>
    </w:p>
    <w:p>
      <w:pPr>
        <w:spacing w:after="120"/>
      </w:pPr>
      <w:r>
        <w:rPr>
          <w:b w:val="0"/>
          <w:i w:val="0"/>
        </w:rPr>
        <w:t>The 8 fabrication conditions were ranked using Rhodamine 6G as the benchmark analyte (Section 11). Two independent analyses of this same experiment exist in the project files and reach somewhat different conclusions about the single “best” condition — likely because they used different quality metrics and possibly different naming interpretations of the same condition labels (see Section 20 for the specific reconciliation needed). Beyond fabrication-condition optimisation, the following problems are explicitly documented:</w:t>
      </w:r>
    </w:p>
    <w:p>
      <w:pPr>
        <w:pStyle w:val="ListBullet"/>
        <w:spacing w:after="60"/>
      </w:pPr>
      <w:r>
        <w:rPr>
          <w:b/>
        </w:rPr>
        <w:t xml:space="preserve">Substrate-bound biomarker signal is currently weak — </w:t>
      </w:r>
      <w:r>
        <w:t>preliminary NAM-on-substrate testing shows a mean SNR of only 0.89, i.e. the analyte is detectable but not yet robustly enhanced by the current substrate.</w:t>
      </w:r>
    </w:p>
    <w:p>
      <w:pPr>
        <w:pStyle w:val="ListBullet"/>
        <w:spacing w:after="60"/>
      </w:pPr>
      <w:r>
        <w:rPr>
          <w:b/>
        </w:rPr>
        <w:t xml:space="preserve">Spot-to-spot reproducibility is below target — </w:t>
      </w:r>
      <w:r>
        <w:t>mean inter-spot spectral correlation of 0.775, against an internally stated target of 0.90.</w:t>
      </w:r>
    </w:p>
    <w:p>
      <w:pPr>
        <w:pStyle w:val="ListBullet"/>
        <w:spacing w:after="60"/>
      </w:pPr>
      <w:r>
        <w:rPr>
          <w:b/>
        </w:rPr>
        <w:t xml:space="preserve">Silver-oxidation stability — </w:t>
      </w:r>
      <w:r>
        <w:t>flagged as an ongoing risk factor in multiple project documents; desiccated storage is the current mitigation, but no shelf-life/stability study has been completed.</w:t>
      </w:r>
    </w:p>
    <w:p>
      <w:pPr>
        <w:pStyle w:val="ListBullet"/>
        <w:spacing w:after="60"/>
      </w:pPr>
      <w:r>
        <w:rPr>
          <w:b/>
        </w:rPr>
        <w:t xml:space="preserve">No enhancement factor has been calculated — </w:t>
      </w:r>
      <w:r>
        <w:t>there is no bulk (non-SERS) reference spectrum on file for any of the three biomarkers or for R6G, so a quantitative electromagnetic enhancement factor cannot currently be computed from the available data.</w:t>
      </w:r>
    </w:p>
    <w:p>
      <w:r>
        <w:br w:type="page"/>
      </w:r>
    </w:p>
    <w:p>
      <w:pPr>
        <w:pStyle w:val="Heading1"/>
      </w:pPr>
      <w:r>
        <w:t>11. Rhodamine 6G (R6G) Validation</w:t>
      </w:r>
    </w:p>
    <w:p>
      <w:pPr>
        <w:spacing w:after="120"/>
      </w:pPr>
      <w:r>
        <w:rPr>
          <w:b w:val="0"/>
          <w:i w:val="0"/>
        </w:rPr>
        <w:t>Rhodamine 6G was selected as the benchmark validation analyte because it is a well-characterised, strongly Raman/resonance-active dye with widely published reference peak positions, making it the standard choice in the SERS literature for confirming that a newly fabricated substrate produces genuine, chemically-assignable SERS signal before moving on to a less-well-characterised analyte such as NAM, LPS, or LTA.</w:t>
      </w:r>
    </w:p>
    <w:p>
      <w:pPr>
        <w:spacing w:after="120"/>
      </w:pPr>
      <w:r>
        <w:rPr>
          <w:b w:val="0"/>
          <w:i w:val="0"/>
        </w:rPr>
        <w:t>Two related but distinct R6G validation efforts exist in the project folder, both dated around June 2026 and both appearing to use the same 8-condition fabrication matrix (2 HF volumes × 4 soak times, Section 10); they are reported here separately because their headline numbers do not fully agree with each other (Section 20).</w:t>
      </w:r>
    </w:p>
    <w:p>
      <w:pPr>
        <w:pStyle w:val="Heading2"/>
      </w:pPr>
      <w:r>
        <w:t>11.1 Substrate-optimisation-focused analysis (project correspondence, 19 June 2026)</w:t>
      </w:r>
    </w:p>
    <w:p>
      <w:pPr>
        <w:pStyle w:val="ListBullet"/>
        <w:spacing w:after="60"/>
      </w:pPr>
      <w:r>
        <w:t>97 Raman spectra collected across the 8 fabrication conditions (785 nm, 10% laser power, 5 s integration, 5 accumulations, 2048-point detector, range −46 to 2842 cm⁻¹).</w:t>
      </w:r>
    </w:p>
    <w:p>
      <w:pPr>
        <w:pStyle w:val="ListBullet"/>
        <w:spacing w:after="60"/>
      </w:pPr>
      <w:r>
        <w:t>Preprocessing: fingerprint-region extraction (500–2000 cm⁻¹), ALS baseline correction, cosmic-ray removal, Savitzky-Golay smoothing, vector normalisation.</w:t>
      </w:r>
    </w:p>
    <w:p>
      <w:pPr>
        <w:pStyle w:val="ListBullet"/>
        <w:spacing w:after="60"/>
      </w:pPr>
      <w:r>
        <w:t>Seven R6G reference peaks tracked: 612, 773, 1184, 1312, 1361, 1507, and 1650 cm⁻¹.</w:t>
      </w:r>
    </w:p>
    <w:p>
      <w:pPr>
        <w:pStyle w:val="ListBullet"/>
        <w:spacing w:after="60"/>
      </w:pPr>
      <w:r>
        <w:rPr>
          <w:b/>
        </w:rPr>
        <w:t xml:space="preserve">Best condition identified: </w:t>
      </w:r>
      <w:r>
        <w:t>6-minute soak, 10 mL HF, composite Performance Score 0.9484; highest-SNR peak 1507 cm⁻¹; most reproducible peak 1184 cm⁻¹; mean inter-spectrum correlation 0.8757.</w:t>
      </w:r>
    </w:p>
    <w:p>
      <w:pPr>
        <w:pStyle w:val="ListBullet"/>
        <w:spacing w:after="60"/>
      </w:pPr>
      <w:r>
        <w:t>Explicitly stated as still pending at this stage: SEM/AFM substrate characterisation, enhancement-factor calculation, direct NAM validation, and detection-limit studies.</w:t>
      </w:r>
    </w:p>
    <w:p>
      <w:pPr>
        <w:pStyle w:val="Heading2"/>
      </w:pPr>
      <w:r>
        <w:t>11.2 DFT-validation-focused analysis (r6g-from-my-pc dataset, full computational pipeline)</w:t>
      </w:r>
    </w:p>
    <w:p>
      <w:pPr>
        <w:spacing w:after="120"/>
      </w:pPr>
      <w:r>
        <w:rPr>
          <w:b w:val="0"/>
          <w:i w:val="0"/>
        </w:rPr>
        <w:t>This is the most rigorous, fully reproducible quantitative analysis in the entire project. It uses the same 97-spectrum, 8-condition dataset, paired with an independent Gaussian 16 DFT calculation of R6G (B3LYP/6-311++G(d,p), 186 vibrational modes, zero imaginary frequencies, confirmed minimum).</w:t>
      </w:r>
    </w:p>
    <w:tbl>
      <w:tblPr>
        <w:tblStyle w:val="TableGrid"/>
        <w:tblW w:type="auto" w:w="0"/>
        <w:jc w:val="center"/>
        <w:tblLayout w:type="autofit"/>
        <w:tblLook w:firstColumn="1" w:firstRow="1" w:lastColumn="0" w:lastRow="0" w:noHBand="0" w:noVBand="1" w:val="04A0"/>
      </w:tblPr>
      <w:tblGrid>
        <w:gridCol w:w="4658"/>
        <w:gridCol w:w="4658"/>
      </w:tblGrid>
      <w:tr>
        <w:tc>
          <w:tcPr>
            <w:tcW w:type="dxa" w:w="3744"/>
            <w:shd w:val="clear" w:fill="2E74B5"/>
          </w:tcPr>
          <w:p>
            <w:r/>
            <w:r>
              <w:rPr>
                <w:b/>
                <w:color w:val="FFFFFF"/>
                <w:sz w:val="19"/>
              </w:rPr>
              <w:t>Metric</w:t>
            </w:r>
          </w:p>
        </w:tc>
        <w:tc>
          <w:tcPr>
            <w:tcW w:type="dxa" w:w="6192"/>
            <w:shd w:val="clear" w:fill="2E74B5"/>
          </w:tcPr>
          <w:p>
            <w:r/>
            <w:r>
              <w:rPr>
                <w:b/>
                <w:color w:val="FFFFFF"/>
                <w:sz w:val="19"/>
              </w:rPr>
              <w:t>Result</w:t>
            </w:r>
          </w:p>
        </w:tc>
      </w:tr>
      <w:tr>
        <w:tc>
          <w:tcPr>
            <w:tcW w:type="dxa" w:w="3744"/>
          </w:tcPr>
          <w:p>
            <w:r/>
            <w:r>
              <w:rPr>
                <w:sz w:val="18"/>
              </w:rPr>
              <w:t>Peak matching method</w:t>
            </w:r>
          </w:p>
        </w:tc>
        <w:tc>
          <w:tcPr>
            <w:tcW w:type="dxa" w:w="6192"/>
          </w:tcPr>
          <w:p>
            <w:r/>
            <w:r>
              <w:rPr>
                <w:sz w:val="18"/>
              </w:rPr>
              <w:t>Hungarian assignment algorithm, DFT frequency scale factor 0.967 (bootstrap cross-validated, 95% CI 0.942–0.992)</w:t>
            </w:r>
          </w:p>
        </w:tc>
      </w:tr>
      <w:tr>
        <w:tc>
          <w:tcPr>
            <w:tcW w:type="dxa" w:w="3744"/>
            <w:shd w:val="clear" w:fill="F2F6FA"/>
          </w:tcPr>
          <w:p>
            <w:r/>
            <w:r>
              <w:rPr>
                <w:sz w:val="18"/>
              </w:rPr>
              <w:t>Matched peaks</w:t>
            </w:r>
          </w:p>
        </w:tc>
        <w:tc>
          <w:tcPr>
            <w:tcW w:type="dxa" w:w="6192"/>
            <w:shd w:val="clear" w:fill="F2F6FA"/>
          </w:tcPr>
          <w:p>
            <w:r/>
            <w:r>
              <w:rPr>
                <w:sz w:val="18"/>
              </w:rPr>
              <w:t>31 peaks between DFT-predicted and experimental spectra</w:t>
            </w:r>
          </w:p>
        </w:tc>
      </w:tr>
      <w:tr>
        <w:tc>
          <w:tcPr>
            <w:tcW w:type="dxa" w:w="3744"/>
          </w:tcPr>
          <w:p>
            <w:r/>
            <w:r>
              <w:rPr>
                <w:sz w:val="18"/>
              </w:rPr>
              <w:t>Peak-position agreement</w:t>
            </w:r>
          </w:p>
        </w:tc>
        <w:tc>
          <w:tcPr>
            <w:tcW w:type="dxa" w:w="6192"/>
          </w:tcPr>
          <w:p>
            <w:r/>
            <w:r>
              <w:rPr>
                <w:sz w:val="18"/>
              </w:rPr>
              <w:t>MAE 3.65 cm⁻¹, RMSE 4.62 cm⁻¹, Pearson r = 0.99995, R² = 0.99988</w:t>
            </w:r>
          </w:p>
        </w:tc>
      </w:tr>
      <w:tr>
        <w:tc>
          <w:tcPr>
            <w:tcW w:type="dxa" w:w="3744"/>
            <w:shd w:val="clear" w:fill="F2F6FA"/>
          </w:tcPr>
          <w:p>
            <w:r/>
            <w:r>
              <w:rPr>
                <w:sz w:val="18"/>
              </w:rPr>
              <w:t>Whole-spectrum shape agreement</w:t>
            </w:r>
          </w:p>
        </w:tc>
        <w:tc>
          <w:tcPr>
            <w:tcW w:type="dxa" w:w="6192"/>
            <w:shd w:val="clear" w:fill="F2F6FA"/>
          </w:tcPr>
          <w:p>
            <w:r/>
            <w:r>
              <w:rPr>
                <w:sz w:val="18"/>
              </w:rPr>
              <w:t>Markedly weaker (cosine similarity 0.614) — expected, since gas-phase DFT of a bare molecule does not model the SERS enhancement mechanism itself</w:t>
            </w:r>
          </w:p>
        </w:tc>
      </w:tr>
      <w:tr>
        <w:tc>
          <w:tcPr>
            <w:tcW w:type="dxa" w:w="3744"/>
          </w:tcPr>
          <w:p>
            <w:r/>
            <w:r>
              <w:rPr>
                <w:sz w:val="18"/>
              </w:rPr>
              <w:t>Fabrication-condition effect on signal</w:t>
            </w:r>
          </w:p>
        </w:tc>
        <w:tc>
          <w:tcPr>
            <w:tcW w:type="dxa" w:w="6192"/>
          </w:tcPr>
          <w:p>
            <w:r/>
            <w:r>
              <w:rPr>
                <w:sz w:val="18"/>
              </w:rPr>
              <w:t>1510 cm⁻¹ band intensity correlates with the 8 ordered fabrication conditions: r = 0.853, p = 0.0071 — statistically significant evidence that fabrication parameters measurably affect SERS response</w:t>
            </w:r>
          </w:p>
        </w:tc>
      </w:tr>
      <w:tr>
        <w:tc>
          <w:tcPr>
            <w:tcW w:type="dxa" w:w="3744"/>
            <w:shd w:val="clear" w:fill="F2F6FA"/>
          </w:tcPr>
          <w:p>
            <w:r/>
            <w:r>
              <w:rPr>
                <w:sz w:val="18"/>
              </w:rPr>
              <w:t>Enhancement factor / calibration curve / LOD</w:t>
            </w:r>
          </w:p>
        </w:tc>
        <w:tc>
          <w:tcPr>
            <w:tcW w:type="dxa" w:w="6192"/>
            <w:shd w:val="clear" w:fill="F2F6FA"/>
          </w:tcPr>
          <w:p>
            <w:r/>
            <w:r>
              <w:rPr>
                <w:sz w:val="18"/>
              </w:rPr>
              <w:t>Not computed — no bulk reference spectrum or concentration series exists in this dataset; explicitly documented as absent, not overlooked</w:t>
            </w:r>
          </w:p>
        </w:tc>
      </w:tr>
    </w:tbl>
    <w:p>
      <w:pPr>
        <w:spacing w:after="40"/>
      </w:pPr>
    </w:p>
    <w:p>
      <w:pPr>
        <w:spacing w:after="120"/>
      </w:pPr>
      <w:r>
        <w:rPr>
          <w:b w:val="0"/>
          <w:i w:val="0"/>
        </w:rPr>
        <w:t>Confirmed literature R6G peaks recovered experimentally and DFT-matched include the canonical benchmark bands near 612 (610.2 cm⁻¹ found), 775 (774.4), 1360 (1362.2), and 1510 cm⁻¹ (1509.4) — i.e. the substrate reproducibly generates genuine, correctly assigned R6G Raman scattering, which is the core purpose of this validation step.</w:t>
      </w:r>
    </w:p>
    <w:p>
      <w:pPr>
        <w:pStyle w:val="Heading2"/>
      </w:pPr>
      <w:r>
        <w:t>What R6G Validation Does and Does Not Establish</w:t>
      </w:r>
    </w:p>
    <w:p>
      <w:pPr>
        <w:spacing w:after="120"/>
      </w:pPr>
      <w:r>
        <w:rPr>
          <w:b w:val="0"/>
          <w:i w:val="0"/>
        </w:rPr>
        <w:t>Taken together, the two R6G analyses establish that (1) the fabricated Ag/Si substrate is SERS-active and produces spectra whose peak positions match independently DFT-predicted R6G vibrational modes to within ~4.6 cm⁻¹ RMSE, and (2) fabrication condition (HF volume and soak time) has a statistically demonstrable effect on SERS signal intensity. They do not establish an enhancement factor, a concentration-response calibration curve, or a formal limit of detection for R6G, and — most importantly for the project's stated purpose — R6G validation alone does not demonstrate that the substrate is optimised for, or even adequately sensitive to, the three actual target biomarkers; the weak NAM-on-substrate signal reported in Section 10 shows this gap directly.</w:t>
      </w:r>
    </w:p>
    <w:p>
      <w:r>
        <w:br w:type="page"/>
      </w:r>
    </w:p>
    <w:p>
      <w:pPr>
        <w:pStyle w:val="Heading1"/>
      </w:pPr>
      <w:r>
        <w:t>12. Current NAM / LPS / LTA Detection Work</w:t>
      </w:r>
    </w:p>
    <w:p>
      <w:pPr>
        <w:spacing w:after="120"/>
      </w:pPr>
      <w:r>
        <w:rPr>
          <w:b w:val="0"/>
          <w:i w:val="0"/>
        </w:rPr>
        <w:t>Following R6G validation of the fabricated substrate (Section 11, June 2026), the project moved toward testing the actual target biomarkers directly on the substrate. This is the project's current, least-mature activity.</w:t>
      </w:r>
    </w:p>
    <w:p>
      <w:pPr>
        <w:pStyle w:val="ListBullet"/>
        <w:spacing w:after="60"/>
      </w:pPr>
      <w:r>
        <w:rPr>
          <w:b/>
        </w:rPr>
        <w:t xml:space="preserve">NAM-on-substrate — </w:t>
      </w:r>
      <w:r>
        <w:t>preliminary testing has begun and shows a weak signal (mean SNR 0.89 across substrate measurements, per the August 2026 status report). This indicates the analyte is present/detectable but the current substrate is not yet delivering strong SERS enhancement for NAM specifically, unlike the strong enhancement demonstrated for R6G.</w:t>
      </w:r>
    </w:p>
    <w:p>
      <w:pPr>
        <w:pStyle w:val="ListBullet"/>
        <w:spacing w:after="60"/>
      </w:pPr>
      <w:r>
        <w:rPr>
          <w:b/>
        </w:rPr>
        <w:t xml:space="preserve">LPS-on-substrate — </w:t>
      </w:r>
      <w:r>
        <w:t>no evidence of substrate-bound LPS testing was found in the reviewed files; LPS work remains at the raw-powder and fragment-simulation stage (Sections 6.2, 8.2, 9.2).</w:t>
      </w:r>
    </w:p>
    <w:p>
      <w:pPr>
        <w:pStyle w:val="ListBullet"/>
        <w:spacing w:after="60"/>
      </w:pPr>
      <w:r>
        <w:rPr>
          <w:b/>
        </w:rPr>
        <w:t xml:space="preserve">LTA-on-substrate — </w:t>
      </w:r>
      <w:r>
        <w:t>no evidence of substrate-bound LTA testing was found in the reviewed files; LTA work remains at the raw-powder and (unresolved) fragment-simulation stage (Sections 6.3, 8.3, 9.3).</w:t>
      </w:r>
    </w:p>
    <w:p>
      <w:pPr>
        <w:spacing w:after="120"/>
      </w:pPr>
      <w:r>
        <w:rPr>
          <w:b w:val="0"/>
          <w:i w:val="0"/>
        </w:rPr>
        <w:t>The most recent forward-looking planning document, the “July 2026 Rapid SERS Validation Plan,” lays out a concrete, not-yet-executed 5-day, 6-experiment protocol for this detection phase: (E1) R6G quality-control repeat, (E2) NAM blank/reference measurement, (E3) NAM concentration series, (E4) deposition/adsorption method comparison, (E5) acquisition-setting check, and (E6) repeatability assessment. The document explicitly instructs that nothing in this plan should be reported as “completed” until it has actually been measured — as of the most recent evidence available (early August 2026), this plan had not yet been executed, though several new strategy documents dated 7 August 2026 (NAM capture strategies, NAM detection experimental plan, SERS substrate procurement notes, boronic-acid capture-probe design rationale, and an R6G research briefing) indicate active, current re-planning of exactly this detection phase.</w:t>
      </w:r>
    </w:p>
    <w:p>
      <w:pPr>
        <w:spacing w:after="120"/>
      </w:pPr>
      <w:r>
        <w:rPr>
          <w:b w:val="0"/>
          <w:i w:val="0"/>
        </w:rPr>
        <w:t>A parallel, complementary line of planning — not yet connected to executed lab work — explores functionalised capture-probe strategies to move from passive powder/solution detection toward an active, selective capture-based sensor: vancomycin as a universal peptidoglycan (and hence NAM-proximal) capture probe (reported in the literature to give ~1000-fold capture enhancement), wheat-germ-agglutinin (WGA)-functionalised gold nanostars for GlcNAc/peptidoglycan capture (literature LOD ~7 CFU/mL for S. aureus), anti-Lipid-A antibodies or Polymyxin B for LPS capture, and anti-LTA antibodies for LTA capture — consistent with the “blood sample preparation” workflow drafted in April 2026 (Section 5).</w:t>
      </w:r>
    </w:p>
    <w:p>
      <w:r>
        <w:br w:type="page"/>
      </w:r>
    </w:p>
    <w:p>
      <w:pPr>
        <w:pStyle w:val="Heading1"/>
      </w:pPr>
      <w:r>
        <w:t>13. Instrumentation Used</w:t>
      </w:r>
    </w:p>
    <w:p>
      <w:pPr>
        <w:pStyle w:val="Heading2"/>
      </w:pPr>
      <w:r>
        <w:t>Raman Spectrometer</w:t>
      </w:r>
    </w:p>
    <w:tbl>
      <w:tblPr>
        <w:tblStyle w:val="TableGrid"/>
        <w:tblW w:type="auto" w:w="0"/>
        <w:jc w:val="center"/>
        <w:tblLayout w:type="autofit"/>
        <w:tblLook w:firstColumn="1" w:firstRow="1" w:lastColumn="0" w:lastRow="0" w:noHBand="0" w:noVBand="1" w:val="04A0"/>
      </w:tblPr>
      <w:tblGrid>
        <w:gridCol w:w="4658"/>
        <w:gridCol w:w="4658"/>
      </w:tblGrid>
      <w:tr>
        <w:tc>
          <w:tcPr>
            <w:tcW w:type="dxa" w:w="3312"/>
            <w:shd w:val="clear" w:fill="2E74B5"/>
          </w:tcPr>
          <w:p>
            <w:r/>
            <w:r>
              <w:rPr>
                <w:b/>
                <w:color w:val="FFFFFF"/>
                <w:sz w:val="19"/>
              </w:rPr>
              <w:t>Parameter</w:t>
            </w:r>
          </w:p>
        </w:tc>
        <w:tc>
          <w:tcPr>
            <w:tcW w:type="dxa" w:w="6624"/>
            <w:shd w:val="clear" w:fill="2E74B5"/>
          </w:tcPr>
          <w:p>
            <w:r/>
            <w:r>
              <w:rPr>
                <w:b/>
                <w:color w:val="FFFFFF"/>
                <w:sz w:val="19"/>
              </w:rPr>
              <w:t>Value</w:t>
            </w:r>
          </w:p>
        </w:tc>
      </w:tr>
      <w:tr>
        <w:tc>
          <w:tcPr>
            <w:tcW w:type="dxa" w:w="3312"/>
          </w:tcPr>
          <w:p>
            <w:r/>
            <w:r>
              <w:rPr>
                <w:sz w:val="18"/>
              </w:rPr>
              <w:t>Model</w:t>
            </w:r>
          </w:p>
        </w:tc>
        <w:tc>
          <w:tcPr>
            <w:tcW w:type="dxa" w:w="6624"/>
          </w:tcPr>
          <w:p>
            <w:r/>
            <w:r>
              <w:rPr>
                <w:sz w:val="18"/>
              </w:rPr>
              <w:t>B&amp;W Tek i-Raman Plus (spectrometer unit BWS465-785H; system model BTC665N-785H-SYS)</w:t>
            </w:r>
          </w:p>
        </w:tc>
      </w:tr>
      <w:tr>
        <w:tc>
          <w:tcPr>
            <w:tcW w:type="dxa" w:w="3312"/>
            <w:shd w:val="clear" w:fill="F2F6FA"/>
          </w:tcPr>
          <w:p>
            <w:r/>
            <w:r>
              <w:rPr>
                <w:sz w:val="18"/>
              </w:rPr>
              <w:t>Manufacturer</w:t>
            </w:r>
          </w:p>
        </w:tc>
        <w:tc>
          <w:tcPr>
            <w:tcW w:type="dxa" w:w="6624"/>
            <w:shd w:val="clear" w:fill="F2F6FA"/>
          </w:tcPr>
          <w:p>
            <w:r/>
            <w:r>
              <w:rPr>
                <w:sz w:val="18"/>
              </w:rPr>
              <w:t>B&amp;W Tek</w:t>
            </w:r>
          </w:p>
        </w:tc>
      </w:tr>
      <w:tr>
        <w:tc>
          <w:tcPr>
            <w:tcW w:type="dxa" w:w="3312"/>
          </w:tcPr>
          <w:p>
            <w:r/>
            <w:r>
              <w:rPr>
                <w:sz w:val="18"/>
              </w:rPr>
              <w:t>Excitation wavelength</w:t>
            </w:r>
          </w:p>
        </w:tc>
        <w:tc>
          <w:tcPr>
            <w:tcW w:type="dxa" w:w="6624"/>
          </w:tcPr>
          <w:p>
            <w:r/>
            <w:r>
              <w:rPr>
                <w:sz w:val="18"/>
              </w:rPr>
              <w:t>785 nm (784.92 nm as reported by instrument calibration)</w:t>
            </w:r>
          </w:p>
        </w:tc>
      </w:tr>
      <w:tr>
        <w:tc>
          <w:tcPr>
            <w:tcW w:type="dxa" w:w="3312"/>
            <w:shd w:val="clear" w:fill="F2F6FA"/>
          </w:tcPr>
          <w:p>
            <w:r/>
            <w:r>
              <w:rPr>
                <w:sz w:val="18"/>
              </w:rPr>
              <w:t>Laser class / max power</w:t>
            </w:r>
          </w:p>
        </w:tc>
        <w:tc>
          <w:tcPr>
            <w:tcW w:type="dxa" w:w="6624"/>
            <w:shd w:val="clear" w:fill="F2F6FA"/>
          </w:tcPr>
          <w:p>
            <w:r/>
            <w:r>
              <w:rPr>
                <w:sz w:val="18"/>
              </w:rPr>
              <w:t>Class 3B; nominal maximum output 495 mW</w:t>
            </w:r>
          </w:p>
        </w:tc>
      </w:tr>
      <w:tr>
        <w:tc>
          <w:tcPr>
            <w:tcW w:type="dxa" w:w="3312"/>
          </w:tcPr>
          <w:p>
            <w:r/>
            <w:r>
              <w:rPr>
                <w:sz w:val="18"/>
              </w:rPr>
              <w:t>Microscope / probe head</w:t>
            </w:r>
          </w:p>
        </w:tc>
        <w:tc>
          <w:tcPr>
            <w:tcW w:type="dxa" w:w="6624"/>
          </w:tcPr>
          <w:p>
            <w:r/>
            <w:r>
              <w:rPr>
                <w:sz w:val="18"/>
              </w:rPr>
              <w:t>BAC102-785E</w:t>
            </w:r>
          </w:p>
        </w:tc>
      </w:tr>
      <w:tr>
        <w:tc>
          <w:tcPr>
            <w:tcW w:type="dxa" w:w="3312"/>
            <w:shd w:val="clear" w:fill="F2F6FA"/>
          </w:tcPr>
          <w:p>
            <w:r/>
            <w:r>
              <w:rPr>
                <w:sz w:val="18"/>
              </w:rPr>
              <w:t>Objective</w:t>
            </w:r>
          </w:p>
        </w:tc>
        <w:tc>
          <w:tcPr>
            <w:tcW w:type="dxa" w:w="6624"/>
            <w:shd w:val="clear" w:fill="F2F6FA"/>
          </w:tcPr>
          <w:p>
            <w:r/>
            <w:r>
              <w:rPr>
                <w:sz w:val="18"/>
              </w:rPr>
              <w:t>20× Plan objective used throughout (50× LMPlan objective available, not used in the measurements reviewed)</w:t>
            </w:r>
          </w:p>
        </w:tc>
      </w:tr>
      <w:tr>
        <w:tc>
          <w:tcPr>
            <w:tcW w:type="dxa" w:w="3312"/>
          </w:tcPr>
          <w:p>
            <w:r/>
            <w:r>
              <w:rPr>
                <w:sz w:val="18"/>
              </w:rPr>
              <w:t>Detector</w:t>
            </w:r>
          </w:p>
        </w:tc>
        <w:tc>
          <w:tcPr>
            <w:tcW w:type="dxa" w:w="6624"/>
          </w:tcPr>
          <w:p>
            <w:r/>
            <w:r>
              <w:rPr>
                <w:sz w:val="18"/>
              </w:rPr>
              <w:t>2048-pixel array</w:t>
            </w:r>
          </w:p>
        </w:tc>
      </w:tr>
      <w:tr>
        <w:tc>
          <w:tcPr>
            <w:tcW w:type="dxa" w:w="3312"/>
            <w:shd w:val="clear" w:fill="F2F6FA"/>
          </w:tcPr>
          <w:p>
            <w:r/>
            <w:r>
              <w:rPr>
                <w:sz w:val="18"/>
              </w:rPr>
              <w:t>Spectral range</w:t>
            </w:r>
          </w:p>
        </w:tc>
        <w:tc>
          <w:tcPr>
            <w:tcW w:type="dxa" w:w="6624"/>
            <w:shd w:val="clear" w:fill="F2F6FA"/>
          </w:tcPr>
          <w:p>
            <w:r/>
            <w:r>
              <w:rPr>
                <w:sz w:val="18"/>
              </w:rPr>
              <w:t>Approximately −46 to 2842 cm⁻¹</w:t>
            </w:r>
          </w:p>
        </w:tc>
      </w:tr>
      <w:tr>
        <w:tc>
          <w:tcPr>
            <w:tcW w:type="dxa" w:w="3312"/>
          </w:tcPr>
          <w:p>
            <w:r/>
            <w:r>
              <w:rPr>
                <w:sz w:val="18"/>
              </w:rPr>
              <w:t>Spectral sampling</w:t>
            </w:r>
          </w:p>
        </w:tc>
        <w:tc>
          <w:tcPr>
            <w:tcW w:type="dxa" w:w="6624"/>
          </w:tcPr>
          <w:p>
            <w:r/>
            <w:r>
              <w:rPr>
                <w:sz w:val="18"/>
              </w:rPr>
              <w:t>Variable, ~1.4–1.8 cm⁻¹ per pixel depending on region (finer at low shift, coarser at high shift); mean spectral resolution reported as 1.41 cm⁻¹ in one dataset's QC table</w:t>
            </w:r>
          </w:p>
        </w:tc>
      </w:tr>
      <w:tr>
        <w:tc>
          <w:tcPr>
            <w:tcW w:type="dxa" w:w="3312"/>
            <w:shd w:val="clear" w:fill="F2F6FA"/>
          </w:tcPr>
          <w:p>
            <w:r/>
            <w:r>
              <w:rPr>
                <w:sz w:val="18"/>
              </w:rPr>
              <w:t>Software</w:t>
            </w:r>
          </w:p>
        </w:tc>
        <w:tc>
          <w:tcPr>
            <w:tcW w:type="dxa" w:w="6624"/>
            <w:shd w:val="clear" w:fill="F2F6FA"/>
          </w:tcPr>
          <w:p>
            <w:r/>
            <w:r>
              <w:rPr>
                <w:sz w:val="18"/>
              </w:rPr>
              <w:t>BWSpec / BWRam (version 4.15_8 referenced in raw file metadata)</w:t>
            </w:r>
          </w:p>
        </w:tc>
      </w:tr>
      <w:tr>
        <w:tc>
          <w:tcPr>
            <w:tcW w:type="dxa" w:w="3312"/>
          </w:tcPr>
          <w:p>
            <w:r/>
            <w:r>
              <w:rPr>
                <w:sz w:val="18"/>
              </w:rPr>
              <w:t>Typical operating settings used</w:t>
            </w:r>
          </w:p>
        </w:tc>
        <w:tc>
          <w:tcPr>
            <w:tcW w:type="dxa" w:w="6624"/>
          </w:tcPr>
          <w:p>
            <w:r/>
            <w:r>
              <w:rPr>
                <w:sz w:val="18"/>
              </w:rPr>
              <w:t>Laser power 5–90% of maximum (recorded in raw files as an unlabelled “laser_powerlevel” field — see Section 20 for the resulting units ambiguity); integration time 3–60 s; 1–30 accumulations, depending on experiment</w:t>
            </w:r>
          </w:p>
        </w:tc>
      </w:tr>
    </w:tbl>
    <w:p>
      <w:pPr>
        <w:spacing w:after="40"/>
      </w:pPr>
    </w:p>
    <w:p>
      <w:pPr>
        <w:spacing w:after="160"/>
        <w:ind w:left="360"/>
      </w:pPr>
      <w:r>
        <w:rPr>
          <w:i/>
          <w:color w:val="555555"/>
          <w:sz w:val="19"/>
        </w:rPr>
        <w:t>Laser power at the sample, in true milliwatts, has never been independently measured with a power meter anywhere in the project — the instrument's “laser_powerlevel” setting (an arbitrary 0–100 scale) is used throughout instead, and different project documents inconsistently describe this scale as “percent” or “Watts.” This is a specifically identified, repeatedly flagged gap in the project's own internal review notes (Section 20).</w:t>
      </w:r>
    </w:p>
    <w:p>
      <w:pPr>
        <w:pStyle w:val="Heading2"/>
      </w:pPr>
      <w:r>
        <w:t>Silicon / Substrate Characterisation Instruments</w:t>
      </w:r>
    </w:p>
    <w:p>
      <w:pPr>
        <w:spacing w:after="120"/>
      </w:pPr>
      <w:r>
        <w:rPr>
          <w:b w:val="0"/>
          <w:i w:val="0"/>
        </w:rPr>
        <w:t>Optical microscope, SEM/FESEM, AFM, profilometer, and contact-angle measurement are all listed as intended methodology in the November 2025 written project report (which specifically names FESEM for morphology, EDS for elemental composition, and UV-Vis for plasmon-resonance characterisation), but no completed characterisation images, EDS spectra, or UV-Vis data for this project's own fabricated substrate were found anywhere in the reviewed files. FESEM images referenced in the project's literature/precedent section belong to the host lab's earlier, separate sweat-metabolite sensor publication, not to this project's own substrate. This is an explicit, actionable gap (Section 17).</w:t>
      </w:r>
    </w:p>
    <w:p>
      <w:pPr>
        <w:pStyle w:val="Heading2"/>
      </w:pPr>
      <w:r>
        <w:t>Fabrication Equipment</w:t>
      </w:r>
    </w:p>
    <w:p>
      <w:pPr>
        <w:spacing w:after="120"/>
      </w:pPr>
      <w:r>
        <w:rPr>
          <w:b w:val="0"/>
          <w:i w:val="0"/>
        </w:rPr>
        <w:t>Only wet-chemical bench equipment is evidenced as actually used: standard glassware/hot plate for the Piranha clean, HF-handling equipment for the buffered-oxide-strip and electroless deposition steps, and an oven/hot plate for the 110 °C post-deposition bake. A sputtering-and-annealing route (Ag sputtered at 20/30/40 nm, annealed at 200–300 °C) is described in a planning note as a considered alternative fabrication method, but no sputtering system, thermal evaporator, PECVD, RIE/ICP-RIE, or spin-coater output data was found — none of this equipment appears to have actually been used for this project's substrate.</w:t>
      </w:r>
    </w:p>
    <w:p>
      <w:pPr>
        <w:pStyle w:val="Heading2"/>
      </w:pPr>
      <w:r>
        <w:t>Computational Infrastructure</w:t>
      </w:r>
    </w:p>
    <w:tbl>
      <w:tblPr>
        <w:tblStyle w:val="TableGrid"/>
        <w:tblW w:type="auto" w:w="0"/>
        <w:jc w:val="center"/>
        <w:tblLayout w:type="autofit"/>
        <w:tblLook w:firstColumn="1" w:firstRow="1" w:lastColumn="0" w:lastRow="0" w:noHBand="0" w:noVBand="1" w:val="04A0"/>
      </w:tblPr>
      <w:tblGrid>
        <w:gridCol w:w="4658"/>
        <w:gridCol w:w="4658"/>
      </w:tblGrid>
      <w:tr>
        <w:tc>
          <w:tcPr>
            <w:tcW w:type="dxa" w:w="3024"/>
            <w:shd w:val="clear" w:fill="2E74B5"/>
          </w:tcPr>
          <w:p>
            <w:r/>
            <w:r>
              <w:rPr>
                <w:b/>
                <w:color w:val="FFFFFF"/>
                <w:sz w:val="19"/>
              </w:rPr>
              <w:t>Component</w:t>
            </w:r>
          </w:p>
        </w:tc>
        <w:tc>
          <w:tcPr>
            <w:tcW w:type="dxa" w:w="6912"/>
            <w:shd w:val="clear" w:fill="2E74B5"/>
          </w:tcPr>
          <w:p>
            <w:r/>
            <w:r>
              <w:rPr>
                <w:b/>
                <w:color w:val="FFFFFF"/>
                <w:sz w:val="19"/>
              </w:rPr>
              <w:t>Detail</w:t>
            </w:r>
          </w:p>
        </w:tc>
      </w:tr>
      <w:tr>
        <w:tc>
          <w:tcPr>
            <w:tcW w:type="dxa" w:w="3024"/>
          </w:tcPr>
          <w:p>
            <w:r/>
            <w:r>
              <w:rPr>
                <w:sz w:val="18"/>
              </w:rPr>
              <w:t>DFT software</w:t>
            </w:r>
          </w:p>
        </w:tc>
        <w:tc>
          <w:tcPr>
            <w:tcW w:type="dxa" w:w="6912"/>
          </w:tcPr>
          <w:p>
            <w:r/>
            <w:r>
              <w:rPr>
                <w:sz w:val="18"/>
              </w:rPr>
              <w:t>Gaussian 09 and Gaussian 16 (two generations used across the project's timeline; ORCA attempted early on and abandoned)</w:t>
            </w:r>
          </w:p>
        </w:tc>
      </w:tr>
      <w:tr>
        <w:tc>
          <w:tcPr>
            <w:tcW w:type="dxa" w:w="3024"/>
            <w:shd w:val="clear" w:fill="F2F6FA"/>
          </w:tcPr>
          <w:p>
            <w:r/>
            <w:r>
              <w:rPr>
                <w:sz w:val="18"/>
              </w:rPr>
              <w:t>Compute resource</w:t>
            </w:r>
          </w:p>
        </w:tc>
        <w:tc>
          <w:tcPr>
            <w:tcW w:type="dxa" w:w="6912"/>
            <w:shd w:val="clear" w:fill="F2F6FA"/>
          </w:tcPr>
          <w:p>
            <w:r/>
            <w:r>
              <w:rPr>
                <w:sz w:val="18"/>
              </w:rPr>
              <w:t>Institute HPC cluster (IIT Jodhpur) — user-approval form on file naming Sukesh P, HPC ID M24IM1007, under Prof. Ajay Agarwal's supervision, project “Sepsis Biomarkers Analysis using SERS Sensor”</w:t>
            </w:r>
          </w:p>
        </w:tc>
      </w:tr>
      <w:tr>
        <w:tc>
          <w:tcPr>
            <w:tcW w:type="dxa" w:w="3024"/>
          </w:tcPr>
          <w:p>
            <w:r/>
            <w:r>
              <w:rPr>
                <w:sz w:val="18"/>
              </w:rPr>
              <w:t>Structure-building tools</w:t>
            </w:r>
          </w:p>
        </w:tc>
        <w:tc>
          <w:tcPr>
            <w:tcW w:type="dxa" w:w="6912"/>
          </w:tcPr>
          <w:p>
            <w:r/>
            <w:r>
              <w:rPr>
                <w:sz w:val="18"/>
              </w:rPr>
              <w:t>Avogadro and GaussView, plus RDKit-based Python scripts for programmatic Gaussian/ORCA input generation</w:t>
            </w:r>
          </w:p>
        </w:tc>
      </w:tr>
      <w:tr>
        <w:tc>
          <w:tcPr>
            <w:tcW w:type="dxa" w:w="3024"/>
            <w:shd w:val="clear" w:fill="F2F6FA"/>
          </w:tcPr>
          <w:p>
            <w:r/>
            <w:r>
              <w:rPr>
                <w:sz w:val="18"/>
              </w:rPr>
              <w:t>Typical job resources (NAM final calculation)</w:t>
            </w:r>
          </w:p>
        </w:tc>
        <w:tc>
          <w:tcPr>
            <w:tcW w:type="dxa" w:w="6912"/>
            <w:shd w:val="clear" w:fill="F2F6FA"/>
          </w:tcPr>
          <w:p>
            <w:r/>
            <w:r>
              <w:rPr>
                <w:sz w:val="18"/>
              </w:rPr>
              <w:t>16 CPU cores, 48 GB memory</w:t>
            </w:r>
          </w:p>
        </w:tc>
      </w:tr>
      <w:tr>
        <w:tc>
          <w:tcPr>
            <w:tcW w:type="dxa" w:w="3024"/>
          </w:tcPr>
          <w:p>
            <w:r/>
            <w:r>
              <w:rPr>
                <w:sz w:val="18"/>
              </w:rPr>
              <w:t>Spectral-identification software</w:t>
            </w:r>
          </w:p>
        </w:tc>
        <w:tc>
          <w:tcPr>
            <w:tcW w:type="dxa" w:w="6912"/>
          </w:tcPr>
          <w:p>
            <w:r/>
            <w:r>
              <w:rPr>
                <w:sz w:val="18"/>
              </w:rPr>
              <w:t>KnowItAll® Raman Identification Pro (adopted January 2026 for peak-library matching, validated first on a reference glucose spectrum before biomarker use)</w:t>
            </w:r>
          </w:p>
        </w:tc>
      </w:tr>
    </w:tbl>
    <w:p>
      <w:pPr>
        <w:spacing w:after="40"/>
      </w:pPr>
    </w:p>
    <w:p>
      <w:r>
        <w:br w:type="page"/>
      </w:r>
    </w:p>
    <w:p>
      <w:pPr>
        <w:pStyle w:val="Heading1"/>
      </w:pPr>
      <w:r>
        <w:t>14. Chemicals and Materials</w:t>
      </w:r>
    </w:p>
    <w:tbl>
      <w:tblPr>
        <w:tblStyle w:val="TableGrid"/>
        <w:tblW w:type="auto" w:w="0"/>
        <w:jc w:val="center"/>
        <w:tblLayout w:type="autofit"/>
        <w:tblLook w:firstColumn="1" w:firstRow="1" w:lastColumn="0" w:lastRow="0" w:noHBand="0" w:noVBand="1" w:val="04A0"/>
      </w:tblPr>
      <w:tblGrid>
        <w:gridCol w:w="2329"/>
        <w:gridCol w:w="2329"/>
        <w:gridCol w:w="2329"/>
        <w:gridCol w:w="2329"/>
      </w:tblGrid>
      <w:tr>
        <w:tc>
          <w:tcPr>
            <w:tcW w:type="dxa" w:w="2304"/>
            <w:shd w:val="clear" w:fill="2E74B5"/>
          </w:tcPr>
          <w:p>
            <w:r/>
            <w:r>
              <w:rPr>
                <w:b/>
                <w:color w:val="FFFFFF"/>
                <w:sz w:val="19"/>
              </w:rPr>
              <w:t>Chemical</w:t>
            </w:r>
          </w:p>
        </w:tc>
        <w:tc>
          <w:tcPr>
            <w:tcW w:type="dxa" w:w="3600"/>
            <w:shd w:val="clear" w:fill="2E74B5"/>
          </w:tcPr>
          <w:p>
            <w:r/>
            <w:r>
              <w:rPr>
                <w:b/>
                <w:color w:val="FFFFFF"/>
                <w:sz w:val="19"/>
              </w:rPr>
              <w:t>Identity / Supplier</w:t>
            </w:r>
          </w:p>
        </w:tc>
        <w:tc>
          <w:tcPr>
            <w:tcW w:type="dxa" w:w="1440"/>
            <w:shd w:val="clear" w:fill="2E74B5"/>
          </w:tcPr>
          <w:p>
            <w:r/>
            <w:r>
              <w:rPr>
                <w:b/>
                <w:color w:val="FFFFFF"/>
                <w:sz w:val="19"/>
              </w:rPr>
              <w:t>Purity</w:t>
            </w:r>
          </w:p>
        </w:tc>
        <w:tc>
          <w:tcPr>
            <w:tcW w:type="dxa" w:w="2592"/>
            <w:shd w:val="clear" w:fill="2E74B5"/>
          </w:tcPr>
          <w:p>
            <w:r/>
            <w:r>
              <w:rPr>
                <w:b/>
                <w:color w:val="FFFFFF"/>
                <w:sz w:val="19"/>
              </w:rPr>
              <w:t>Notes</w:t>
            </w:r>
          </w:p>
        </w:tc>
      </w:tr>
      <w:tr>
        <w:tc>
          <w:tcPr>
            <w:tcW w:type="dxa" w:w="2304"/>
          </w:tcPr>
          <w:p>
            <w:r/>
            <w:r>
              <w:rPr>
                <w:sz w:val="18"/>
              </w:rPr>
              <w:t>NAM (N-acetylmuramic acid)</w:t>
            </w:r>
          </w:p>
        </w:tc>
        <w:tc>
          <w:tcPr>
            <w:tcW w:type="dxa" w:w="3600"/>
          </w:tcPr>
          <w:p>
            <w:r/>
            <w:r>
              <w:rPr>
                <w:sz w:val="18"/>
              </w:rPr>
              <w:t>Sigma-Aldrich, catalogue A3007, CAS 10597-89-4</w:t>
            </w:r>
          </w:p>
        </w:tc>
        <w:tc>
          <w:tcPr>
            <w:tcW w:type="dxa" w:w="1440"/>
          </w:tcPr>
          <w:p>
            <w:r/>
            <w:r>
              <w:rPr>
                <w:sz w:val="18"/>
              </w:rPr>
              <w:t>≥98% (TLC)</w:t>
            </w:r>
          </w:p>
        </w:tc>
        <w:tc>
          <w:tcPr>
            <w:tcW w:type="dxa" w:w="2592"/>
          </w:tcPr>
          <w:p>
            <w:r/>
            <w:r>
              <w:rPr>
                <w:sz w:val="18"/>
              </w:rPr>
              <w:t>MW 293.27 g/mol (anhydrous), melting point 125 °C; storage 2–8 °C; lot number not recorded in any reviewed file; stated impurity ≤1 mol/mol methanol</w:t>
            </w:r>
          </w:p>
        </w:tc>
      </w:tr>
      <w:tr>
        <w:tc>
          <w:tcPr>
            <w:tcW w:type="dxa" w:w="2304"/>
            <w:shd w:val="clear" w:fill="F2F6FA"/>
          </w:tcPr>
          <w:p>
            <w:r/>
            <w:r>
              <w:rPr>
                <w:sz w:val="18"/>
              </w:rPr>
              <w:t>LPS (lipopolysaccharide)</w:t>
            </w:r>
          </w:p>
        </w:tc>
        <w:tc>
          <w:tcPr>
            <w:tcW w:type="dxa" w:w="3600"/>
            <w:shd w:val="clear" w:fill="F2F6FA"/>
          </w:tcPr>
          <w:p>
            <w:r/>
            <w:r>
              <w:rPr>
                <w:sz w:val="18"/>
              </w:rPr>
              <w:t>Sigma-Aldrich, catalogue L2630, E. coli O111:B4, phenol-extracted</w:t>
            </w:r>
          </w:p>
        </w:tc>
        <w:tc>
          <w:tcPr>
            <w:tcW w:type="dxa" w:w="1440"/>
            <w:shd w:val="clear" w:fill="F2F6FA"/>
          </w:tcPr>
          <w:p>
            <w:r/>
            <w:r>
              <w:rPr>
                <w:sz w:val="18"/>
              </w:rPr>
              <w:t>≥90–95%</w:t>
            </w:r>
          </w:p>
        </w:tc>
        <w:tc>
          <w:tcPr>
            <w:tcW w:type="dxa" w:w="2592"/>
            <w:shd w:val="clear" w:fill="F2F6FA"/>
          </w:tcPr>
          <w:p>
            <w:r/>
            <w:r>
              <w:rPr>
                <w:sz w:val="18"/>
              </w:rPr>
              <w:t>Procured Dec 2025–Jan 2026; MOQ 10 mg (~100 experiments at 0.1 mg/experiment)</w:t>
            </w:r>
          </w:p>
        </w:tc>
      </w:tr>
      <w:tr>
        <w:tc>
          <w:tcPr>
            <w:tcW w:type="dxa" w:w="2304"/>
          </w:tcPr>
          <w:p>
            <w:r/>
            <w:r>
              <w:rPr>
                <w:sz w:val="18"/>
              </w:rPr>
              <w:t>LTA (lipoteichoic acid)</w:t>
            </w:r>
          </w:p>
        </w:tc>
        <w:tc>
          <w:tcPr>
            <w:tcW w:type="dxa" w:w="3600"/>
          </w:tcPr>
          <w:p>
            <w:r/>
            <w:r>
              <w:rPr>
                <w:sz w:val="18"/>
              </w:rPr>
              <w:t>Sigma-Aldrich, catalogue L2515, Staphylococcus aureus</w:t>
            </w:r>
          </w:p>
        </w:tc>
        <w:tc>
          <w:tcPr>
            <w:tcW w:type="dxa" w:w="1440"/>
          </w:tcPr>
          <w:p>
            <w:r/>
            <w:r>
              <w:rPr>
                <w:sz w:val="18"/>
              </w:rPr>
              <w:t>&gt;95%</w:t>
            </w:r>
          </w:p>
        </w:tc>
        <w:tc>
          <w:tcPr>
            <w:tcW w:type="dxa" w:w="2592"/>
          </w:tcPr>
          <w:p>
            <w:r/>
            <w:r>
              <w:rPr>
                <w:sz w:val="18"/>
              </w:rPr>
              <w:t>Procured Dec 2025–Jan 2026; MOQ 10 mg (~100 experiments at 0.05 mg/experiment); highest-cost reagent of the three (₹30,000–40,000)</w:t>
            </w:r>
          </w:p>
        </w:tc>
      </w:tr>
      <w:tr>
        <w:tc>
          <w:tcPr>
            <w:tcW w:type="dxa" w:w="2304"/>
            <w:shd w:val="clear" w:fill="F2F6FA"/>
          </w:tcPr>
          <w:p>
            <w:r/>
            <w:r>
              <w:rPr>
                <w:sz w:val="18"/>
              </w:rPr>
              <w:t>Rhodamine 6G (R6G)</w:t>
            </w:r>
          </w:p>
        </w:tc>
        <w:tc>
          <w:tcPr>
            <w:tcW w:type="dxa" w:w="3600"/>
            <w:shd w:val="clear" w:fill="F2F6FA"/>
          </w:tcPr>
          <w:p>
            <w:r/>
            <w:r>
              <w:rPr>
                <w:sz w:val="18"/>
              </w:rPr>
              <w:t>Not explicitly documented in the reviewed files</w:t>
            </w:r>
          </w:p>
        </w:tc>
        <w:tc>
          <w:tcPr>
            <w:tcW w:type="dxa" w:w="1440"/>
            <w:shd w:val="clear" w:fill="F2F6FA"/>
          </w:tcPr>
          <w:p>
            <w:r/>
            <w:r>
              <w:rPr>
                <w:sz w:val="18"/>
              </w:rPr>
              <w:t>Not documented</w:t>
            </w:r>
          </w:p>
        </w:tc>
        <w:tc>
          <w:tcPr>
            <w:tcW w:type="dxa" w:w="2592"/>
            <w:shd w:val="clear" w:fill="F2F6FA"/>
          </w:tcPr>
          <w:p>
            <w:r/>
            <w:r>
              <w:rPr>
                <w:sz w:val="18"/>
              </w:rPr>
              <w:t>Standard benchmark SERS dye; supplier/purity/lot were not found in any file examined — an identified documentation gap</w:t>
            </w:r>
          </w:p>
        </w:tc>
      </w:tr>
      <w:tr>
        <w:tc>
          <w:tcPr>
            <w:tcW w:type="dxa" w:w="2304"/>
          </w:tcPr>
          <w:p>
            <w:r/>
            <w:r>
              <w:rPr>
                <w:sz w:val="18"/>
              </w:rPr>
              <w:t>Silver source</w:t>
            </w:r>
          </w:p>
        </w:tc>
        <w:tc>
          <w:tcPr>
            <w:tcW w:type="dxa" w:w="3600"/>
          </w:tcPr>
          <w:p>
            <w:r/>
            <w:r>
              <w:rPr>
                <w:sz w:val="18"/>
              </w:rPr>
              <w:t>Silver nitrate (AgNO₃), 6 mg per 45 mL deionised water in the electroless deposition bath</w:t>
            </w:r>
          </w:p>
        </w:tc>
        <w:tc>
          <w:tcPr>
            <w:tcW w:type="dxa" w:w="1440"/>
          </w:tcPr>
          <w:p>
            <w:r/>
            <w:r>
              <w:rPr>
                <w:sz w:val="18"/>
              </w:rPr>
              <w:t>Not documented</w:t>
            </w:r>
          </w:p>
        </w:tc>
        <w:tc>
          <w:tcPr>
            <w:tcW w:type="dxa" w:w="2592"/>
          </w:tcPr>
          <w:p>
            <w:r/>
            <w:r>
              <w:rPr>
                <w:sz w:val="18"/>
              </w:rPr>
              <w:t>Combined with hydrofluoric acid (5 or 10 mL) for electroless Ag deposition</w:t>
            </w:r>
          </w:p>
        </w:tc>
      </w:tr>
      <w:tr>
        <w:tc>
          <w:tcPr>
            <w:tcW w:type="dxa" w:w="2304"/>
            <w:shd w:val="clear" w:fill="F2F6FA"/>
          </w:tcPr>
          <w:p>
            <w:r/>
            <w:r>
              <w:rPr>
                <w:sz w:val="18"/>
              </w:rPr>
              <w:t>Silicon wafers</w:t>
            </w:r>
          </w:p>
        </w:tc>
        <w:tc>
          <w:tcPr>
            <w:tcW w:type="dxa" w:w="3600"/>
            <w:shd w:val="clear" w:fill="F2F6FA"/>
          </w:tcPr>
          <w:p>
            <w:r/>
            <w:r>
              <w:rPr>
                <w:sz w:val="18"/>
              </w:rPr>
              <w:t>n-type, phosphorus-doped, ⟨100⟩, 1–10 Ω·cm, 2-inch, 280 ± 25 µm, single-side polished, Czochralski-grown</w:t>
            </w:r>
          </w:p>
        </w:tc>
        <w:tc>
          <w:tcPr>
            <w:tcW w:type="dxa" w:w="1440"/>
            <w:shd w:val="clear" w:fill="F2F6FA"/>
          </w:tcPr>
          <w:p>
            <w:r/>
            <w:r>
              <w:rPr>
                <w:sz w:val="18"/>
              </w:rPr>
              <w:t>N/A (semiconductor-grade)</w:t>
            </w:r>
          </w:p>
        </w:tc>
        <w:tc>
          <w:tcPr>
            <w:tcW w:type="dxa" w:w="2592"/>
            <w:shd w:val="clear" w:fill="F2F6FA"/>
          </w:tcPr>
          <w:p>
            <w:r/>
            <w:r>
              <w:rPr>
                <w:sz w:val="18"/>
              </w:rPr>
              <w:t>Supplier not documented in reviewed files</w:t>
            </w:r>
          </w:p>
        </w:tc>
      </w:tr>
      <w:tr>
        <w:tc>
          <w:tcPr>
            <w:tcW w:type="dxa" w:w="2304"/>
          </w:tcPr>
          <w:p>
            <w:r/>
            <w:r>
              <w:rPr>
                <w:sz w:val="18"/>
              </w:rPr>
              <w:t>Primary solvent</w:t>
            </w:r>
          </w:p>
        </w:tc>
        <w:tc>
          <w:tcPr>
            <w:tcW w:type="dxa" w:w="3600"/>
          </w:tcPr>
          <w:p>
            <w:r/>
            <w:r>
              <w:rPr>
                <w:sz w:val="18"/>
              </w:rPr>
              <w:t>Deionised / ultrapure water</w:t>
            </w:r>
          </w:p>
        </w:tc>
        <w:tc>
          <w:tcPr>
            <w:tcW w:type="dxa" w:w="1440"/>
          </w:tcPr>
          <w:p>
            <w:r/>
            <w:r>
              <w:rPr>
                <w:sz w:val="18"/>
              </w:rPr>
              <w:t>N/A</w:t>
            </w:r>
          </w:p>
        </w:tc>
        <w:tc>
          <w:tcPr>
            <w:tcW w:type="dxa" w:w="2592"/>
          </w:tcPr>
          <w:p>
            <w:r/>
            <w:r>
              <w:rPr>
                <w:sz w:val="18"/>
              </w:rPr>
              <w:t>Selected as the best solvent for all three biomarkers after explicit solubility testing (NAM ≈ 50 mg/mL clear; LPS ≈ 5 mg/mL hazy, up to ~20 mg/mL with heat; LTA ≈ 5 mg/mL hazy); also chosen because PBS's phosphate peaks overlap the 800–1100 cm⁻¹ fingerprint region used for biomarker diagnostic bands</w:t>
            </w:r>
          </w:p>
        </w:tc>
      </w:tr>
      <w:tr>
        <w:tc>
          <w:tcPr>
            <w:tcW w:type="dxa" w:w="2304"/>
            <w:shd w:val="clear" w:fill="F2F6FA"/>
          </w:tcPr>
          <w:p>
            <w:r/>
            <w:r>
              <w:rPr>
                <w:sz w:val="18"/>
              </w:rPr>
              <w:t>Other solvents evaluated</w:t>
            </w:r>
          </w:p>
        </w:tc>
        <w:tc>
          <w:tcPr>
            <w:tcW w:type="dxa" w:w="3600"/>
            <w:shd w:val="clear" w:fill="F2F6FA"/>
          </w:tcPr>
          <w:p>
            <w:r/>
            <w:r>
              <w:rPr>
                <w:sz w:val="18"/>
              </w:rPr>
              <w:t>PBS, DMSO, DMF, ethanol</w:t>
            </w:r>
          </w:p>
        </w:tc>
        <w:tc>
          <w:tcPr>
            <w:tcW w:type="dxa" w:w="1440"/>
            <w:shd w:val="clear" w:fill="F2F6FA"/>
          </w:tcPr>
          <w:p>
            <w:r/>
            <w:r>
              <w:rPr>
                <w:sz w:val="18"/>
              </w:rPr>
              <w:t>—</w:t>
            </w:r>
          </w:p>
        </w:tc>
        <w:tc>
          <w:tcPr>
            <w:tcW w:type="dxa" w:w="2592"/>
            <w:shd w:val="clear" w:fill="F2F6FA"/>
          </w:tcPr>
          <w:p>
            <w:r/>
            <w:r>
              <w:rPr>
                <w:sz w:val="18"/>
              </w:rPr>
              <w:t>All showed inferior or unknown solubility relative to water for at least one of the three biomarkers (per project solubility tables)</w:t>
            </w:r>
          </w:p>
        </w:tc>
      </w:tr>
      <w:tr>
        <w:tc>
          <w:tcPr>
            <w:tcW w:type="dxa" w:w="2304"/>
          </w:tcPr>
          <w:p>
            <w:r/>
            <w:r>
              <w:rPr>
                <w:sz w:val="18"/>
              </w:rPr>
              <w:t>Cleaning chemicals</w:t>
            </w:r>
          </w:p>
        </w:tc>
        <w:tc>
          <w:tcPr>
            <w:tcW w:type="dxa" w:w="3600"/>
          </w:tcPr>
          <w:p>
            <w:r/>
            <w:r>
              <w:rPr>
                <w:sz w:val="18"/>
              </w:rPr>
              <w:t>Piranha solution, buffered hydrofluoric acid (HF), acetone, isopropyl alcohol (IPA), deionised water</w:t>
            </w:r>
          </w:p>
        </w:tc>
        <w:tc>
          <w:tcPr>
            <w:tcW w:type="dxa" w:w="1440"/>
          </w:tcPr>
          <w:p>
            <w:r/>
            <w:r>
              <w:rPr>
                <w:sz w:val="18"/>
              </w:rPr>
              <w:t>Not documented</w:t>
            </w:r>
          </w:p>
        </w:tc>
        <w:tc>
          <w:tcPr>
            <w:tcW w:type="dxa" w:w="2592"/>
          </w:tcPr>
          <w:p>
            <w:r/>
            <w:r>
              <w:rPr>
                <w:sz w:val="18"/>
              </w:rPr>
              <w:t>Used in substrate cleaning/native-oxide removal</w:t>
            </w:r>
          </w:p>
        </w:tc>
      </w:tr>
      <w:tr>
        <w:tc>
          <w:tcPr>
            <w:tcW w:type="dxa" w:w="2304"/>
            <w:shd w:val="clear" w:fill="F2F6FA"/>
          </w:tcPr>
          <w:p>
            <w:r/>
            <w:r>
              <w:rPr>
                <w:sz w:val="18"/>
              </w:rPr>
              <w:t>Reference / calibration compounds</w:t>
            </w:r>
          </w:p>
        </w:tc>
        <w:tc>
          <w:tcPr>
            <w:tcW w:type="dxa" w:w="3600"/>
            <w:shd w:val="clear" w:fill="F2F6FA"/>
          </w:tcPr>
          <w:p>
            <w:r/>
            <w:r>
              <w:rPr>
                <w:sz w:val="18"/>
              </w:rPr>
              <w:t>Methylene blue (1 µg/mL, used as a dye reference/contamination check in several NAM and LTA datasets); glucose (used as a non-biomarker training reference in KnowItAll® software validation)</w:t>
            </w:r>
          </w:p>
        </w:tc>
        <w:tc>
          <w:tcPr>
            <w:tcW w:type="dxa" w:w="1440"/>
            <w:shd w:val="clear" w:fill="F2F6FA"/>
          </w:tcPr>
          <w:p>
            <w:r/>
            <w:r>
              <w:rPr>
                <w:sz w:val="18"/>
              </w:rPr>
              <w:t>—</w:t>
            </w:r>
          </w:p>
        </w:tc>
        <w:tc>
          <w:tcPr>
            <w:tcW w:type="dxa" w:w="2592"/>
            <w:shd w:val="clear" w:fill="F2F6FA"/>
          </w:tcPr>
          <w:p>
            <w:r/>
            <w:r>
              <w:rPr>
                <w:sz w:val="18"/>
              </w:rPr>
              <w:t>—</w:t>
            </w:r>
          </w:p>
        </w:tc>
      </w:tr>
    </w:tbl>
    <w:p>
      <w:pPr>
        <w:spacing w:after="40"/>
      </w:pPr>
    </w:p>
    <w:p>
      <w:pPr>
        <w:spacing w:after="120"/>
      </w:pPr>
      <w:r>
        <w:rPr>
          <w:b w:val="0"/>
          <w:i w:val="0"/>
        </w:rPr>
        <w:t>Procurement budget (Dec 2025 / Jan 2026 planning): total minimum-order-quantity cost ₹54,000–78,000, plus a 15% contingency (₹12,000–20,000), for a recommended total budget of ₹66,000–98,000, split roughly as NAM ₹12,000–20,000, LPS ₹12,000–18,000, and LTA ₹30,000–40,000. This procurement is confirmed completed (both reagent consignments received by 9 January 2026).</w:t>
      </w:r>
    </w:p>
    <w:p>
      <w:r>
        <w:br w:type="page"/>
      </w:r>
    </w:p>
    <w:p>
      <w:pPr>
        <w:pStyle w:val="Heading1"/>
      </w:pPr>
      <w:r>
        <w:t>15. Data Summary</w:t>
      </w:r>
    </w:p>
    <w:tbl>
      <w:tblPr>
        <w:tblStyle w:val="TableGrid"/>
        <w:tblW w:type="auto" w:w="0"/>
        <w:jc w:val="center"/>
        <w:tblLayout w:type="autofit"/>
        <w:tblLook w:firstColumn="1" w:firstRow="1" w:lastColumn="0" w:lastRow="0" w:noHBand="0" w:noVBand="1" w:val="04A0"/>
      </w:tblPr>
      <w:tblGrid>
        <w:gridCol w:w="1863"/>
        <w:gridCol w:w="1863"/>
        <w:gridCol w:w="1863"/>
        <w:gridCol w:w="1863"/>
        <w:gridCol w:w="1863"/>
      </w:tblGrid>
      <w:tr>
        <w:tc>
          <w:tcPr>
            <w:tcW w:type="dxa" w:w="2736"/>
            <w:shd w:val="clear" w:fill="2E74B5"/>
          </w:tcPr>
          <w:p>
            <w:r/>
            <w:r>
              <w:rPr>
                <w:b/>
                <w:color w:val="FFFFFF"/>
                <w:sz w:val="19"/>
              </w:rPr>
              <w:t>Category</w:t>
            </w:r>
          </w:p>
        </w:tc>
        <w:tc>
          <w:tcPr>
            <w:tcW w:type="dxa" w:w="2448"/>
            <w:shd w:val="clear" w:fill="2E74B5"/>
          </w:tcPr>
          <w:p>
            <w:r/>
            <w:r>
              <w:rPr>
                <w:b/>
                <w:color w:val="FFFFFF"/>
                <w:sz w:val="19"/>
              </w:rPr>
              <w:t>NAM</w:t>
            </w:r>
          </w:p>
        </w:tc>
        <w:tc>
          <w:tcPr>
            <w:tcW w:type="dxa" w:w="2448"/>
            <w:shd w:val="clear" w:fill="2E74B5"/>
          </w:tcPr>
          <w:p>
            <w:r/>
            <w:r>
              <w:rPr>
                <w:b/>
                <w:color w:val="FFFFFF"/>
                <w:sz w:val="19"/>
              </w:rPr>
              <w:t>LPS</w:t>
            </w:r>
          </w:p>
        </w:tc>
        <w:tc>
          <w:tcPr>
            <w:tcW w:type="dxa" w:w="2448"/>
            <w:shd w:val="clear" w:fill="2E74B5"/>
          </w:tcPr>
          <w:p>
            <w:r/>
            <w:r>
              <w:rPr>
                <w:b/>
                <w:color w:val="FFFFFF"/>
                <w:sz w:val="19"/>
              </w:rPr>
              <w:t>LTA</w:t>
            </w:r>
          </w:p>
        </w:tc>
        <w:tc>
          <w:tcPr>
            <w:tcW w:type="dxa" w:w="1863"/>
            <w:shd w:val="clear" w:fill="2E74B5"/>
          </w:tcPr>
          <w:p>
            <w:r/>
            <w:r>
              <w:rPr>
                <w:b/>
                <w:color w:val="FFFFFF"/>
                <w:sz w:val="19"/>
              </w:rPr>
              <w:t>R6G</w:t>
            </w:r>
          </w:p>
        </w:tc>
      </w:tr>
      <w:tr>
        <w:tc>
          <w:tcPr>
            <w:tcW w:type="dxa" w:w="2736"/>
          </w:tcPr>
          <w:p>
            <w:r/>
            <w:r>
              <w:rPr>
                <w:sz w:val="18"/>
              </w:rPr>
              <w:t>DFT calculations (distinct, completed)</w:t>
            </w:r>
          </w:p>
        </w:tc>
        <w:tc>
          <w:tcPr>
            <w:tcW w:type="dxa" w:w="2448"/>
          </w:tcPr>
          <w:p>
            <w:r/>
            <w:r>
              <w:rPr>
                <w:sz w:val="18"/>
              </w:rPr>
              <w:t>3 whole-molecule runs across two theory-level generations (Gaussian 09 and Gaussian 16 variants)</w:t>
            </w:r>
          </w:p>
        </w:tc>
        <w:tc>
          <w:tcPr>
            <w:tcW w:type="dxa" w:w="2448"/>
          </w:tcPr>
          <w:p>
            <w:r/>
            <w:r>
              <w:rPr>
                <w:sz w:val="18"/>
              </w:rPr>
              <w:t>5 fragment calculations (B3LYP/6-31G(d)); whole-molecule Lipid A never completed</w:t>
            </w:r>
          </w:p>
        </w:tc>
        <w:tc>
          <w:tcPr>
            <w:tcW w:type="dxa" w:w="2448"/>
          </w:tcPr>
          <w:p>
            <w:r/>
            <w:r>
              <w:rPr>
                <w:sz w:val="18"/>
              </w:rPr>
              <w:t>3 fragment calculations (1 — glycerol-phosphate — independently verified as fully converged); whole-molecule attempt failed</w:t>
            </w:r>
          </w:p>
        </w:tc>
        <w:tc>
          <w:tcPr>
            <w:tcW w:type="dxa" w:w="1863"/>
          </w:tcPr>
          <w:p>
            <w:r/>
            <w:r>
              <w:rPr>
                <w:sz w:val="18"/>
              </w:rPr>
              <w:t>1 whole-molecule calculation (186 modes, Gaussian 16, B3LYP/6-311++G(d,p))</w:t>
            </w:r>
          </w:p>
        </w:tc>
      </w:tr>
      <w:tr>
        <w:tc>
          <w:tcPr>
            <w:tcW w:type="dxa" w:w="2736"/>
            <w:shd w:val="clear" w:fill="F2F6FA"/>
          </w:tcPr>
          <w:p>
            <w:r/>
            <w:r>
              <w:rPr>
                <w:sz w:val="18"/>
              </w:rPr>
              <w:t>Composite/NNLS spectral models</w:t>
            </w:r>
          </w:p>
        </w:tc>
        <w:tc>
          <w:tcPr>
            <w:tcW w:type="dxa" w:w="2448"/>
            <w:shd w:val="clear" w:fill="F2F6FA"/>
          </w:tcPr>
          <w:p>
            <w:r/>
            <w:r>
              <w:rPr>
                <w:sz w:val="18"/>
              </w:rPr>
              <w:t>N/A</w:t>
            </w:r>
          </w:p>
        </w:tc>
        <w:tc>
          <w:tcPr>
            <w:tcW w:type="dxa" w:w="2448"/>
            <w:shd w:val="clear" w:fill="F2F6FA"/>
          </w:tcPr>
          <w:p>
            <w:r/>
            <w:r>
              <w:rPr>
                <w:sz w:val="18"/>
              </w:rPr>
              <w:t>1 (R² = 0.18)</w:t>
            </w:r>
          </w:p>
        </w:tc>
        <w:tc>
          <w:tcPr>
            <w:tcW w:type="dxa" w:w="2448"/>
            <w:shd w:val="clear" w:fill="F2F6FA"/>
          </w:tcPr>
          <w:p>
            <w:r/>
            <w:r>
              <w:rPr>
                <w:sz w:val="18"/>
              </w:rPr>
              <w:t>1 attempted, invalid (NaN) in primary dataset</w:t>
            </w:r>
          </w:p>
        </w:tc>
        <w:tc>
          <w:tcPr>
            <w:tcW w:type="dxa" w:w="1863"/>
            <w:shd w:val="clear" w:fill="F2F6FA"/>
          </w:tcPr>
          <w:p>
            <w:r/>
            <w:r>
              <w:rPr>
                <w:sz w:val="18"/>
              </w:rPr>
              <w:t>N/A</w:t>
            </w:r>
          </w:p>
        </w:tc>
      </w:tr>
      <w:tr>
        <w:tc>
          <w:tcPr>
            <w:tcW w:type="dxa" w:w="2736"/>
          </w:tcPr>
          <w:p>
            <w:r/>
            <w:r>
              <w:rPr>
                <w:sz w:val="18"/>
              </w:rPr>
              <w:t>Raw Raman spectra (approx.)</w:t>
            </w:r>
          </w:p>
        </w:tc>
        <w:tc>
          <w:tcPr>
            <w:tcW w:type="dxa" w:w="2448"/>
          </w:tcPr>
          <w:p>
            <w:r/>
            <w:r>
              <w:rPr>
                <w:sz w:val="18"/>
              </w:rPr>
              <w:t>≈227 in the final curated archive, plus an additional ~60–80 in an independent concentration/sonication series</w:t>
            </w:r>
          </w:p>
        </w:tc>
        <w:tc>
          <w:tcPr>
            <w:tcW w:type="dxa" w:w="2448"/>
          </w:tcPr>
          <w:p>
            <w:r/>
            <w:r>
              <w:rPr>
                <w:sz w:val="18"/>
              </w:rPr>
              <w:t>Comparatively few — one systematic power/time powder series</w:t>
            </w:r>
          </w:p>
        </w:tc>
        <w:tc>
          <w:tcPr>
            <w:tcW w:type="dxa" w:w="2448"/>
          </w:tcPr>
          <w:p>
            <w:r/>
            <w:r>
              <w:rPr>
                <w:sz w:val="18"/>
              </w:rPr>
              <w:t>Several hundred across at least 6 distinct study batches (12-spot, 136-spectrum, multiple power/time sweeps)</w:t>
            </w:r>
          </w:p>
        </w:tc>
        <w:tc>
          <w:tcPr>
            <w:tcW w:type="dxa" w:w="1863"/>
          </w:tcPr>
          <w:p>
            <w:r/>
            <w:r>
              <w:rPr>
                <w:sz w:val="18"/>
              </w:rPr>
              <w:t>97 (8 fabrication conditions × 8–14 replicates)</w:t>
            </w:r>
          </w:p>
        </w:tc>
      </w:tr>
      <w:tr>
        <w:tc>
          <w:tcPr>
            <w:tcW w:type="dxa" w:w="2736"/>
            <w:shd w:val="clear" w:fill="F2F6FA"/>
          </w:tcPr>
          <w:p>
            <w:r/>
            <w:r>
              <w:rPr>
                <w:sz w:val="18"/>
              </w:rPr>
              <w:t>Fabrication conditions tested</w:t>
            </w:r>
          </w:p>
        </w:tc>
        <w:tc>
          <w:tcPr>
            <w:tcW w:type="dxa" w:w="2448"/>
            <w:shd w:val="clear" w:fill="F2F6FA"/>
          </w:tcPr>
          <w:p>
            <w:r/>
            <w:r>
              <w:rPr>
                <w:sz w:val="18"/>
              </w:rPr>
              <w:t>N/A</w:t>
            </w:r>
          </w:p>
        </w:tc>
        <w:tc>
          <w:tcPr>
            <w:tcW w:type="dxa" w:w="2448"/>
            <w:shd w:val="clear" w:fill="F2F6FA"/>
          </w:tcPr>
          <w:p>
            <w:r/>
            <w:r>
              <w:rPr>
                <w:sz w:val="18"/>
              </w:rPr>
              <w:t>N/A</w:t>
            </w:r>
          </w:p>
        </w:tc>
        <w:tc>
          <w:tcPr>
            <w:tcW w:type="dxa" w:w="2448"/>
            <w:shd w:val="clear" w:fill="F2F6FA"/>
          </w:tcPr>
          <w:p>
            <w:r/>
            <w:r>
              <w:rPr>
                <w:sz w:val="18"/>
              </w:rPr>
              <w:t>N/A</w:t>
            </w:r>
          </w:p>
        </w:tc>
        <w:tc>
          <w:tcPr>
            <w:tcW w:type="dxa" w:w="1863"/>
            <w:shd w:val="clear" w:fill="F2F6FA"/>
          </w:tcPr>
          <w:p>
            <w:r/>
            <w:r>
              <w:rPr>
                <w:sz w:val="18"/>
              </w:rPr>
              <w:t>8 (2 HF volumes × 4 soak times) — substrate used for all subsequent biomarker work</w:t>
            </w:r>
          </w:p>
        </w:tc>
      </w:tr>
      <w:tr>
        <w:tc>
          <w:tcPr>
            <w:tcW w:type="dxa" w:w="2736"/>
          </w:tcPr>
          <w:p>
            <w:r/>
            <w:r>
              <w:rPr>
                <w:sz w:val="18"/>
              </w:rPr>
              <w:t>Substrate characterisation datasets (SEM/AFM/EDS/UV-Vis)</w:t>
            </w:r>
          </w:p>
        </w:tc>
        <w:tc>
          <w:tcPr>
            <w:tcW w:type="dxa" w:w="2448"/>
          </w:tcPr>
          <w:p>
            <w:r/>
            <w:r>
              <w:rPr>
                <w:sz w:val="18"/>
              </w:rPr>
              <w:t>0 — none found for this project's own substrate</w:t>
            </w:r>
          </w:p>
        </w:tc>
        <w:tc>
          <w:tcPr>
            <w:tcW w:type="dxa" w:w="2448"/>
          </w:tcPr>
          <w:p>
            <w:r/>
            <w:r>
              <w:rPr>
                <w:sz w:val="18"/>
              </w:rPr>
            </w:r>
          </w:p>
        </w:tc>
        <w:tc>
          <w:tcPr>
            <w:tcW w:type="dxa" w:w="2448"/>
          </w:tcPr>
          <w:p>
            <w:r/>
            <w:r>
              <w:rPr>
                <w:sz w:val="18"/>
              </w:rPr>
            </w:r>
          </w:p>
        </w:tc>
        <w:tc>
          <w:tcPr>
            <w:tcW w:type="dxa" w:w="1863"/>
          </w:tcPr>
          <w:p>
            <w:r/>
            <w:r>
              <w:rPr>
                <w:sz w:val="18"/>
              </w:rPr>
            </w:r>
          </w:p>
        </w:tc>
      </w:tr>
      <w:tr>
        <w:tc>
          <w:tcPr>
            <w:tcW w:type="dxa" w:w="2736"/>
            <w:shd w:val="clear" w:fill="F2F6FA"/>
          </w:tcPr>
          <w:p>
            <w:r/>
            <w:r>
              <w:rPr>
                <w:sz w:val="18"/>
              </w:rPr>
              <w:t>Peer-reviewed literature sources reviewed</w:t>
            </w:r>
          </w:p>
        </w:tc>
        <w:tc>
          <w:tcPr>
            <w:tcW w:type="dxa" w:w="2448"/>
            <w:shd w:val="clear" w:fill="F2F6FA"/>
          </w:tcPr>
          <w:p>
            <w:r/>
            <w:r>
              <w:rPr>
                <w:sz w:val="18"/>
              </w:rPr>
              <w:t>≈15 primary papers/reviews plus several project-authored synthesis documents (Section 4 / 21)</w:t>
            </w:r>
          </w:p>
        </w:tc>
        <w:tc>
          <w:tcPr>
            <w:tcW w:type="dxa" w:w="2448"/>
            <w:shd w:val="clear" w:fill="F2F6FA"/>
          </w:tcPr>
          <w:p>
            <w:r/>
            <w:r>
              <w:rPr>
                <w:sz w:val="18"/>
              </w:rPr>
            </w:r>
          </w:p>
        </w:tc>
        <w:tc>
          <w:tcPr>
            <w:tcW w:type="dxa" w:w="2448"/>
            <w:shd w:val="clear" w:fill="F2F6FA"/>
          </w:tcPr>
          <w:p>
            <w:r/>
            <w:r>
              <w:rPr>
                <w:sz w:val="18"/>
              </w:rPr>
            </w:r>
          </w:p>
        </w:tc>
        <w:tc>
          <w:tcPr>
            <w:tcW w:type="dxa" w:w="1863"/>
            <w:shd w:val="clear" w:fill="F2F6FA"/>
          </w:tcPr>
          <w:p>
            <w:r/>
            <w:r>
              <w:rPr>
                <w:sz w:val="18"/>
              </w:rPr>
            </w:r>
          </w:p>
        </w:tc>
      </w:tr>
    </w:tbl>
    <w:p>
      <w:pPr>
        <w:spacing w:after="40"/>
      </w:pPr>
    </w:p>
    <w:p>
      <w:r>
        <w:br w:type="page"/>
      </w:r>
    </w:p>
    <w:p>
      <w:pPr>
        <w:pStyle w:val="Heading1"/>
      </w:pPr>
      <w:r>
        <w:t>16. Work Completed</w:t>
      </w:r>
    </w:p>
    <w:p>
      <w:pPr>
        <w:pStyle w:val="ListBullet"/>
        <w:spacing w:after="60"/>
      </w:pPr>
      <w:r>
        <w:rPr>
          <w:b/>
        </w:rPr>
        <w:t xml:space="preserve">Literature review — </w:t>
      </w:r>
      <w:r>
        <w:t>extensive and well-documented; the clinical, biological, and SERS-methodological rationale for the NAM/LPS/LTA panel and for the SERS+DFT approach is thoroughly supported by both external literature and the project's own synthesis documents.</w:t>
      </w:r>
    </w:p>
    <w:p>
      <w:pPr>
        <w:pStyle w:val="ListBullet"/>
        <w:spacing w:after="60"/>
      </w:pPr>
      <w:r>
        <w:rPr>
          <w:b/>
        </w:rPr>
        <w:t xml:space="preserve">Biomarker panel finalisation — </w:t>
      </w:r>
      <w:r>
        <w:t>NAM, LPS, and LTA selected and held stable as the target panel from the earliest concept deck (October 2025) through to the most recent documents (August 2026).</w:t>
      </w:r>
    </w:p>
    <w:p>
      <w:pPr>
        <w:pStyle w:val="ListBullet"/>
        <w:spacing w:after="60"/>
      </w:pPr>
      <w:r>
        <w:rPr>
          <w:b/>
        </w:rPr>
        <w:t xml:space="preserve">Reagent procurement — </w:t>
      </w:r>
      <w:r>
        <w:t>completed; all three biomarker standards (Sigma A3007, L2630, L2515) received by January 2026, within the planned budget.</w:t>
      </w:r>
    </w:p>
    <w:p>
      <w:pPr>
        <w:pStyle w:val="ListBullet"/>
        <w:spacing w:after="60"/>
      </w:pPr>
      <w:r>
        <w:rPr>
          <w:b/>
        </w:rPr>
        <w:t xml:space="preserve">DFT simulation — </w:t>
      </w:r>
      <w:r>
        <w:t>attempted for all three molecules. NAM succeeded robustly with a validated whole-molecule calculation (two theory generations, current one B3LYP-D3BJ/6-311++G(d,p)). LPS was modelled via a five-fragment NNLS composite with modest fit quality (R²=0.18). LTA was partially completed: one fragment (glycerol-phosphate) fully succeeded standalone, but both the whole-molecule attempt and the three-fragment composite fit failed to produce usable results in the primary dataset.</w:t>
      </w:r>
    </w:p>
    <w:p>
      <w:pPr>
        <w:pStyle w:val="ListBullet"/>
        <w:spacing w:after="60"/>
      </w:pPr>
      <w:r>
        <w:rPr>
          <w:b/>
        </w:rPr>
        <w:t xml:space="preserve">Raw-powder Raman characterisation — </w:t>
      </w:r>
      <w:r>
        <w:t>extensive for NAM (227 curated spectra with a documented, reproducible preprocessing and peak-validation pipeline, plus an established laser-damage safety threshold); substantial but fragmented for LTA (several hundred spectra across many ad-hoc batches); comparatively thin for LPS (one systematic powder series).</w:t>
      </w:r>
    </w:p>
    <w:p>
      <w:pPr>
        <w:pStyle w:val="ListBullet"/>
        <w:spacing w:after="60"/>
      </w:pPr>
      <w:r>
        <w:rPr>
          <w:b/>
        </w:rPr>
        <w:t xml:space="preserve">SERS substrate fabrication — </w:t>
      </w:r>
      <w:r>
        <w:t>an Ag/Si substrate was fabricated via HF-assisted electroless silver deposition across 8 candidate conditions.</w:t>
      </w:r>
    </w:p>
    <w:p>
      <w:pPr>
        <w:pStyle w:val="ListBullet"/>
        <w:spacing w:after="60"/>
      </w:pPr>
      <w:r>
        <w:rPr>
          <w:b/>
        </w:rPr>
        <w:t xml:space="preserve">Rhodamine 6G validation — </w:t>
      </w:r>
      <w:r>
        <w:t>completed with strong quantitative rigor — DFT-vs-experiment peak matching achieved RMSE 4.62 cm⁻¹ (r = 0.99995) — confirming the substrate is genuinely SERS-active and that fabrication conditions measurably affect signal.</w:t>
      </w:r>
    </w:p>
    <w:p>
      <w:pPr>
        <w:pStyle w:val="ListBullet"/>
        <w:spacing w:after="60"/>
      </w:pPr>
      <w:r>
        <w:rPr>
          <w:b/>
        </w:rPr>
        <w:t xml:space="preserve">Preliminary biomarker-on-substrate testing — </w:t>
      </w:r>
      <w:r>
        <w:t>begun for NAM only, with an initial weak signal (mean SNR 0.89) indicating substrate optimisation work remains before biomarker detection is robust.</w:t>
      </w:r>
    </w:p>
    <w:p>
      <w:pPr>
        <w:pStyle w:val="ListBullet"/>
        <w:spacing w:after="60"/>
      </w:pPr>
      <w:r>
        <w:rPr>
          <w:b/>
        </w:rPr>
        <w:t xml:space="preserve">Clinical translation planning — </w:t>
      </w:r>
      <w:r>
        <w:t>a detailed clinical sepsis biobank proposal and a 20-step blood-sample collection SOP have been fully drafted (targeting 50 sepsis / 50 suspected-negative / 30 control samples), along with a rapid capture-based blood-biomarker extraction workflow design — none of this has yet been executed with actual patient samples.</w:t>
      </w:r>
    </w:p>
    <w:p>
      <w:pPr>
        <w:pStyle w:val="ListBullet"/>
        <w:spacing w:after="60"/>
      </w:pPr>
      <w:r>
        <w:rPr>
          <w:b/>
        </w:rPr>
        <w:t xml:space="preserve">Formal academic deliverables — </w:t>
      </w:r>
      <w:r>
        <w:t>a full masters project report was written, submitted, and formally evaluated (November 2025); a complete 49-page masters thesis document was produced and certified by both supervisors (April 2026); a near-complete standalone manuscript draft exists for the NAM DFT + experimental work, targeting Spectrochimica Acta Part A.</w:t>
      </w:r>
    </w:p>
    <w:p>
      <w:r>
        <w:br w:type="page"/>
      </w:r>
    </w:p>
    <w:p>
      <w:pPr>
        <w:pStyle w:val="Heading1"/>
      </w:pPr>
      <w:r>
        <w:t>17. Remaining Work</w:t>
      </w:r>
    </w:p>
    <w:p>
      <w:pPr>
        <w:pStyle w:val="Heading2"/>
      </w:pPr>
      <w:r>
        <w:t>NAM</w:t>
      </w:r>
    </w:p>
    <w:p>
      <w:pPr>
        <w:pStyle w:val="ListBullet"/>
        <w:spacing w:after="60"/>
      </w:pPr>
      <w:r>
        <w:t>Improve substrate-bound signal (currently mean SNR 0.89) — likely requires substrate re-optimisation specifically for NAM rather than relying on the R6G-optimised condition.</w:t>
      </w:r>
    </w:p>
    <w:p>
      <w:pPr>
        <w:pStyle w:val="ListBullet"/>
        <w:spacing w:after="60"/>
      </w:pPr>
      <w:r>
        <w:t>Execute the already-designed serial-dilution concentration series (1.0 mg/mL down to 10⁻⁴ mg/mL) to establish a limit of detection.</w:t>
      </w:r>
    </w:p>
    <w:p>
      <w:pPr>
        <w:pStyle w:val="ListBullet"/>
        <w:spacing w:after="60"/>
      </w:pPr>
      <w:r>
        <w:t>Measure true laser power at the sample in milliwatts (never done) and document spectral resolution formally — both repeatedly flagged internally as the most reviewer-critical missing numbers.</w:t>
      </w:r>
    </w:p>
    <w:p>
      <w:pPr>
        <w:pStyle w:val="ListBullet"/>
        <w:spacing w:after="60"/>
      </w:pPr>
      <w:r>
        <w:t>Reconcile and retire the superseded Gaussian 09 / non-D3BJ DFT results in favour of the single current Gaussian 16 B3LYP-D3BJ/6-311++G(d,p) calculation, and independently verify the earlier report of “51 matched peaks / RMSE 2.1 cm⁻¹” against the honest ±18 cm⁻¹ matching methodology (Section 20).</w:t>
      </w:r>
    </w:p>
    <w:p>
      <w:pPr>
        <w:pStyle w:val="ListBullet"/>
        <w:spacing w:after="60"/>
      </w:pPr>
      <w:r>
        <w:t>Manually verify in GaussView that the key 731 cm⁻¹ mode is indeed the carboxylic-acid O–H wag it is currently assigned as.</w:t>
      </w:r>
    </w:p>
    <w:p>
      <w:pPr>
        <w:pStyle w:val="ListBullet"/>
        <w:spacing w:after="60"/>
      </w:pPr>
      <w:r>
        <w:t>Record the NAM reagent's lot number for provenance (never recorded).</w:t>
      </w:r>
    </w:p>
    <w:p>
      <w:pPr>
        <w:pStyle w:val="ListBullet"/>
        <w:spacing w:after="60"/>
      </w:pPr>
      <w:r>
        <w:t>Consider computing the α-anomer (the physical sample is an α/β mixture; only the β anomer has been modelled) to help resolve two still-unassigned experimental bands (831, 956 cm⁻¹).</w:t>
      </w:r>
    </w:p>
    <w:p>
      <w:pPr>
        <w:pStyle w:val="ListBullet"/>
        <w:spacing w:after="60"/>
      </w:pPr>
      <w:r>
        <w:t>Collect matched-condition glass blanks (existing blanks were measured at non-matching acquisition settings).</w:t>
      </w:r>
    </w:p>
    <w:p>
      <w:pPr>
        <w:pStyle w:val="Heading2"/>
      </w:pPr>
      <w:r>
        <w:t>LPS</w:t>
      </w:r>
    </w:p>
    <w:p>
      <w:pPr>
        <w:pStyle w:val="ListBullet"/>
        <w:spacing w:after="60"/>
      </w:pPr>
      <w:r>
        <w:t>Expand experimental powder characterisation — currently limited to a single systematic dataset; no equivalent multi-power/multi-time series exists to the depth achieved for NAM.</w:t>
      </w:r>
    </w:p>
    <w:p>
      <w:pPr>
        <w:pStyle w:val="ListBullet"/>
        <w:spacing w:after="60"/>
      </w:pPr>
      <w:r>
        <w:t>Improve the fragment/NNLS composite model (R² = 0.18 is weak) — consider additional or refined fragments, explicit O-antigen representation, or a different combination method.</w:t>
      </w:r>
    </w:p>
    <w:p>
      <w:pPr>
        <w:pStyle w:val="ListBullet"/>
        <w:spacing w:after="60"/>
      </w:pPr>
      <w:r>
        <w:t>Complete a whole-molecule (or larger fragment) Lipid A DFT calculation — currently only input files and a workflow guide exist; no calculation has actually been run.</w:t>
      </w:r>
    </w:p>
    <w:p>
      <w:pPr>
        <w:pStyle w:val="ListBullet"/>
        <w:spacing w:after="60"/>
      </w:pPr>
      <w:r>
        <w:t>Begin substrate-bound LPS SERS testing — no evidence this has started.</w:t>
      </w:r>
    </w:p>
    <w:p>
      <w:pPr>
        <w:pStyle w:val="Heading2"/>
      </w:pPr>
      <w:r>
        <w:t>LTA</w:t>
      </w:r>
    </w:p>
    <w:p>
      <w:pPr>
        <w:pStyle w:val="ListBullet"/>
        <w:spacing w:after="60"/>
      </w:pPr>
      <w:r>
        <w:t>Resolve the whole-molecule DFT geometry-optimisation failure (a fixable starting-geometry problem, not a fundamental theory-level barrier).</w:t>
      </w:r>
    </w:p>
    <w:p>
      <w:pPr>
        <w:pStyle w:val="ListBullet"/>
        <w:spacing w:after="60"/>
      </w:pPr>
      <w:r>
        <w:t>Re-run and debug the three-fragment NNLS composite fit, which currently returns invalid (NaN) results in the primary dataset.</w:t>
      </w:r>
    </w:p>
    <w:p>
      <w:pPr>
        <w:pStyle w:val="ListBullet"/>
        <w:spacing w:after="60"/>
      </w:pPr>
      <w:r>
        <w:t>Reconcile the finalmtp.docx-reported LTA fit numbers (RMSE ≈ 0.19, Pearson ≈ 0.34) against the primary dataset's failed run — determine which, if either, is correct.</w:t>
      </w:r>
    </w:p>
    <w:p>
      <w:pPr>
        <w:pStyle w:val="ListBullet"/>
        <w:spacing w:after="60"/>
      </w:pPr>
      <w:r>
        <w:t>Begin substrate-bound LTA SERS testing — no evidence this has started.</w:t>
      </w:r>
    </w:p>
    <w:p>
      <w:pPr>
        <w:pStyle w:val="ListBullet"/>
        <w:spacing w:after="60"/>
      </w:pPr>
      <w:r>
        <w:t>Consolidate the many small, ad-hoc-named LTA experimental batches into one curated archive analogous to NAM_Raman_Archive, to make the existing several-hundred spectra usable for a rigorous composite analysis.</w:t>
      </w:r>
    </w:p>
    <w:p>
      <w:pPr>
        <w:pStyle w:val="Heading2"/>
      </w:pPr>
      <w:r>
        <w:t>Cross-cutting / Platform-level</w:t>
      </w:r>
    </w:p>
    <w:p>
      <w:pPr>
        <w:pStyle w:val="ListBullet"/>
        <w:spacing w:after="60"/>
      </w:pPr>
      <w:r>
        <w:t>Perform substrate characterisation (SEM/FESEM, AFM, EDS, UV-Vis) — currently absent entirely for this project's own fabricated substrate.</w:t>
      </w:r>
    </w:p>
    <w:p>
      <w:pPr>
        <w:pStyle w:val="ListBullet"/>
        <w:spacing w:after="60"/>
      </w:pPr>
      <w:r>
        <w:t>Calculate a true SERS enhancement factor for at least one analyte, requiring a bulk (non-SERS) reference spectrum.</w:t>
      </w:r>
    </w:p>
    <w:p>
      <w:pPr>
        <w:pStyle w:val="ListBullet"/>
        <w:spacing w:after="60"/>
      </w:pPr>
      <w:r>
        <w:t>Fix the raw-data consolidation script that currently keeps only the first-seen replicate per condition rather than averaging — this silently discards the statistical benefit of existing replicate measurements.</w:t>
      </w:r>
    </w:p>
    <w:p>
      <w:pPr>
        <w:pStyle w:val="ListBullet"/>
        <w:spacing w:after="60"/>
      </w:pPr>
      <w:r>
        <w:t>Standardise and document laser-power units consistently across all datasets (currently inconsistently described as “%” or “Watts”).</w:t>
      </w:r>
    </w:p>
    <w:p>
      <w:pPr>
        <w:pStyle w:val="ListBullet"/>
        <w:spacing w:after="60"/>
      </w:pPr>
      <w:r>
        <w:t>Conduct substrate uniformity / spatial hotspot mapping — all data collected to date are single-spot point spectra, not 2D Raman maps.</w:t>
      </w:r>
    </w:p>
    <w:p>
      <w:pPr>
        <w:pStyle w:val="ListBullet"/>
        <w:spacing w:after="60"/>
      </w:pPr>
      <w:r>
        <w:t>Execute the clinical sepsis biobank plan once ethics approval is obtained — SOPs are ready but no samples have been collected.</w:t>
      </w:r>
    </w:p>
    <w:p>
      <w:pPr>
        <w:pStyle w:val="ListBullet"/>
        <w:spacing w:after="60"/>
      </w:pPr>
      <w:r>
        <w:t>Develop and validate a machine-learning / statistical classification layer — exploratory scripts exist (PCA/t-SNE framing, planned RF/SVM/CNN classifiers) but no trained, validated classifier exists yet.</w:t>
      </w:r>
    </w:p>
    <w:p>
      <w:r>
        <w:br w:type="page"/>
      </w:r>
    </w:p>
    <w:p>
      <w:pPr>
        <w:pStyle w:val="Heading1"/>
      </w:pPr>
      <w:r>
        <w:t>18. Recommendations</w:t>
      </w:r>
    </w:p>
    <w:p>
      <w:pPr>
        <w:spacing w:after="120"/>
      </w:pPr>
      <w:r>
        <w:rPr>
          <w:b w:val="0"/>
          <w:i w:val="0"/>
        </w:rPr>
        <w:t>The following recommendations are made from the perspective of an experienced SERS researcher reviewing this project's current evidence base, in priority order.</w:t>
      </w:r>
    </w:p>
    <w:p>
      <w:pPr>
        <w:pStyle w:val="ListBullet"/>
        <w:spacing w:after="60"/>
      </w:pPr>
      <w:r>
        <w:rPr>
          <w:b/>
        </w:rPr>
        <w:t xml:space="preserve">1. Characterise the substrate before further biomarker work. </w:t>
      </w:r>
      <w:r>
        <w:t>SEM/FESEM and AFM imaging of the fabricated Ag/Si substrate is basic, currently missing data that should precede further biomarker-detection experiments — without it, a weak NAM signal cannot be diagnosed as a substrate-morphology problem, a deposition problem, or an intrinsically weak NAM Raman cross-section.</w:t>
      </w:r>
    </w:p>
    <w:p>
      <w:pPr>
        <w:pStyle w:val="ListBullet"/>
        <w:spacing w:after="60"/>
      </w:pPr>
      <w:r>
        <w:rPr>
          <w:b/>
        </w:rPr>
        <w:t xml:space="preserve">2. Calculate an enhancement factor. </w:t>
      </w:r>
      <w:r>
        <w:t>Measure a bulk (non-enhanced) Raman spectrum of R6G (or NAM) at a known concentration alongside the SERS spectrum at the same concentration to compute a defensible electromagnetic enhancement factor — a number every SERS-substrate reviewer will expect and one the project currently lacks entirely.</w:t>
      </w:r>
    </w:p>
    <w:p>
      <w:pPr>
        <w:pStyle w:val="ListBullet"/>
        <w:spacing w:after="60"/>
      </w:pPr>
      <w:r>
        <w:rPr>
          <w:b/>
        </w:rPr>
        <w:t xml:space="preserve">3. Execute the already-designed NAM concentration series. </w:t>
      </w:r>
      <w:r>
        <w:t>The serial-dilution protocol (1.0 mg/mL → 10⁻⁴ mg/mL) is fully specified and ready to run; completing it would immediately yield a limit-of-detection figure, the single most-requested missing quantitative result for the most mature part of the project.</w:t>
      </w:r>
    </w:p>
    <w:p>
      <w:pPr>
        <w:pStyle w:val="ListBullet"/>
        <w:spacing w:after="60"/>
      </w:pPr>
      <w:r>
        <w:rPr>
          <w:b/>
        </w:rPr>
        <w:t xml:space="preserve">4. Reconcile and standardise the DFT methodology. </w:t>
      </w:r>
      <w:r>
        <w:t>Retire the superseded Gaussian 09 NAM results, adopt Gaussian 16 B3LYP-D3BJ/6-311++G(d,p) as the single project-wide standard, and re-verify the “51 matched peaks / RMSE 2.1 cm⁻¹” claim in finalmtp.docx against the honest ±18 cm⁻¹ matching methodology used in the final NAM archive (the project's own internal review already demonstrated that an over-generous matching window inflates apparent fit quality).</w:t>
      </w:r>
    </w:p>
    <w:p>
      <w:pPr>
        <w:pStyle w:val="ListBullet"/>
        <w:spacing w:after="60"/>
      </w:pPr>
      <w:r>
        <w:rPr>
          <w:b/>
        </w:rPr>
        <w:t xml:space="preserve">5. Debug and re-run the LTA composite fit. </w:t>
      </w:r>
      <w:r>
        <w:t>The NaN output is very likely a simple notebook-execution issue rather than a fundamental modelling failure (the individual fragment calculations, including glycerol-phosphate, are chemically sound) — this should be quick to fix and would resolve the largest single open question in the LTA simulation work.</w:t>
      </w:r>
    </w:p>
    <w:p>
      <w:pPr>
        <w:pStyle w:val="ListBullet"/>
        <w:spacing w:after="60"/>
      </w:pPr>
      <w:r>
        <w:rPr>
          <w:b/>
        </w:rPr>
        <w:t xml:space="preserve">6. Attempt the whole-molecule (or larger-fragment) Lipid A calculation with a corrected starting geometry. </w:t>
      </w:r>
      <w:r>
        <w:t>The LTA whole-molecule failure was a trivial “atoms too close” starting-geometry error; the same class of fix (re-optimise the initial 2D→3D structure conversion, or start from a cleaner PubChem 3D conformer) should be attempted for Lipid A / LPS before concluding whole-molecule LPS DFT is infeasible.</w:t>
      </w:r>
    </w:p>
    <w:p>
      <w:pPr>
        <w:pStyle w:val="ListBullet"/>
        <w:spacing w:after="60"/>
      </w:pPr>
      <w:r>
        <w:rPr>
          <w:b/>
        </w:rPr>
        <w:t xml:space="preserve">7. Reconcile the two conflicting R6G “best condition” analyses. </w:t>
      </w:r>
      <w:r>
        <w:t>The mail-correspondence analysis (6 min/10 mL HF) and the r6g-from-my-pc pipeline's SNR ranking should be checked against each other for a possible unit/labelling mismatch (minutes vs molarity in the folder-naming convention) before any single fabrication condition is adopted as the project standard.</w:t>
      </w:r>
    </w:p>
    <w:p>
      <w:pPr>
        <w:pStyle w:val="ListBullet"/>
        <w:spacing w:after="60"/>
      </w:pPr>
      <w:r>
        <w:rPr>
          <w:b/>
        </w:rPr>
        <w:t xml:space="preserve">8. Build a substrate uniformity / hotspot map. </w:t>
      </w:r>
      <w:r>
        <w:t>All Raman data collected to date are single-point spectra; a spatial (2D) Raman map of one representative substrate would directly quantify hotspot density and uniformity, supporting both the reproducibility narrative and any future patent/publication claims.</w:t>
      </w:r>
    </w:p>
    <w:p>
      <w:pPr>
        <w:pStyle w:val="ListBullet"/>
        <w:spacing w:after="60"/>
      </w:pPr>
      <w:r>
        <w:rPr>
          <w:b/>
        </w:rPr>
        <w:t xml:space="preserve">9. Fix replicate handling in the data-consolidation pipeline. </w:t>
      </w:r>
      <w:r>
        <w:t>The existing consolidation script keeps only the first-seen replicate per condition; correcting it to average (with reported standard deviation) would immediately improve the statistical rigor of every existing dataset without any new data collection.</w:t>
      </w:r>
    </w:p>
    <w:p>
      <w:pPr>
        <w:pStyle w:val="ListBullet"/>
        <w:spacing w:after="60"/>
      </w:pPr>
      <w:r>
        <w:rPr>
          <w:b/>
        </w:rPr>
        <w:t xml:space="preserve">10. Prioritise NAM for the first publication. </w:t>
      </w:r>
      <w:r>
        <w:t>Given its comparative maturity, focus near-term effort on closing the small, well-identified list of gaps in the NAM manuscript draft (Section 19) rather than delaying publication until LPS and LTA reach the same standard.</w:t>
      </w:r>
    </w:p>
    <w:p>
      <w:pPr>
        <w:pStyle w:val="ListBullet"/>
        <w:spacing w:after="60"/>
      </w:pPr>
      <w:r>
        <w:rPr>
          <w:b/>
        </w:rPr>
        <w:t xml:space="preserve">11. Pursue the capture-probe (vancomycin, WGA-gold-nanostar, anti-Lipid-A/anti-LTA antibody) strategies already researched. </w:t>
      </w:r>
      <w:r>
        <w:t>This would move the platform from passive powder/solution detection toward the originally envisioned active, blood-compatible capture-based sensor, and directly operationalises the already-designed “blood sample preparation” workflow.</w:t>
      </w:r>
    </w:p>
    <w:p>
      <w:pPr>
        <w:pStyle w:val="ListBullet"/>
        <w:spacing w:after="60"/>
      </w:pPr>
      <w:r>
        <w:rPr>
          <w:b/>
        </w:rPr>
        <w:t xml:space="preserve">12. Run repeatability / batch-to-batch reproducibility studies on the substrate itself. </w:t>
      </w:r>
      <w:r>
        <w:t>before further biomarker optimisation, confirm that repeated fabrication of the same “best” condition yields statistically consistent enhancement — this has not yet been tested (all fabrication-condition comparisons to date are across, not within, conditions).</w:t>
      </w:r>
    </w:p>
    <w:p>
      <w:r>
        <w:br w:type="page"/>
      </w:r>
    </w:p>
    <w:p>
      <w:pPr>
        <w:pStyle w:val="Heading1"/>
      </w:pPr>
      <w:r>
        <w:t>19. Publication Readiness</w:t>
      </w:r>
    </w:p>
    <w:p>
      <w:pPr>
        <w:pStyle w:val="Heading2"/>
      </w:pPr>
      <w:r>
        <w:t>NAM DFT + Experimental Raman Study</w:t>
      </w:r>
    </w:p>
    <w:p>
      <w:pPr>
        <w:spacing w:after="120"/>
      </w:pPr>
      <w:r>
        <w:rPr>
          <w:b w:val="0"/>
          <w:i w:val="0"/>
        </w:rPr>
        <w:t>This is the project's most publication-ready output. A near-complete manuscript draft already exists (NAM_Raman_Archive/05_Manuscript), targeting Spectrochimica Acta Part A: Molecular and Biomolecular Spectroscopy, built on a well-documented, reproducible 227-spectrum archive and a validated Gaussian 16 DFT calculation. The project's own internal checklist (WHATS_NEW.md / SUBMISSION_CHECKLIST.md) identifies the specific remaining gaps before submission:</w:t>
      </w:r>
    </w:p>
    <w:p>
      <w:pPr>
        <w:pStyle w:val="ListBullet"/>
        <w:spacing w:after="60"/>
      </w:pPr>
      <w:r>
        <w:t>Reagent lot number (never recorded).</w:t>
      </w:r>
    </w:p>
    <w:p>
      <w:pPr>
        <w:pStyle w:val="ListBullet"/>
        <w:spacing w:after="60"/>
      </w:pPr>
      <w:r>
        <w:t>Measured laser power in true milliwatts (never measured — only the arbitrary instrument power-level setting is on record).</w:t>
      </w:r>
    </w:p>
    <w:p>
      <w:pPr>
        <w:pStyle w:val="ListBullet"/>
        <w:spacing w:after="60"/>
      </w:pPr>
      <w:r>
        <w:t>Formal spectral-resolution documentation.</w:t>
      </w:r>
    </w:p>
    <w:p>
      <w:pPr>
        <w:pStyle w:val="ListBullet"/>
        <w:spacing w:after="60"/>
      </w:pPr>
      <w:r>
        <w:t>Matched-acquisition-condition glass blanks (existing blanks were measured at non-matching settings).</w:t>
      </w:r>
    </w:p>
    <w:p>
      <w:pPr>
        <w:pStyle w:val="ListBullet"/>
        <w:spacing w:after="60"/>
      </w:pPr>
      <w:r>
        <w:t>Co-author agreement and a CRediT authorship statement (the collaborator Dr. Mohamed Zaki Hafeez appears throughout the project but the manuscript's authorship has not been finalised).</w:t>
      </w:r>
    </w:p>
    <w:p>
      <w:pPr>
        <w:pStyle w:val="ListBullet"/>
        <w:spacing w:after="60"/>
      </w:pPr>
      <w:r>
        <w:t>Funding / acknowledgement statement.</w:t>
      </w:r>
    </w:p>
    <w:p>
      <w:pPr>
        <w:pStyle w:val="ListBullet"/>
        <w:spacing w:after="60"/>
      </w:pPr>
      <w:r>
        <w:t>Expanded reference list (currently ~14 references; ~30–45 recommended for a spectroscopy-methods paper of this scope).</w:t>
      </w:r>
    </w:p>
    <w:p>
      <w:pPr>
        <w:pStyle w:val="ListBullet"/>
        <w:spacing w:after="60"/>
      </w:pPr>
      <w:r>
        <w:t>Manual GaussView confirmation of the key 731 cm⁻¹ carboxylic-acid O–H wag assignment.</w:t>
      </w:r>
    </w:p>
    <w:p>
      <w:pPr>
        <w:pStyle w:val="Heading2"/>
      </w:pPr>
      <w:r>
        <w:t>LPS Study</w:t>
      </w:r>
    </w:p>
    <w:p>
      <w:pPr>
        <w:spacing w:after="120"/>
      </w:pPr>
      <w:r>
        <w:rPr>
          <w:b w:val="0"/>
          <w:i w:val="0"/>
        </w:rPr>
        <w:t>Pre-publication stage. The fragment-based DFT model explains only ~18% of the variance in the experimental spectrum, no whole-molecule (or larger-fragment) DFT calculation has been completed, experimental powder characterisation is comparatively thin, and no substrate-bound detection has been demonstrated. Substantial additional computational and experimental work (Section 17) is needed before this reaches publication quality.</w:t>
      </w:r>
    </w:p>
    <w:p>
      <w:pPr>
        <w:pStyle w:val="Heading2"/>
      </w:pPr>
      <w:r>
        <w:t>LTA Study</w:t>
      </w:r>
    </w:p>
    <w:p>
      <w:pPr>
        <w:spacing w:after="120"/>
      </w:pPr>
      <w:r>
        <w:rPr>
          <w:b w:val="0"/>
          <w:i w:val="0"/>
        </w:rPr>
        <w:t>Pre-publication stage, and currently the least resolved of the three. The primary composite-fit dataset is invalid (NaN), the whole-molecule DFT attempt failed outright, and a separate document reports fit numbers that cannot currently be reconciled with the primary dataset. These specific, identified issues (Section 17, item-by-item) must be resolved before any LTA results can be reported with confidence.</w:t>
      </w:r>
    </w:p>
    <w:p>
      <w:pPr>
        <w:pStyle w:val="Heading2"/>
      </w:pPr>
      <w:r>
        <w:t>SERS Substrate Fabrication + R6G Validation</w:t>
      </w:r>
    </w:p>
    <w:p>
      <w:pPr>
        <w:spacing w:after="120"/>
      </w:pPr>
      <w:r>
        <w:rPr>
          <w:b w:val="0"/>
          <w:i w:val="0"/>
        </w:rPr>
        <w:t>Could support a short, focused methods/validation paper (substrate fabrication protocol plus DFT-validated R6G benchmarking) — the R6G DFT-vs-experiment agreement (RMSE 4.62 cm⁻¹, r = 0.99995) is a genuinely strong, publishable result on its own. However, reviewers of a dedicated SERS-substrate paper will typically expect an enhancement factor, a limit of detection, and substrate morphology characterisation (SEM/AFM), none of which currently exist for this substrate. These should be completed first, or the paper scoped explicitly as a DFT-validation methods note rather than a substrate-performance paper.</w:t>
      </w:r>
    </w:p>
    <w:p>
      <w:pPr>
        <w:pStyle w:val="Heading2"/>
      </w:pPr>
      <w:r>
        <w:t>Suggested Target Journals</w:t>
      </w:r>
    </w:p>
    <w:tbl>
      <w:tblPr>
        <w:tblStyle w:val="TableGrid"/>
        <w:tblW w:type="auto" w:w="0"/>
        <w:jc w:val="center"/>
        <w:tblLayout w:type="autofit"/>
        <w:tblLook w:firstColumn="1" w:firstRow="1" w:lastColumn="0" w:lastRow="0" w:noHBand="0" w:noVBand="1" w:val="04A0"/>
      </w:tblPr>
      <w:tblGrid>
        <w:gridCol w:w="4658"/>
        <w:gridCol w:w="4658"/>
      </w:tblGrid>
      <w:tr>
        <w:tc>
          <w:tcPr>
            <w:tcW w:type="dxa" w:w="3888"/>
            <w:shd w:val="clear" w:fill="2E74B5"/>
          </w:tcPr>
          <w:p>
            <w:r/>
            <w:r>
              <w:rPr>
                <w:b/>
                <w:color w:val="FFFFFF"/>
                <w:sz w:val="19"/>
              </w:rPr>
              <w:t>Manuscript</w:t>
            </w:r>
          </w:p>
        </w:tc>
        <w:tc>
          <w:tcPr>
            <w:tcW w:type="dxa" w:w="6048"/>
            <w:shd w:val="clear" w:fill="2E74B5"/>
          </w:tcPr>
          <w:p>
            <w:r/>
            <w:r>
              <w:rPr>
                <w:b/>
                <w:color w:val="FFFFFF"/>
                <w:sz w:val="19"/>
              </w:rPr>
              <w:t>Suggested journal(s)</w:t>
            </w:r>
          </w:p>
        </w:tc>
      </w:tr>
      <w:tr>
        <w:tc>
          <w:tcPr>
            <w:tcW w:type="dxa" w:w="3888"/>
          </w:tcPr>
          <w:p>
            <w:r/>
            <w:r>
              <w:rPr>
                <w:sz w:val="18"/>
              </w:rPr>
              <w:t>NAM DFT + experimental Raman characterisation</w:t>
            </w:r>
          </w:p>
        </w:tc>
        <w:tc>
          <w:tcPr>
            <w:tcW w:type="dxa" w:w="6048"/>
          </w:tcPr>
          <w:p>
            <w:r/>
            <w:r>
              <w:rPr>
                <w:sz w:val="18"/>
              </w:rPr>
              <w:t>Spectrochimica Acta Part A: Molecular and Biomolecular Spectroscopy (already the project's internally stated target); Journal of Raman Spectroscopy; Vibrational Spectroscopy</w:t>
            </w:r>
          </w:p>
        </w:tc>
      </w:tr>
      <w:tr>
        <w:tc>
          <w:tcPr>
            <w:tcW w:type="dxa" w:w="3888"/>
            <w:shd w:val="clear" w:fill="F2F6FA"/>
          </w:tcPr>
          <w:p>
            <w:r/>
            <w:r>
              <w:rPr>
                <w:sz w:val="18"/>
              </w:rPr>
              <w:t>SERS substrate fabrication + R6G DFT validation (methods note)</w:t>
            </w:r>
          </w:p>
        </w:tc>
        <w:tc>
          <w:tcPr>
            <w:tcW w:type="dxa" w:w="6048"/>
            <w:shd w:val="clear" w:fill="F2F6FA"/>
          </w:tcPr>
          <w:p>
            <w:r/>
            <w:r>
              <w:rPr>
                <w:sz w:val="18"/>
              </w:rPr>
              <w:t>Journal of Raman Spectroscopy; Analytical and Bioanalytical Chemistry</w:t>
            </w:r>
          </w:p>
        </w:tc>
      </w:tr>
      <w:tr>
        <w:tc>
          <w:tcPr>
            <w:tcW w:type="dxa" w:w="3888"/>
          </w:tcPr>
          <w:p>
            <w:r/>
            <w:r>
              <w:rPr>
                <w:sz w:val="18"/>
              </w:rPr>
              <w:t>Full biosensor / multi-biomarker platform paper (once EF, LOD, and substrate-bound LPS/LTA/NAM detection data exist)</w:t>
            </w:r>
          </w:p>
        </w:tc>
        <w:tc>
          <w:tcPr>
            <w:tcW w:type="dxa" w:w="6048"/>
          </w:tcPr>
          <w:p>
            <w:r/>
            <w:r>
              <w:rPr>
                <w:sz w:val="18"/>
              </w:rPr>
              <w:t>Sensors and Actuators B: Chemical; Biosensors (MDPI); ACS Sensors; ACS Applied Nano Materials (more ambitious targets, appropriate once enhancement-factor, detection-limit, and ideally clinical-sample validation data are available)</w:t>
            </w:r>
          </w:p>
        </w:tc>
      </w:tr>
    </w:tbl>
    <w:p>
      <w:pPr>
        <w:spacing w:after="40"/>
      </w:pPr>
    </w:p>
    <w:p>
      <w:r>
        <w:br w:type="page"/>
      </w:r>
    </w:p>
    <w:p>
      <w:pPr>
        <w:pStyle w:val="Heading1"/>
      </w:pPr>
      <w:r>
        <w:t>20. Data Provenance, Gaps, and Internal Inconsistencies</w:t>
      </w:r>
    </w:p>
    <w:p>
      <w:pPr>
        <w:spacing w:after="120"/>
      </w:pPr>
      <w:r>
        <w:rPr>
          <w:b w:val="0"/>
          <w:i w:val="0"/>
        </w:rPr>
        <w:t>This section exists because the source instructions for this report specifically require identifying missing or contradictory information rather than silently resolving it. The project folder contains substantial duplicate and superseded material (multiple DFT generations, multiple near-identical slide decks, multiple copies of the same raw-data folders under different names) which this report has cross-referenced and consolidated wherever possible; the items below are the specific cases where consolidation was not possible from the evidence available and should be resolved by the researcher directly.</w:t>
      </w:r>
    </w:p>
    <w:tbl>
      <w:tblPr>
        <w:tblStyle w:val="TableGrid"/>
        <w:tblW w:type="auto" w:w="0"/>
        <w:jc w:val="center"/>
        <w:tblLayout w:type="autofit"/>
        <w:tblLook w:firstColumn="1" w:firstRow="1" w:lastColumn="0" w:lastRow="0" w:noHBand="0" w:noVBand="1" w:val="04A0"/>
      </w:tblPr>
      <w:tblGrid>
        <w:gridCol w:w="3106"/>
        <w:gridCol w:w="3106"/>
        <w:gridCol w:w="3106"/>
      </w:tblGrid>
      <w:tr>
        <w:tc>
          <w:tcPr>
            <w:tcW w:type="dxa" w:w="504"/>
            <w:shd w:val="clear" w:fill="2E74B5"/>
          </w:tcPr>
          <w:p>
            <w:r/>
            <w:r>
              <w:rPr>
                <w:b/>
                <w:color w:val="FFFFFF"/>
                <w:sz w:val="19"/>
              </w:rPr>
              <w:t>#</w:t>
            </w:r>
          </w:p>
        </w:tc>
        <w:tc>
          <w:tcPr>
            <w:tcW w:type="dxa" w:w="2736"/>
            <w:shd w:val="clear" w:fill="2E74B5"/>
          </w:tcPr>
          <w:p>
            <w:r/>
            <w:r>
              <w:rPr>
                <w:b/>
                <w:color w:val="FFFFFF"/>
                <w:sz w:val="19"/>
              </w:rPr>
              <w:t>Issue</w:t>
            </w:r>
          </w:p>
        </w:tc>
        <w:tc>
          <w:tcPr>
            <w:tcW w:type="dxa" w:w="6696"/>
            <w:shd w:val="clear" w:fill="2E74B5"/>
          </w:tcPr>
          <w:p>
            <w:r/>
            <w:r>
              <w:rPr>
                <w:b/>
                <w:color w:val="FFFFFF"/>
                <w:sz w:val="19"/>
              </w:rPr>
              <w:t>Detail</w:t>
            </w:r>
          </w:p>
        </w:tc>
      </w:tr>
      <w:tr>
        <w:tc>
          <w:tcPr>
            <w:tcW w:type="dxa" w:w="504"/>
          </w:tcPr>
          <w:p>
            <w:r/>
            <w:r>
              <w:rPr>
                <w:sz w:val="18"/>
              </w:rPr>
              <w:t>1</w:t>
            </w:r>
          </w:p>
        </w:tc>
        <w:tc>
          <w:tcPr>
            <w:tcW w:type="dxa" w:w="2736"/>
          </w:tcPr>
          <w:p>
            <w:r/>
            <w:r>
              <w:rPr>
                <w:sz w:val="18"/>
              </w:rPr>
              <w:t>LTA composite-fit discrepancy</w:t>
            </w:r>
          </w:p>
        </w:tc>
        <w:tc>
          <w:tcPr>
            <w:tcW w:type="dxa" w:w="6696"/>
          </w:tcPr>
          <w:p>
            <w:r/>
            <w:r>
              <w:rPr>
                <w:sz w:val="18"/>
              </w:rPr>
              <w:t>The project's primary dataset (20-04/lta/results/final_summary_report.txt) reports the LTA three-fragment NNLS fit as entirely invalid (NaN weights and NaN fit metrics). The masters thesis document (finalmtp.docx) separately reports a specific numerical LTA fit result (RMSE ≈ 0.19, Pearson ≈ 0.34). These cannot both be correct as stated; the underlying notebook/analysis should be re-run and the true result confirmed before either number is used in any publication or further report.</w:t>
            </w:r>
          </w:p>
        </w:tc>
      </w:tr>
      <w:tr>
        <w:tc>
          <w:tcPr>
            <w:tcW w:type="dxa" w:w="504"/>
            <w:shd w:val="clear" w:fill="F2F6FA"/>
          </w:tcPr>
          <w:p>
            <w:r/>
            <w:r>
              <w:rPr>
                <w:sz w:val="18"/>
              </w:rPr>
              <w:t>2</w:t>
            </w:r>
          </w:p>
        </w:tc>
        <w:tc>
          <w:tcPr>
            <w:tcW w:type="dxa" w:w="2736"/>
            <w:shd w:val="clear" w:fill="F2F6FA"/>
          </w:tcPr>
          <w:p>
            <w:r/>
            <w:r>
              <w:rPr>
                <w:sz w:val="18"/>
              </w:rPr>
              <w:t>NAM peak-matching quality — two very different numbers in circulation</w:t>
            </w:r>
          </w:p>
        </w:tc>
        <w:tc>
          <w:tcPr>
            <w:tcW w:type="dxa" w:w="6696"/>
            <w:shd w:val="clear" w:fill="F2F6FA"/>
          </w:tcPr>
          <w:p>
            <w:r/>
            <w:r>
              <w:rPr>
                <w:sz w:val="18"/>
              </w:rPr>
              <w:t>The project's own final, most rigorously documented archive (NAM_Raman_Archive) reports 30/41 matched bands, MAE 9.27 cm⁻¹, RMSE 10.29 cm⁻¹. The masters thesis (finalmtp.docx) separately reports “51 matched peaks, RMSE ≈ 2.1 cm⁻¹.” The project's own internal methodological audit (REPO_REVIEW.md) independently demonstrated that an earlier, similarly optimistic claim (“RMSE 2.12 cm⁻¹ / 51 matched peaks”) was an artefact of an overly generous ±10 cm⁻¹ matching window that silently drops disagreeing peaks, and that a defensible ±18 cm⁻¹ discrete-mode-matching approach gives the ~10 cm⁻¹ figures. This report treats the ~10 cm⁻¹ figures as authoritative; the 2.1 cm⁻¹ figure should be treated with strong suspicion unless it can be independently reproduced under the honest matching methodology.</w:t>
            </w:r>
          </w:p>
        </w:tc>
      </w:tr>
      <w:tr>
        <w:tc>
          <w:tcPr>
            <w:tcW w:type="dxa" w:w="504"/>
          </w:tcPr>
          <w:p>
            <w:r/>
            <w:r>
              <w:rPr>
                <w:sz w:val="18"/>
              </w:rPr>
              <w:t>3</w:t>
            </w:r>
          </w:p>
        </w:tc>
        <w:tc>
          <w:tcPr>
            <w:tcW w:type="dxa" w:w="2736"/>
          </w:tcPr>
          <w:p>
            <w:r/>
            <w:r>
              <w:rPr>
                <w:sz w:val="18"/>
              </w:rPr>
              <w:t>R6G “best fabrication condition” — two different answers</w:t>
            </w:r>
          </w:p>
        </w:tc>
        <w:tc>
          <w:tcPr>
            <w:tcW w:type="dxa" w:w="6696"/>
          </w:tcPr>
          <w:p>
            <w:r/>
            <w:r>
              <w:rPr>
                <w:sz w:val="18"/>
              </w:rPr>
              <w:t>An email-based analysis (19 June 2026) identifies 6-minute soak / 10 mL HF as best (Performance Score 0.9484). The separate, more rigorous r6g-from-my-pc DFT-validation pipeline's SNR ranking identifies a condition labelled “5m-5ml” as having the highest mean SNR (182.29). It is not established in the available evidence whether the “3m/4m/5m/6m” folder-naming prefix in the r6g-from-my-pc dataset denotes minutes (matching the mail-thread's 3–6 minute soak-time description) or molarity — this ambiguity should be resolved directly from the original lab notebook before a single “best” fabrication condition is adopted project-wide.</w:t>
            </w:r>
          </w:p>
        </w:tc>
      </w:tr>
      <w:tr>
        <w:tc>
          <w:tcPr>
            <w:tcW w:type="dxa" w:w="504"/>
            <w:shd w:val="clear" w:fill="F2F6FA"/>
          </w:tcPr>
          <w:p>
            <w:r/>
            <w:r>
              <w:rPr>
                <w:sz w:val="18"/>
              </w:rPr>
              <w:t>4</w:t>
            </w:r>
          </w:p>
        </w:tc>
        <w:tc>
          <w:tcPr>
            <w:tcW w:type="dxa" w:w="2736"/>
            <w:shd w:val="clear" w:fill="F2F6FA"/>
          </w:tcPr>
          <w:p>
            <w:r/>
            <w:r>
              <w:rPr>
                <w:sz w:val="18"/>
              </w:rPr>
              <w:t>Laser power units undocumented</w:t>
            </w:r>
          </w:p>
        </w:tc>
        <w:tc>
          <w:tcPr>
            <w:tcW w:type="dxa" w:w="6696"/>
            <w:shd w:val="clear" w:fill="F2F6FA"/>
          </w:tcPr>
          <w:p>
            <w:r/>
            <w:r>
              <w:rPr>
                <w:sz w:val="18"/>
              </w:rPr>
              <w:t>The raw instrument CSV field “laser_powerlevel” is a unitless 0–100 setting. Different project documents describe the same numbers inconsistently as “percent” or “Watts.” True optical power at the sample, in milliwatts, has never been measured with a power meter anywhere in the reviewed files.</w:t>
            </w:r>
          </w:p>
        </w:tc>
      </w:tr>
      <w:tr>
        <w:tc>
          <w:tcPr>
            <w:tcW w:type="dxa" w:w="504"/>
          </w:tcPr>
          <w:p>
            <w:r/>
            <w:r>
              <w:rPr>
                <w:sz w:val="18"/>
              </w:rPr>
              <w:t>5</w:t>
            </w:r>
          </w:p>
        </w:tc>
        <w:tc>
          <w:tcPr>
            <w:tcW w:type="dxa" w:w="2736"/>
          </w:tcPr>
          <w:p>
            <w:r/>
            <w:r>
              <w:rPr>
                <w:sz w:val="18"/>
              </w:rPr>
              <w:t>Replicate-averaging not actually performed</w:t>
            </w:r>
          </w:p>
        </w:tc>
        <w:tc>
          <w:tcPr>
            <w:tcW w:type="dxa" w:w="6696"/>
          </w:tcPr>
          <w:p>
            <w:r/>
            <w:r>
              <w:rPr>
                <w:sz w:val="18"/>
              </w:rPr>
              <w:t>The NAM data-consolidation script (consolidate_raman_data.py) keeps only the first-occurring replicate for each power/time condition and silently discards subsequent replicates rather than averaging them, despite folder names explicitly advertising 2-, 10-, and 15-replicate sets. Any statistic in project documents that implies replicate-averaged data from this pipeline should be checked against the actual script behaviour.</w:t>
            </w:r>
          </w:p>
        </w:tc>
      </w:tr>
      <w:tr>
        <w:tc>
          <w:tcPr>
            <w:tcW w:type="dxa" w:w="504"/>
            <w:shd w:val="clear" w:fill="F2F6FA"/>
          </w:tcPr>
          <w:p>
            <w:r/>
            <w:r>
              <w:rPr>
                <w:sz w:val="18"/>
              </w:rPr>
              <w:t>6</w:t>
            </w:r>
          </w:p>
        </w:tc>
        <w:tc>
          <w:tcPr>
            <w:tcW w:type="dxa" w:w="2736"/>
            <w:shd w:val="clear" w:fill="F2F6FA"/>
          </w:tcPr>
          <w:p>
            <w:r/>
            <w:r>
              <w:rPr>
                <w:sz w:val="18"/>
              </w:rPr>
              <w:t>Duplicate / near-duplicate raw-data folders</w:t>
            </w:r>
          </w:p>
        </w:tc>
        <w:tc>
          <w:tcPr>
            <w:tcW w:type="dxa" w:w="6696"/>
            <w:shd w:val="clear" w:fill="F2F6FA"/>
          </w:tcPr>
          <w:p>
            <w:r/>
            <w:r>
              <w:rPr>
                <w:sz w:val="18"/>
              </w:rPr>
              <w:t>Several NAM folders appear structurally identical or near-identical under different names (e.g. “sukesh NAM Raman data” at the project root vs. “raman-data/sukesh/NAM”; “data from pc raw powder” vs. “data of Dry powder”), with small file-count discrepancies between supposed duplicates in some cases. These were treated as duplicates for the purposes of this report's data-volume estimates but were not byte-for-byte verified in every instance.</w:t>
            </w:r>
          </w:p>
        </w:tc>
      </w:tr>
      <w:tr>
        <w:tc>
          <w:tcPr>
            <w:tcW w:type="dxa" w:w="504"/>
          </w:tcPr>
          <w:p>
            <w:r/>
            <w:r>
              <w:rPr>
                <w:sz w:val="18"/>
              </w:rPr>
              <w:t>7</w:t>
            </w:r>
          </w:p>
        </w:tc>
        <w:tc>
          <w:tcPr>
            <w:tcW w:type="dxa" w:w="2736"/>
          </w:tcPr>
          <w:p>
            <w:r/>
            <w:r>
              <w:rPr>
                <w:sz w:val="18"/>
              </w:rPr>
              <w:t>Rhodamine 6G supplier/purity not documented</w:t>
            </w:r>
          </w:p>
        </w:tc>
        <w:tc>
          <w:tcPr>
            <w:tcW w:type="dxa" w:w="6696"/>
          </w:tcPr>
          <w:p>
            <w:r/>
            <w:r>
              <w:rPr>
                <w:sz w:val="18"/>
              </w:rPr>
              <w:t>No file identifies the supplier, purity, or lot of the Rhodamine 6G dye used in substrate validation.</w:t>
            </w:r>
          </w:p>
        </w:tc>
      </w:tr>
      <w:tr>
        <w:tc>
          <w:tcPr>
            <w:tcW w:type="dxa" w:w="504"/>
            <w:shd w:val="clear" w:fill="F2F6FA"/>
          </w:tcPr>
          <w:p>
            <w:r/>
            <w:r>
              <w:rPr>
                <w:sz w:val="18"/>
              </w:rPr>
              <w:t>8</w:t>
            </w:r>
          </w:p>
        </w:tc>
        <w:tc>
          <w:tcPr>
            <w:tcW w:type="dxa" w:w="2736"/>
            <w:shd w:val="clear" w:fill="F2F6FA"/>
          </w:tcPr>
          <w:p>
            <w:r/>
            <w:r>
              <w:rPr>
                <w:sz w:val="18"/>
              </w:rPr>
              <w:t>No substrate morphology characterisation for this project's own substrate</w:t>
            </w:r>
          </w:p>
        </w:tc>
        <w:tc>
          <w:tcPr>
            <w:tcW w:type="dxa" w:w="6696"/>
            <w:shd w:val="clear" w:fill="F2F6FA"/>
          </w:tcPr>
          <w:p>
            <w:r/>
            <w:r>
              <w:rPr>
                <w:sz w:val="18"/>
              </w:rPr>
              <w:t>SEM/FESEM, AFM, EDS, and UV-Vis characterisation are all listed as intended methodology in the original project report, but every FESEM image actually found in the reviewed files belongs to the host lab's earlier, separate sweat-metabolite sensor publication — none belongs to this project's own fabricated Ag/Si substrate.</w:t>
            </w:r>
          </w:p>
        </w:tc>
      </w:tr>
      <w:tr>
        <w:tc>
          <w:tcPr>
            <w:tcW w:type="dxa" w:w="504"/>
          </w:tcPr>
          <w:p>
            <w:r/>
            <w:r>
              <w:rPr>
                <w:sz w:val="18"/>
              </w:rPr>
              <w:t>9</w:t>
            </w:r>
          </w:p>
        </w:tc>
        <w:tc>
          <w:tcPr>
            <w:tcW w:type="dxa" w:w="2736"/>
          </w:tcPr>
          <w:p>
            <w:r/>
            <w:r>
              <w:rPr>
                <w:sz w:val="18"/>
              </w:rPr>
              <w:t>Two different biomarker-panel framings coexist</w:t>
            </w:r>
          </w:p>
        </w:tc>
        <w:tc>
          <w:tcPr>
            <w:tcW w:type="dxa" w:w="6696"/>
          </w:tcPr>
          <w:p>
            <w:r/>
            <w:r>
              <w:rPr>
                <w:sz w:val="18"/>
              </w:rPr>
              <w:t>The core thesis narrative (NAM/LPS/LTA, all documents from Oct 2025 onward) is stable and consistent. A single adjacent document (the “Genpact Student Fellowship” deck, 30 Oct 2025) instead frames the project around CRP/IL-6/TNF-α with a heavy AI/ML emphasis. This report treats the fellowship deck as a parallel funding-application narrative rather than part of the core experimental timeline, since no CRP/IL-6/TNF-α experimental data appears anywhere else in the project.</w:t>
            </w:r>
          </w:p>
        </w:tc>
      </w:tr>
      <w:tr>
        <w:tc>
          <w:tcPr>
            <w:tcW w:type="dxa" w:w="504"/>
            <w:shd w:val="clear" w:fill="F2F6FA"/>
          </w:tcPr>
          <w:p>
            <w:r/>
            <w:r>
              <w:rPr>
                <w:sz w:val="18"/>
              </w:rPr>
              <w:t>10</w:t>
            </w:r>
          </w:p>
        </w:tc>
        <w:tc>
          <w:tcPr>
            <w:tcW w:type="dxa" w:w="2736"/>
            <w:shd w:val="clear" w:fill="F2F6FA"/>
          </w:tcPr>
          <w:p>
            <w:r/>
            <w:r>
              <w:rPr>
                <w:sz w:val="18"/>
              </w:rPr>
              <w:t>Patent / IP status</w:t>
            </w:r>
          </w:p>
        </w:tc>
        <w:tc>
          <w:tcPr>
            <w:tcW w:type="dxa" w:w="6696"/>
            <w:shd w:val="clear" w:fill="F2F6FA"/>
          </w:tcPr>
          <w:p>
            <w:r/>
            <w:r>
              <w:rPr>
                <w:sz w:val="18"/>
              </w:rPr>
              <w:t>Consistently stated across documents (Nov 2025 report and April 2026 thesis) that no patent has been filed; filing is planned for after experimental validation and prototype development.</w:t>
            </w:r>
          </w:p>
        </w:tc>
      </w:tr>
      <w:tr>
        <w:tc>
          <w:tcPr>
            <w:tcW w:type="dxa" w:w="504"/>
          </w:tcPr>
          <w:p>
            <w:r/>
            <w:r>
              <w:rPr>
                <w:sz w:val="18"/>
              </w:rPr>
              <w:t>11</w:t>
            </w:r>
          </w:p>
        </w:tc>
        <w:tc>
          <w:tcPr>
            <w:tcW w:type="dxa" w:w="2736"/>
          </w:tcPr>
          <w:p>
            <w:r/>
            <w:r>
              <w:rPr>
                <w:sz w:val="18"/>
              </w:rPr>
              <w:t>Evaluation grade illegible</w:t>
            </w:r>
          </w:p>
        </w:tc>
        <w:tc>
          <w:tcPr>
            <w:tcW w:type="dxa" w:w="6696"/>
          </w:tcPr>
          <w:p>
            <w:r/>
            <w:r>
              <w:rPr>
                <w:sz w:val="18"/>
              </w:rPr>
              <w:t>The IDRP masters-project evaluation form (24 Nov 2025) is a handwritten, circle-the-grade document; optical character recognition could not reliably determine which grade was circled. A direct visual check of the original scanned form is recommended if this grade is needed.</w:t>
            </w:r>
          </w:p>
        </w:tc>
      </w:tr>
    </w:tbl>
    <w:p>
      <w:pPr>
        <w:spacing w:after="40"/>
      </w:pPr>
    </w:p>
    <w:p>
      <w:r>
        <w:br w:type="page"/>
      </w:r>
    </w:p>
    <w:p>
      <w:pPr>
        <w:pStyle w:val="Heading1"/>
      </w:pPr>
      <w:r>
        <w:t>21. References</w:t>
      </w:r>
    </w:p>
    <w:p>
      <w:pPr>
        <w:spacing w:after="120"/>
      </w:pPr>
      <w:r>
        <w:rPr>
          <w:b w:val="0"/>
          <w:i w:val="0"/>
        </w:rPr>
        <w:t>Compiled only from sources actually identified within the project folder (external literature the project cites, plus the project's own primary internal documents). Full bibliographic detail is as captured in the source files; some entries reflect abbreviated in-text citation style used in the original project documents.</w:t>
      </w:r>
    </w:p>
    <w:p>
      <w:pPr>
        <w:pStyle w:val="Heading2"/>
      </w:pPr>
      <w:r>
        <w:t>External literature</w:t>
      </w:r>
    </w:p>
    <w:p>
      <w:pPr>
        <w:pStyle w:val="ListNumber"/>
        <w:spacing w:after="60"/>
      </w:pPr>
      <w:r>
        <w:t>Opal, S.M.; Cohen, J. “Clinical Gram-positive sepsis: Does it fundamentally differ from Gram-negative bacterial sepsis?” Critical Care Medicine 27:1608–1616 (1999).</w:t>
      </w:r>
    </w:p>
    <w:p>
      <w:pPr>
        <w:pStyle w:val="ListNumber"/>
        <w:spacing w:after="60"/>
      </w:pPr>
      <w:r>
        <w:t>Pilot, R.; Signorini, R.; Durante, C.; Orian, L.; Bhamidipati, M.; Fabris, L. “A Review on Surface-Enhanced Raman Scattering.” Biosensors 9(2):57 (2019). DOI:10.3390/bios9020057.</w:t>
      </w:r>
    </w:p>
    <w:p>
      <w:pPr>
        <w:pStyle w:val="ListNumber"/>
        <w:spacing w:after="60"/>
      </w:pPr>
      <w:r>
        <w:t>Chauhan, N.; Saxena, K.; Rawal, R.; Yadav, L.; Jain, U. “Advances in surface-enhanced Raman spectroscopy-based sensors for detection of various biomarkers.” Progress in Biophysics and Molecular Biology 184:32–41 (2023). DOI:10.1016/j.pbiomolbio.2023.08.003.</w:t>
      </w:r>
    </w:p>
    <w:p>
      <w:pPr>
        <w:pStyle w:val="ListNumber"/>
        <w:spacing w:after="60"/>
      </w:pPr>
      <w:r>
        <w:t>Muniz-Miranda, M.; Muniz-Miranda, F.; Menziani, M.C.; Pedone, A. “Can DFT Calculations Provide Useful Information for SERS Applications?” Molecules 28:573 (2023). DOI:10.3390/molecules28020573.</w:t>
      </w:r>
    </w:p>
    <w:p>
      <w:pPr>
        <w:pStyle w:val="ListNumber"/>
        <w:spacing w:after="60"/>
      </w:pPr>
      <w:r>
        <w:t>Chen, Y.; Yan, A.; Zhang, L.; Hu, X.; Chen, L.; Cui, J.; Fan, Z.; Li, Y. “Comparative analysis of inflammatory biomarkers for the diagnosis of neonatal sepsis: IL-6, IL-8, SAA, CRP, and PCT.” Open Life Sciences 20:20221005 (2024).</w:t>
      </w:r>
    </w:p>
    <w:p>
      <w:pPr>
        <w:pStyle w:val="ListNumber"/>
        <w:spacing w:after="60"/>
      </w:pPr>
      <w:r>
        <w:t>Rahbar, M.; Wu, Y.; Subramony, J.A.; Liu, G. “Sensitive Colorimetric Detection of Interleukin-6 via Lateral Flow Assay Incorporated Silver Amplification Method.” Frontiers in Bioengineering and Biotechnology 9:778269 (2021). DOI:10.3389/fbioe.2021.778269.</w:t>
      </w:r>
    </w:p>
    <w:p>
      <w:pPr>
        <w:pStyle w:val="ListNumber"/>
        <w:spacing w:after="60"/>
      </w:pPr>
      <w:r>
        <w:t>Tanaka, T.; Narazaki, M.; Kishimoto, T. “IL-6 in Inflammation, Immunity, and Disease.” Cold Spring Harbor Perspectives in Biology 6:a016295 (2014).</w:t>
      </w:r>
    </w:p>
    <w:p>
      <w:pPr>
        <w:pStyle w:val="ListNumber"/>
        <w:spacing w:after="60"/>
      </w:pPr>
      <w:r>
        <w:t>Raetz, C.R.H.; Whitfield, C. “Lipopolysaccharide Endotoxins.” Annual Review of Biochemistry 71:635–700 (2002).</w:t>
      </w:r>
    </w:p>
    <w:p>
      <w:pPr>
        <w:pStyle w:val="ListNumber"/>
        <w:spacing w:after="60"/>
      </w:pPr>
      <w:r>
        <w:t>Weidenmaier, C.; Peschel, A. “Teichoic acids and related cell-wall glycopolymers in Gram-positive physiology and host interactions.” Nature Reviews Microbiology 6:276–287 (2008).</w:t>
      </w:r>
    </w:p>
    <w:p>
      <w:pPr>
        <w:pStyle w:val="ListNumber"/>
        <w:spacing w:after="60"/>
      </w:pPr>
      <w:r>
        <w:t>Yang, D. et al. Raman/SERS characterisation of lipopolysaccharide (LPS), RSC Advances (2022) — as cited in project literature notes.</w:t>
      </w:r>
    </w:p>
    <w:p>
      <w:pPr>
        <w:pStyle w:val="ListNumber"/>
        <w:spacing w:after="60"/>
      </w:pPr>
      <w:r>
        <w:t>Kundu, S. et al. AgNP@black-phosphorus SERS sepsis-biomarker platforms — as cited in project literature notes (2022).</w:t>
      </w:r>
    </w:p>
    <w:p>
      <w:pPr>
        <w:pStyle w:val="ListNumber"/>
        <w:spacing w:after="60"/>
      </w:pPr>
      <w:r>
        <w:t>Premasiri, W.R. et al. — SERS of whole bacteria and purine-metabolite dominance at 785 nm — as cited in project literature notes.</w:t>
      </w:r>
    </w:p>
    <w:p>
      <w:pPr>
        <w:pStyle w:val="ListNumber"/>
        <w:spacing w:after="60"/>
      </w:pPr>
      <w:r>
        <w:t>Wu et al.; Rusciano, G. et al. — LPS/anti-Lipid-A antibody SERS substrates — as cited in project literature notes.</w:t>
      </w:r>
    </w:p>
    <w:p>
      <w:pPr>
        <w:pStyle w:val="ListNumber"/>
        <w:spacing w:after="60"/>
      </w:pPr>
      <w:r>
        <w:t>Socrates, G. Infrared and Raman Characteristic Group Frequencies. Wiley (2001).</w:t>
      </w:r>
    </w:p>
    <w:p>
      <w:pPr>
        <w:pStyle w:val="ListNumber"/>
        <w:spacing w:after="60"/>
      </w:pPr>
      <w:r>
        <w:t>Silverstein, R.M. et al. Spectrometric Identification of Organic Compounds.</w:t>
      </w:r>
    </w:p>
    <w:p>
      <w:pPr>
        <w:pStyle w:val="ListNumber"/>
        <w:spacing w:after="60"/>
      </w:pPr>
      <w:r>
        <w:t>Smith, B.C. Infrared Spectral Interpretation.</w:t>
      </w:r>
    </w:p>
    <w:p>
      <w:pPr>
        <w:pStyle w:val="ListNumber"/>
        <w:spacing w:after="60"/>
      </w:pPr>
      <w:r>
        <w:t>De Gelder, J. et al. “Reference database of Raman spectra of biological molecules.” Journal of Raman Spectroscopy (2007).</w:t>
      </w:r>
    </w:p>
    <w:p>
      <w:pPr>
        <w:pStyle w:val="ListNumber"/>
        <w:spacing w:after="60"/>
      </w:pPr>
      <w:r>
        <w:t>Akilandeshwari, B.; Singh, S.; Agarwal, A.; Jha, S. “Rapid Detection of Inflammatory Biomarkers using Surface Enhanced Raman Spectroscopy.” 2023 IEEE APSCON. DOI:10.1109/APSCON56343.2023.10101191.</w:t>
      </w:r>
    </w:p>
    <w:p>
      <w:pPr>
        <w:pStyle w:val="ListNumber"/>
        <w:spacing w:after="60"/>
      </w:pPr>
      <w:r>
        <w:t>Soni, P.; Singh, S.; Singh, U.; Agarwal, A. “Molecular analysis of Sweat for Evidence based Ayurvedic Diagnosis.” 2023 IEEE APSCON. DOI:10.1109/APSCON56343.2023.10101052.</w:t>
      </w:r>
    </w:p>
    <w:p>
      <w:pPr>
        <w:pStyle w:val="ListNumber"/>
        <w:spacing w:after="60"/>
      </w:pPr>
      <w:r>
        <w:t>Ochterski, J.W. “Vibrational Analysis in Gaussian” (1999).</w:t>
      </w:r>
    </w:p>
    <w:p>
      <w:pPr>
        <w:pStyle w:val="ListNumber"/>
        <w:spacing w:after="60"/>
      </w:pPr>
      <w:r>
        <w:t>Krishnakumar, V. et al. Journal of Molecular Structure 702:9–21 (2004).</w:t>
      </w:r>
    </w:p>
    <w:p>
      <w:pPr>
        <w:pStyle w:val="Heading2"/>
      </w:pPr>
      <w:r>
        <w:t>Primary internal project documents referenced</w:t>
      </w:r>
    </w:p>
    <w:p>
      <w:pPr>
        <w:pStyle w:val="ListNumber"/>
        <w:spacing w:after="60"/>
      </w:pPr>
      <w:r>
        <w:t>Project Report_SERS-sukesh.pdf — full written masters project report (27 Nov 2025).</w:t>
      </w:r>
    </w:p>
    <w:p>
      <w:pPr>
        <w:pStyle w:val="ListNumber"/>
        <w:spacing w:after="60"/>
      </w:pPr>
      <w:r>
        <w:t>finalmtp.docx / “report final masters” — full masters thesis (April 2026), certified by Prof. Ajay Agarwal and Dr. Neeraj Gupta.</w:t>
      </w:r>
    </w:p>
    <w:p>
      <w:pPr>
        <w:pStyle w:val="ListNumber"/>
        <w:spacing w:after="60"/>
      </w:pPr>
      <w:r>
        <w:t>NAM_Raman_Archive/ (compiled 5 Aug 2026) — definitive NAM DFT + experimental Raman archive and manuscript draft.</w:t>
      </w:r>
    </w:p>
    <w:p>
      <w:pPr>
        <w:pStyle w:val="ListNumber"/>
        <w:spacing w:after="60"/>
      </w:pPr>
      <w:r>
        <w:t>NAM_paper_analysis/ — earlier NAM analysis snapshot, including internal methodological audits (REPO_REVIEW.md, DOUBTS_AND_WHAT_TO_REDO.md).</w:t>
      </w:r>
    </w:p>
    <w:p>
      <w:pPr>
        <w:pStyle w:val="ListNumber"/>
        <w:spacing w:after="60"/>
      </w:pPr>
      <w:r>
        <w:t>20-04/ — core raw experimental and fragment-DFT simulation data repository (NAM, LPS, LTA).</w:t>
      </w:r>
    </w:p>
    <w:p>
      <w:pPr>
        <w:pStyle w:val="ListNumber"/>
        <w:spacing w:after="60"/>
      </w:pPr>
      <w:r>
        <w:t>r6g-from-my-pc/ — Rhodamine 6G Raman-DFT validation study, Research_Paper.md and Supplementary_Information.md.</w:t>
      </w:r>
    </w:p>
    <w:p>
      <w:pPr>
        <w:pStyle w:val="ListNumber"/>
        <w:spacing w:after="60"/>
      </w:pPr>
      <w:r>
        <w:t>“Beginner's Strategy for Simulating Bacterial Biomarkers in Gaussian and Obtaining Raman Spectra” — internal DFT protocol guide (Nov 2025).</w:t>
      </w:r>
    </w:p>
    <w:p>
      <w:pPr>
        <w:pStyle w:val="ListNumber"/>
        <w:spacing w:after="60"/>
      </w:pPr>
      <w:r>
        <w:t>Project_Status_Report_Sepsis_SERS_As_of_August_2026.docx — internal whole-project self-audit (evidence cutoff 3 Aug 2026).</w:t>
      </w:r>
    </w:p>
    <w:p>
      <w:pPr>
        <w:pStyle w:val="ListNumber"/>
        <w:spacing w:after="60"/>
      </w:pPr>
      <w:r>
        <w:t>July_2026_Rapid_SERS_Validation_Plan_and_Report_Template.docx — forward-looking experimental plan.</w:t>
      </w:r>
    </w:p>
    <w:p>
      <w:pPr>
        <w:pStyle w:val="ListNumber"/>
        <w:spacing w:after="60"/>
      </w:pPr>
      <w:r>
        <w:t>NAM_LPS_LTA_Raman_Peaks_LiteratureReport.docx — co-authored literature-derived peak reference compilation (Sukesh P and Dr. Mohamed Zaki Hafeez, April 2026).</w:t>
      </w:r>
    </w:p>
    <w:p>
      <w:pPr>
        <w:pStyle w:val="ListNumber"/>
        <w:spacing w:after="60"/>
      </w:pPr>
      <w:r>
        <w:t>Sepsis Sample Biobank Roadmap &amp; SOP; Professor-level Proposal: Sepsis Clinical Biobank &amp; SERS Diagnostic Platform — clinical translation planning documents.</w:t>
      </w:r>
    </w:p>
    <w:p>
      <w:pPr>
        <w:spacing w:after="160"/>
        <w:ind w:left="360"/>
      </w:pPr>
      <w:r>
        <w:rPr>
          <w:i/>
          <w:color w:val="555555"/>
          <w:sz w:val="19"/>
        </w:rPr>
        <w:t>End of report. This document was compiled entirely from evidence found in the project working folder; no experimental results, simulation outputs, or conclusions were invented. Sections 20 and the notes accompanying Sections 6, 9, 10, 11, 13, and 14 identify every point at which the underlying documentation was incomplete, ambiguous, or internally inconsistent.</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D3D"/>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2D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