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B03A2E"/>
          <w:sz w:val="48"/>
        </w:rPr>
        <w:t>Critical Scientific Evaluation &amp; Sensor Development Strategy</w:t>
      </w:r>
    </w:p>
    <w:p>
      <w:pPr>
        <w:jc w:val="center"/>
      </w:pPr>
      <w:r>
        <w:rPr>
          <w:i/>
          <w:color w:val="1F2D3D"/>
          <w:sz w:val="29"/>
        </w:rPr>
        <w:t>Root-Cause Analysis of NAM/LPS/LTA SERS Detection Failure and a</w:t>
        <w:br/>
        <w:t>Literature-Grounded Path to a Publishable Biosensor</w:t>
      </w:r>
    </w:p>
    <w:p/>
    <w:p>
      <w:pPr>
        <w:jc w:val="center"/>
      </w:pPr>
      <w:r>
        <w:rPr>
          <w:color w:val="B03A2E"/>
        </w:rPr>
        <w:t>____________________________________________________________</w:t>
      </w:r>
    </w:p>
    <w:p/>
    <w:p/>
    <w:p/>
    <w:p>
      <w:pPr>
        <w:spacing w:after="160"/>
        <w:jc w:val="center"/>
      </w:pPr>
      <w:r>
        <w:rPr>
          <w:b/>
          <w:sz w:val="22"/>
        </w:rPr>
        <w:t xml:space="preserve">Prepared for:  </w:t>
      </w:r>
      <w:r>
        <w:rPr>
          <w:sz w:val="22"/>
        </w:rPr>
        <w:t>Sukesh P (M24IM1007)</w:t>
      </w:r>
    </w:p>
    <w:p>
      <w:pPr>
        <w:spacing w:after="160"/>
        <w:jc w:val="center"/>
      </w:pPr>
      <w:r>
        <w:rPr>
          <w:b/>
          <w:sz w:val="22"/>
        </w:rPr>
        <w:t xml:space="preserve">Programme:  </w:t>
      </w:r>
      <w:r>
        <w:rPr>
          <w:sz w:val="22"/>
        </w:rPr>
        <w:t>M.Tech in Medical Technologies — IIT Jodhpur &amp; AIIMS Jodhpur Joint IDRP</w:t>
      </w:r>
    </w:p>
    <w:p>
      <w:pPr>
        <w:spacing w:after="160"/>
        <w:jc w:val="center"/>
      </w:pPr>
      <w:r>
        <w:rPr>
          <w:b/>
          <w:sz w:val="22"/>
        </w:rPr>
        <w:t xml:space="preserve">Supervisor:  </w:t>
      </w:r>
      <w:r>
        <w:rPr>
          <w:sz w:val="22"/>
        </w:rPr>
        <w:t>Prof. Ajay Agarwal, Department of Electrical Engineering, IIT Jodhpur</w:t>
      </w:r>
    </w:p>
    <w:p>
      <w:pPr>
        <w:spacing w:after="160"/>
        <w:jc w:val="center"/>
      </w:pPr>
      <w:r>
        <w:rPr>
          <w:b/>
          <w:sz w:val="22"/>
        </w:rPr>
        <w:t xml:space="preserve">Acting as:  </w:t>
      </w:r>
      <w:r>
        <w:rPr>
          <w:sz w:val="22"/>
        </w:rPr>
        <w:t>Multidisciplinary supervisory review panel (SERS, Raman spectroscopy, nanomaterials,</w:t>
        <w:br/>
        <w:t>silicon microfabrication, surface chemistry, biosensor design, computational/DFT</w:t>
        <w:br/>
        <w:t>chemistry, and medical-diagnostics perspectives combined)</w:t>
      </w:r>
    </w:p>
    <w:p>
      <w:pPr>
        <w:spacing w:after="160"/>
        <w:jc w:val="center"/>
      </w:pPr>
      <w:r>
        <w:rPr>
          <w:b/>
          <w:sz w:val="22"/>
        </w:rPr>
        <w:t xml:space="preserve">Evidence base:  </w:t>
      </w:r>
      <w:r>
        <w:rPr>
          <w:sz w:val="22"/>
        </w:rPr>
        <w:t>Full recursive review of the project working folder (Aug 2025 - Aug 2026) plus a</w:t>
        <w:br/>
        <w:t>targeted, citation-verified literature search (2015-2026) across SERS carbohydrate/</w:t>
        <w:br/>
        <w:t>biomarker detection, black-silicon fabrication, nanoparticle architecture, and surface</w:t>
        <w:br/>
        <w:t>functionalization chemistry</w:t>
      </w:r>
    </w:p>
    <w:p>
      <w:pPr>
        <w:spacing w:after="160"/>
        <w:jc w:val="center"/>
      </w:pPr>
      <w:r>
        <w:rPr>
          <w:b/>
          <w:sz w:val="22"/>
        </w:rPr>
        <w:t xml:space="preserve">Report date:  </w:t>
      </w:r>
      <w:r>
        <w:rPr>
          <w:sz w:val="22"/>
        </w:rPr>
        <w:t>7 August 2026</w:t>
      </w:r>
    </w:p>
    <w:p>
      <w:r>
        <w:br w:type="page"/>
      </w:r>
    </w:p>
    <w:p>
      <w:pPr>
        <w:pStyle w:val="Heading1"/>
      </w:pPr>
      <w:r>
        <w:t>Table of Contents</w:t>
      </w:r>
    </w:p>
    <w:p>
      <w:pPr>
        <w:spacing w:after="80"/>
      </w:pPr>
      <w:r>
        <w:rPr>
          <w:sz w:val="22"/>
        </w:rPr>
        <w:t>1. Executive Summary</w:t>
      </w:r>
    </w:p>
    <w:p>
      <w:pPr>
        <w:spacing w:after="80"/>
      </w:pPr>
      <w:r>
        <w:rPr>
          <w:sz w:val="22"/>
        </w:rPr>
        <w:t>2. Complete Project Assessment</w:t>
      </w:r>
    </w:p>
    <w:p>
      <w:pPr>
        <w:spacing w:after="80"/>
      </w:pPr>
      <w:r>
        <w:rPr>
          <w:sz w:val="22"/>
        </w:rPr>
        <w:t>3. Scientific Evaluation</w:t>
      </w:r>
    </w:p>
    <w:p>
      <w:pPr>
        <w:spacing w:after="80"/>
      </w:pPr>
      <w:r>
        <w:rPr>
          <w:sz w:val="22"/>
        </w:rPr>
        <w:t>4. Strengths of the Current Project</w:t>
      </w:r>
    </w:p>
    <w:p>
      <w:pPr>
        <w:spacing w:after="80"/>
      </w:pPr>
      <w:r>
        <w:rPr>
          <w:sz w:val="22"/>
        </w:rPr>
        <w:t>5. Weaknesses and Root-Cause Analysis</w:t>
      </w:r>
    </w:p>
    <w:p>
      <w:pPr>
        <w:spacing w:after="80"/>
      </w:pPr>
      <w:r>
        <w:rPr>
          <w:sz w:val="22"/>
        </w:rPr>
        <w:t>6. Detailed Evaluation of the Current Substrate</w:t>
      </w:r>
    </w:p>
    <w:p>
      <w:pPr>
        <w:spacing w:after="80"/>
      </w:pPr>
      <w:r>
        <w:rPr>
          <w:sz w:val="22"/>
        </w:rPr>
        <w:t>7. Why NAM (and LPS/LTA) Detection Is Failing</w:t>
      </w:r>
    </w:p>
    <w:p>
      <w:pPr>
        <w:spacing w:after="80"/>
      </w:pPr>
      <w:r>
        <w:rPr>
          <w:sz w:val="22"/>
        </w:rPr>
        <w:t>8. Recommended Sensor Architecture</w:t>
      </w:r>
    </w:p>
    <w:p>
      <w:pPr>
        <w:spacing w:after="80"/>
      </w:pPr>
      <w:r>
        <w:rPr>
          <w:sz w:val="22"/>
        </w:rPr>
        <w:t>9. Recommended Materials and Chemicals</w:t>
      </w:r>
    </w:p>
    <w:p>
      <w:pPr>
        <w:spacing w:after="80"/>
      </w:pPr>
      <w:r>
        <w:rPr>
          <w:sz w:val="22"/>
        </w:rPr>
        <w:t>10. Recommended Nanoparticle Design</w:t>
      </w:r>
    </w:p>
    <w:p>
      <w:pPr>
        <w:spacing w:after="80"/>
      </w:pPr>
      <w:r>
        <w:rPr>
          <w:sz w:val="22"/>
        </w:rPr>
        <w:t>11. Surface Functionalization Strategy</w:t>
      </w:r>
    </w:p>
    <w:p>
      <w:pPr>
        <w:spacing w:after="80"/>
      </w:pPr>
      <w:r>
        <w:rPr>
          <w:sz w:val="22"/>
        </w:rPr>
        <w:t>12. Optimized Experimental Protocol</w:t>
      </w:r>
    </w:p>
    <w:p>
      <w:pPr>
        <w:spacing w:after="80"/>
      </w:pPr>
      <w:r>
        <w:rPr>
          <w:sz w:val="22"/>
        </w:rPr>
        <w:t>13. Characterization Plan</w:t>
      </w:r>
    </w:p>
    <w:p>
      <w:pPr>
        <w:spacing w:after="80"/>
      </w:pPr>
      <w:r>
        <w:rPr>
          <w:sz w:val="22"/>
        </w:rPr>
        <w:t>14. Publication Gap Analysis</w:t>
      </w:r>
    </w:p>
    <w:p>
      <w:pPr>
        <w:spacing w:after="80"/>
      </w:pPr>
      <w:r>
        <w:rPr>
          <w:sz w:val="22"/>
        </w:rPr>
        <w:t>15. Risk Assessment</w:t>
      </w:r>
    </w:p>
    <w:p>
      <w:pPr>
        <w:spacing w:after="80"/>
      </w:pPr>
      <w:r>
        <w:rPr>
          <w:sz w:val="22"/>
        </w:rPr>
        <w:t>16. Step-by-Step Experimental Roadmap</w:t>
      </w:r>
    </w:p>
    <w:p>
      <w:pPr>
        <w:spacing w:after="80"/>
      </w:pPr>
      <w:r>
        <w:rPr>
          <w:sz w:val="22"/>
        </w:rPr>
        <w:t>17. Decision Tree for Troubleshooting</w:t>
      </w:r>
    </w:p>
    <w:p>
      <w:pPr>
        <w:spacing w:after="80"/>
      </w:pPr>
      <w:r>
        <w:rPr>
          <w:sz w:val="22"/>
        </w:rPr>
        <w:t>18. Future Research Directions</w:t>
      </w:r>
    </w:p>
    <w:p>
      <w:pPr>
        <w:spacing w:after="80"/>
      </w:pPr>
      <w:r>
        <w:rPr>
          <w:sz w:val="22"/>
        </w:rPr>
        <w:t>19. Journal Publication Strategy</w:t>
      </w:r>
    </w:p>
    <w:p>
      <w:pPr>
        <w:spacing w:after="80"/>
      </w:pPr>
      <w:r>
        <w:rPr>
          <w:sz w:val="22"/>
        </w:rPr>
        <w:t>20. Complete Reference List</w:t>
      </w:r>
    </w:p>
    <w:p>
      <w:pPr>
        <w:spacing w:after="160"/>
        <w:ind w:left="360"/>
      </w:pPr>
      <w:r>
        <w:rPr>
          <w:i/>
          <w:color w:val="555555"/>
          <w:sz w:val="19"/>
        </w:rPr>
        <w:t>This report is a critical, evidence-based supervisory review — not a restatement of the project's own self-description. Every conclusion is anchored either to a specific file in the project working folder or to a specific, verifiable literature source found during this review; both are cited inline. Where the project's own framing (e.g. "DFT completed for all three biomarkers") is more optimistic than what the underlying files actually demonstrate, this is stated plainly rather than smoothed over — consistent with a prior, independent full-folder audit conducted for this project (the "Comprehensive Research Progress Report," 7 Aug 2026), whose findings are incorporated and cross-checked here.</w:t>
      </w:r>
    </w:p>
    <w:p>
      <w:pPr>
        <w:pStyle w:val="Heading1"/>
      </w:pPr>
      <w:r>
        <w:t>1. Executive Summary</w:t>
      </w:r>
    </w:p>
    <w:p>
      <w:pPr>
        <w:spacing w:after="120"/>
      </w:pPr>
      <w:r>
        <w:rPr>
          <w:b w:val="0"/>
          <w:i w:val="0"/>
        </w:rPr>
        <w:t>The headline finding of this review is that the project's core physics is almost certainly sound, and the current detection failure is best explained by chemistry, not fabrication. The fabrication route used — soaking a silicon wafer in an AgNO₃ + HF solution — is a textbook, well-published black-silicon fabrication method, usually called one-step metal-assisted chemical etching (MACE) or silver-assisted chemical etching (SACE); it reliably produces silver-nanoparticle-decorated silicon nanostructures with literature-reported enhancement factors in the 10⁶–10⁹ range, and the researcher's own Rhodamine 6G (R6G) validation (DFT-vs-experiment peak match RMSE 4.62 cm⁻¹, r = 0.99995) is strong, independent confirmation that this specific substrate genuinely generates strong, real, correctly-assigned SERS enhancement.</w:t>
      </w:r>
    </w:p>
    <w:p>
      <w:pPr>
        <w:spacing w:after="120"/>
      </w:pPr>
      <w:r>
        <w:rPr>
          <w:b w:val="0"/>
          <w:i w:val="0"/>
        </w:rPr>
        <w:t>The reason NAM is not showing comparable enhancement is very unlikely to be a defect in the substrate itself. R6G and NAM are chemically almost opposite cases for SERS: R6G is a resonant, cationic, aromatic dye that (a) gets an additional resonance-Raman enhancement on top of the plasmonic effect and (b) chemisorbs strongly onto bare silver via electrostatic and π-system interactions, so it reliably sits inside the ~1–2 nm hotspot shell where SERS enhancement actually exists. NAM is a small, non-aromatic, polar amino-sugar (carbohydrate) with no chromophore and, per a large and consistent body of literature on carbohydrate SERS (glucose being the closest well-studied analogue), essentially no intrinsic affinity for bare silver. A substrate that performs beautifully for R6G proves nothing about whether NAM molecules ever reach, or linger in, the hotspot region at all. LPS and LTA — large, negatively-charged glycolipids — face a related but distinct version of the same problem.</w:t>
      </w:r>
    </w:p>
    <w:p>
      <w:pPr>
        <w:spacing w:after="120"/>
      </w:pPr>
      <w:r>
        <w:rPr>
          <w:b w:val="0"/>
          <w:i w:val="0"/>
        </w:rPr>
        <w:t>This reframes the project's immediate priority. Rather than redesigning the plasmonic substrate from scratch, the evidence-based next step is to add a deliberate capture/anchor chemistry between the existing, already-validated silver surface and the target biomarkers — most directly, a boronic-acid self-assembled monolayer (e.g. 4-mercaptophenylboronic acid) for NAM, which covalently and reversibly binds the cis-diol groups present on NAM's sugar ring and is the most literature-validated strategy for exactly this class of problem, and a complementary cationic or capture-probe strategy (chitosan, cysteamine, anti-LPS/anti-LTA antibody, or an LPS-templated molecularly imprinted polymer) for the anionic LPS and LTA targets. Encouragingly, the project's own files already contain a document specifically exploring this exact strategy (“Boronic_Acid_Design_Rationale”), indicating this direction has already been independently anticipated internally — this review provides the literature grounding to prioritise and execute it.</w:t>
      </w:r>
    </w:p>
    <w:p>
      <w:pPr>
        <w:spacing w:after="120"/>
      </w:pPr>
      <w:r>
        <w:rPr>
          <w:b w:val="0"/>
          <w:i w:val="0"/>
        </w:rPr>
        <w:t>Beyond this central chemistry gap, this review identifies a smaller number of secondary, compounding issues worth addressing in parallel: no enhancement factor, substrate morphology (SEM/AFM), or formal reproducibility (%RSD) data exists for this project's own substrate; bare silver is well documented to lose the majority of its SERS activity within hours to days of air exposure unless protected (a likely contributor to “not reproducible” results even where signal is occasionally seen); the LTA computational and (per the researcher's own framing) experimental work is markedly less mature than NAM's; and several basic acquisition-protocol parameters (true laser power in mW, droplet volume, incubation time, drying method) are not yet standardised or documented. None of these is disqualifying, and all have direct, literature-supported fixes, detailed in Sections 6–17.</w:t>
      </w:r>
    </w:p>
    <w:p>
      <w:pPr>
        <w:pStyle w:val="Heading2"/>
      </w:pPr>
      <w:r>
        <w:t>Verdict on the Research Direction</w:t>
      </w:r>
    </w:p>
    <w:p>
      <w:pPr>
        <w:spacing w:after="120"/>
      </w:pPr>
      <w:r>
        <w:rPr>
          <w:b w:val="0"/>
          <w:i w:val="0"/>
        </w:rPr>
        <w:t>Yes, with one significant course-correction. The overall approach — DFT-guided biomarker selection, SERS as the sensing modality, black-silicon/Ag as the substrate, R6G as the validation analyte — is scientifically well-founded and consistent with an active, credible sub-field of the literature (Section 3). The missing piece is not a new substrate or a new plasmonic material; it is a molecular recognition/capture layer between the substrate and the biomarkers. Adding this is a tractable, well-precedented next step, not a restart.</w:t>
      </w:r>
    </w:p>
    <w:p>
      <w:r>
        <w:br w:type="page"/>
      </w:r>
    </w:p>
    <w:p>
      <w:pPr>
        <w:pStyle w:val="Heading1"/>
      </w:pPr>
      <w:r>
        <w:t>2. Complete Project Assessment</w:t>
      </w:r>
    </w:p>
    <w:p>
      <w:pPr>
        <w:spacing w:after="120"/>
      </w:pPr>
      <w:r>
        <w:rPr>
          <w:b w:val="0"/>
          <w:i w:val="0"/>
        </w:rPr>
        <w:t>This section restates, for a reader who has not seen the earlier full-folder audit, the project's current status as evidenced by its own files. It is deliberately brief; the 7 August 2026 “Comprehensive Research Progress Report” produced for this project contains the full month-by-month reconstruction and should be treated as the companion document to this one.</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448"/>
            <w:shd w:val="clear" w:fill="B03A2E"/>
          </w:tcPr>
          <w:p>
            <w:r/>
            <w:r>
              <w:rPr>
                <w:b/>
                <w:color w:val="FFFFFF"/>
                <w:sz w:val="19"/>
              </w:rPr>
              <w:t>Stage</w:t>
            </w:r>
          </w:p>
        </w:tc>
        <w:tc>
          <w:tcPr>
            <w:tcW w:type="dxa" w:w="3312"/>
            <w:shd w:val="clear" w:fill="B03A2E"/>
          </w:tcPr>
          <w:p>
            <w:r/>
            <w:r>
              <w:rPr>
                <w:b/>
                <w:color w:val="FFFFFF"/>
                <w:sz w:val="19"/>
              </w:rPr>
              <w:t>Status per project files</w:t>
            </w:r>
          </w:p>
        </w:tc>
        <w:tc>
          <w:tcPr>
            <w:tcW w:type="dxa" w:w="3456"/>
            <w:shd w:val="clear" w:fill="B03A2E"/>
          </w:tcPr>
          <w:p>
            <w:r/>
            <w:r>
              <w:rPr>
                <w:b/>
                <w:color w:val="FFFFFF"/>
                <w:sz w:val="19"/>
              </w:rPr>
              <w:t>Note</w:t>
            </w:r>
          </w:p>
        </w:tc>
      </w:tr>
      <w:tr>
        <w:tc>
          <w:tcPr>
            <w:tcW w:type="dxa" w:w="2448"/>
          </w:tcPr>
          <w:p>
            <w:r/>
            <w:r>
              <w:rPr>
                <w:sz w:val="18"/>
              </w:rPr>
              <w:t>Literature review &amp; biomarker-panel justification</w:t>
            </w:r>
          </w:p>
        </w:tc>
        <w:tc>
          <w:tcPr>
            <w:tcW w:type="dxa" w:w="3312"/>
          </w:tcPr>
          <w:p>
            <w:r/>
            <w:r>
              <w:rPr>
                <w:sz w:val="18"/>
              </w:rPr>
              <w:t>Complete and thorough</w:t>
            </w:r>
          </w:p>
        </w:tc>
        <w:tc>
          <w:tcPr>
            <w:tcW w:type="dxa" w:w="3456"/>
          </w:tcPr>
          <w:p>
            <w:r/>
            <w:r>
              <w:rPr>
                <w:sz w:val="18"/>
              </w:rPr>
              <w:t>NAM (universal peptidoglycan marker), LPS (Gram-negative), LTA (Gram-positive) selected and held stable since October 2025</w:t>
            </w:r>
          </w:p>
        </w:tc>
      </w:tr>
      <w:tr>
        <w:tc>
          <w:tcPr>
            <w:tcW w:type="dxa" w:w="2448"/>
            <w:shd w:val="clear" w:fill="FBEEEC"/>
          </w:tcPr>
          <w:p>
            <w:r/>
            <w:r>
              <w:rPr>
                <w:sz w:val="18"/>
              </w:rPr>
              <w:t>Reagent procurement</w:t>
            </w:r>
          </w:p>
        </w:tc>
        <w:tc>
          <w:tcPr>
            <w:tcW w:type="dxa" w:w="3312"/>
            <w:shd w:val="clear" w:fill="FBEEEC"/>
          </w:tcPr>
          <w:p>
            <w:r/>
            <w:r>
              <w:rPr>
                <w:sz w:val="18"/>
              </w:rPr>
              <w:t>Complete</w:t>
            </w:r>
          </w:p>
        </w:tc>
        <w:tc>
          <w:tcPr>
            <w:tcW w:type="dxa" w:w="3456"/>
            <w:shd w:val="clear" w:fill="FBEEEC"/>
          </w:tcPr>
          <w:p>
            <w:r/>
            <w:r>
              <w:rPr>
                <w:sz w:val="18"/>
              </w:rPr>
              <w:t>Sigma-Aldrich NAM (A3007), LPS (L2630, E. coli O111:B4), LTA (L2515, S. aureus) all received by January 2026</w:t>
            </w:r>
          </w:p>
        </w:tc>
      </w:tr>
      <w:tr>
        <w:tc>
          <w:tcPr>
            <w:tcW w:type="dxa" w:w="2448"/>
          </w:tcPr>
          <w:p>
            <w:r/>
            <w:r>
              <w:rPr>
                <w:sz w:val="18"/>
              </w:rPr>
              <w:t>DFT / Gaussian simulation — NAM</w:t>
            </w:r>
          </w:p>
        </w:tc>
        <w:tc>
          <w:tcPr>
            <w:tcW w:type="dxa" w:w="3312"/>
          </w:tcPr>
          <w:p>
            <w:r/>
            <w:r>
              <w:rPr>
                <w:sz w:val="18"/>
              </w:rPr>
              <w:t>Genuinely complete and well-validated</w:t>
            </w:r>
          </w:p>
        </w:tc>
        <w:tc>
          <w:tcPr>
            <w:tcW w:type="dxa" w:w="3456"/>
          </w:tcPr>
          <w:p>
            <w:r/>
            <w:r>
              <w:rPr>
                <w:sz w:val="18"/>
              </w:rPr>
              <w:t>Whole-molecule Gaussian 16 calculation (B3LYP-D3BJ/6-311++G(d,p)); 30/41 experimental bands matched to calculated modes, MAE 9.3 cm⁻¹</w:t>
            </w:r>
          </w:p>
        </w:tc>
      </w:tr>
      <w:tr>
        <w:tc>
          <w:tcPr>
            <w:tcW w:type="dxa" w:w="2448"/>
            <w:shd w:val="clear" w:fill="FBEEEC"/>
          </w:tcPr>
          <w:p>
            <w:r/>
            <w:r>
              <w:rPr>
                <w:sz w:val="18"/>
              </w:rPr>
              <w:t>DFT / Gaussian simulation — LPS</w:t>
            </w:r>
          </w:p>
        </w:tc>
        <w:tc>
          <w:tcPr>
            <w:tcW w:type="dxa" w:w="3312"/>
            <w:shd w:val="clear" w:fill="FBEEEC"/>
          </w:tcPr>
          <w:p>
            <w:r/>
            <w:r>
              <w:rPr>
                <w:sz w:val="18"/>
              </w:rPr>
              <w:t>Partially complete — fragment-based only, modest fit</w:t>
            </w:r>
          </w:p>
        </w:tc>
        <w:tc>
          <w:tcPr>
            <w:tcW w:type="dxa" w:w="3456"/>
            <w:shd w:val="clear" w:fill="FBEEEC"/>
          </w:tcPr>
          <w:p>
            <w:r/>
            <w:r>
              <w:rPr>
                <w:sz w:val="18"/>
              </w:rPr>
              <w:t>Whole-molecule Lipid A never actually run (only input files exist); 5-fragment NNLS composite explains only ~18% of spectral variance (R² = 0.18)</w:t>
            </w:r>
          </w:p>
        </w:tc>
      </w:tr>
      <w:tr>
        <w:tc>
          <w:tcPr>
            <w:tcW w:type="dxa" w:w="2448"/>
          </w:tcPr>
          <w:p>
            <w:r/>
            <w:r>
              <w:rPr>
                <w:sz w:val="18"/>
              </w:rPr>
              <w:t>DFT / Gaussian simulation — LTA</w:t>
            </w:r>
          </w:p>
        </w:tc>
        <w:tc>
          <w:tcPr>
            <w:tcW w:type="dxa" w:w="3312"/>
          </w:tcPr>
          <w:p>
            <w:r/>
            <w:r>
              <w:rPr>
                <w:sz w:val="18"/>
              </w:rPr>
              <w:t>Incomplete / unresolved, despite being described as "completed"</w:t>
            </w:r>
          </w:p>
        </w:tc>
        <w:tc>
          <w:tcPr>
            <w:tcW w:type="dxa" w:w="3456"/>
          </w:tcPr>
          <w:p>
            <w:r/>
            <w:r>
              <w:rPr>
                <w:sz w:val="18"/>
              </w:rPr>
              <w:t>Whole-molecule attempt failed at the geometry-optimisation step; the 3-fragment composite fit in the project's primary dataset returns invalid (NaN) statistics. A separate thesis document reports different, better numbers that cannot be reconciled with this — flagged, not resolved, in the companion progress report</w:t>
            </w:r>
          </w:p>
        </w:tc>
      </w:tr>
      <w:tr>
        <w:tc>
          <w:tcPr>
            <w:tcW w:type="dxa" w:w="2448"/>
            <w:shd w:val="clear" w:fill="FBEEEC"/>
          </w:tcPr>
          <w:p>
            <w:r/>
            <w:r>
              <w:rPr>
                <w:sz w:val="18"/>
              </w:rPr>
              <w:t>Raw powder Raman — NAM</w:t>
            </w:r>
          </w:p>
        </w:tc>
        <w:tc>
          <w:tcPr>
            <w:tcW w:type="dxa" w:w="3312"/>
            <w:shd w:val="clear" w:fill="FBEEEC"/>
          </w:tcPr>
          <w:p>
            <w:r/>
            <w:r>
              <w:rPr>
                <w:sz w:val="18"/>
              </w:rPr>
              <w:t>Extensive</w:t>
            </w:r>
          </w:p>
        </w:tc>
        <w:tc>
          <w:tcPr>
            <w:tcW w:type="dxa" w:w="3456"/>
            <w:shd w:val="clear" w:fill="FBEEEC"/>
          </w:tcPr>
          <w:p>
            <w:r/>
            <w:r>
              <w:rPr>
                <w:sz w:val="18"/>
              </w:rPr>
              <w:t>227 curated spectra, documented preprocessing pipeline, established laser-damage threshold</w:t>
            </w:r>
          </w:p>
        </w:tc>
      </w:tr>
      <w:tr>
        <w:tc>
          <w:tcPr>
            <w:tcW w:type="dxa" w:w="2448"/>
          </w:tcPr>
          <w:p>
            <w:r/>
            <w:r>
              <w:rPr>
                <w:sz w:val="18"/>
              </w:rPr>
              <w:t>Raw powder Raman — LPS</w:t>
            </w:r>
          </w:p>
        </w:tc>
        <w:tc>
          <w:tcPr>
            <w:tcW w:type="dxa" w:w="3312"/>
          </w:tcPr>
          <w:p>
            <w:r/>
            <w:r>
              <w:rPr>
                <w:sz w:val="18"/>
              </w:rPr>
              <w:t>Thin</w:t>
            </w:r>
          </w:p>
        </w:tc>
        <w:tc>
          <w:tcPr>
            <w:tcW w:type="dxa" w:w="3456"/>
          </w:tcPr>
          <w:p>
            <w:r/>
            <w:r>
              <w:rPr>
                <w:sz w:val="18"/>
              </w:rPr>
              <w:t>One systematic power/time series; one condition selected as the DFT-fitting reference</w:t>
            </w:r>
          </w:p>
        </w:tc>
      </w:tr>
      <w:tr>
        <w:tc>
          <w:tcPr>
            <w:tcW w:type="dxa" w:w="2448"/>
            <w:shd w:val="clear" w:fill="FBEEEC"/>
          </w:tcPr>
          <w:p>
            <w:r/>
            <w:r>
              <w:rPr>
                <w:sz w:val="18"/>
              </w:rPr>
              <w:t>Raw powder Raman — LTA</w:t>
            </w:r>
          </w:p>
        </w:tc>
        <w:tc>
          <w:tcPr>
            <w:tcW w:type="dxa" w:w="3312"/>
            <w:shd w:val="clear" w:fill="FBEEEC"/>
          </w:tcPr>
          <w:p>
            <w:r/>
            <w:r>
              <w:rPr>
                <w:sz w:val="18"/>
              </w:rPr>
              <w:t>Substantial but fragmented</w:t>
            </w:r>
          </w:p>
        </w:tc>
        <w:tc>
          <w:tcPr>
            <w:tcW w:type="dxa" w:w="3456"/>
            <w:shd w:val="clear" w:fill="FBEEEC"/>
          </w:tcPr>
          <w:p>
            <w:r/>
            <w:r>
              <w:rPr>
                <w:sz w:val="18"/>
              </w:rPr>
              <w:t>Several hundred spectra across many small, inconsistently-named batches; not yet consolidated into one archive</w:t>
            </w:r>
          </w:p>
        </w:tc>
      </w:tr>
      <w:tr>
        <w:tc>
          <w:tcPr>
            <w:tcW w:type="dxa" w:w="2448"/>
          </w:tcPr>
          <w:p>
            <w:r/>
            <w:r>
              <w:rPr>
                <w:sz w:val="18"/>
              </w:rPr>
              <w:t>SERS substrate fabrication</w:t>
            </w:r>
          </w:p>
        </w:tc>
        <w:tc>
          <w:tcPr>
            <w:tcW w:type="dxa" w:w="3312"/>
          </w:tcPr>
          <w:p>
            <w:r/>
            <w:r>
              <w:rPr>
                <w:sz w:val="18"/>
              </w:rPr>
              <w:t>Complete</w:t>
            </w:r>
          </w:p>
        </w:tc>
        <w:tc>
          <w:tcPr>
            <w:tcW w:type="dxa" w:w="3456"/>
          </w:tcPr>
          <w:p>
            <w:r/>
            <w:r>
              <w:rPr>
                <w:sz w:val="18"/>
              </w:rPr>
              <w:t>Silicon wafer soaked in AgNO₃ + HF solution (one-step MACE/black-silicon route), 8 conditions tested (etchant volume × soak time)</w:t>
            </w:r>
          </w:p>
        </w:tc>
      </w:tr>
      <w:tr>
        <w:tc>
          <w:tcPr>
            <w:tcW w:type="dxa" w:w="2448"/>
            <w:shd w:val="clear" w:fill="FBEEEC"/>
          </w:tcPr>
          <w:p>
            <w:r/>
            <w:r>
              <w:rPr>
                <w:sz w:val="18"/>
              </w:rPr>
              <w:t>R6G substrate validation</w:t>
            </w:r>
          </w:p>
        </w:tc>
        <w:tc>
          <w:tcPr>
            <w:tcW w:type="dxa" w:w="3312"/>
            <w:shd w:val="clear" w:fill="FBEEEC"/>
          </w:tcPr>
          <w:p>
            <w:r/>
            <w:r>
              <w:rPr>
                <w:sz w:val="18"/>
              </w:rPr>
              <w:t>Complete and rigorous</w:t>
            </w:r>
          </w:p>
        </w:tc>
        <w:tc>
          <w:tcPr>
            <w:tcW w:type="dxa" w:w="3456"/>
            <w:shd w:val="clear" w:fill="FBEEEC"/>
          </w:tcPr>
          <w:p>
            <w:r/>
            <w:r>
              <w:rPr>
                <w:sz w:val="18"/>
              </w:rPr>
              <w:t>97 spectra, 8 conditions; DFT-vs-experiment RMSE 4.62 cm⁻¹, r = 0.99995; fabrication condition shown to significantly affect signal intensity (r = 0.853, p = 0.0071)</w:t>
            </w:r>
          </w:p>
        </w:tc>
      </w:tr>
      <w:tr>
        <w:tc>
          <w:tcPr>
            <w:tcW w:type="dxa" w:w="2448"/>
          </w:tcPr>
          <w:p>
            <w:r/>
            <w:r>
              <w:rPr>
                <w:sz w:val="18"/>
              </w:rPr>
              <w:t>NAM / LPS / LTA on-substrate detection</w:t>
            </w:r>
          </w:p>
        </w:tc>
        <w:tc>
          <w:tcPr>
            <w:tcW w:type="dxa" w:w="3312"/>
          </w:tcPr>
          <w:p>
            <w:r/>
            <w:r>
              <w:rPr>
                <w:sz w:val="18"/>
              </w:rPr>
              <w:t>In progress — the project's current activity</w:t>
            </w:r>
          </w:p>
        </w:tc>
        <w:tc>
          <w:tcPr>
            <w:tcW w:type="dxa" w:w="3456"/>
          </w:tcPr>
          <w:p>
            <w:r/>
            <w:r>
              <w:rPr>
                <w:sz w:val="18"/>
              </w:rPr>
              <w:t>Weak, non-reproducible signal is the presenting problem this report addresses</w:t>
            </w:r>
          </w:p>
        </w:tc>
      </w:tr>
      <w:tr>
        <w:tc>
          <w:tcPr>
            <w:tcW w:type="dxa" w:w="2448"/>
            <w:shd w:val="clear" w:fill="FBEEEC"/>
          </w:tcPr>
          <w:p>
            <w:r/>
            <w:r>
              <w:rPr>
                <w:sz w:val="18"/>
              </w:rPr>
              <w:t>Substrate characterisation (SEM/AFM/EDS/UV-Vis)</w:t>
            </w:r>
          </w:p>
        </w:tc>
        <w:tc>
          <w:tcPr>
            <w:tcW w:type="dxa" w:w="3312"/>
            <w:shd w:val="clear" w:fill="FBEEEC"/>
          </w:tcPr>
          <w:p>
            <w:r/>
            <w:r>
              <w:rPr>
                <w:sz w:val="18"/>
              </w:rPr>
              <w:t>Not done for this project's own substrate</w:t>
            </w:r>
          </w:p>
        </w:tc>
        <w:tc>
          <w:tcPr>
            <w:tcW w:type="dxa" w:w="3456"/>
            <w:shd w:val="clear" w:fill="FBEEEC"/>
          </w:tcPr>
          <w:p>
            <w:r/>
            <w:r>
              <w:rPr>
                <w:sz w:val="18"/>
              </w:rPr>
              <w:t>Explicitly identified as a gap in the companion progress report</w:t>
            </w:r>
          </w:p>
        </w:tc>
      </w:tr>
      <w:tr>
        <w:tc>
          <w:tcPr>
            <w:tcW w:type="dxa" w:w="2448"/>
          </w:tcPr>
          <w:p>
            <w:r/>
            <w:r>
              <w:rPr>
                <w:sz w:val="18"/>
              </w:rPr>
              <w:t>Enhancement factor calculation</w:t>
            </w:r>
          </w:p>
        </w:tc>
        <w:tc>
          <w:tcPr>
            <w:tcW w:type="dxa" w:w="3312"/>
          </w:tcPr>
          <w:p>
            <w:r/>
            <w:r>
              <w:rPr>
                <w:sz w:val="18"/>
              </w:rPr>
              <w:t>Not done for any analyte</w:t>
            </w:r>
          </w:p>
        </w:tc>
        <w:tc>
          <w:tcPr>
            <w:tcW w:type="dxa" w:w="3456"/>
          </w:tcPr>
          <w:p>
            <w:r/>
            <w:r>
              <w:rPr>
                <w:sz w:val="18"/>
              </w:rPr>
              <w:t>No bulk (non-SERS) reference spectrum exists yet</w:t>
            </w:r>
          </w:p>
        </w:tc>
      </w:tr>
    </w:tbl>
    <w:p>
      <w:pPr>
        <w:spacing w:after="40"/>
      </w:pPr>
    </w:p>
    <w:p>
      <w:r>
        <w:br w:type="page"/>
      </w:r>
    </w:p>
    <w:p>
      <w:pPr>
        <w:pStyle w:val="Heading1"/>
      </w:pPr>
      <w:r>
        <w:t>3. Scientific Evaluation</w:t>
      </w:r>
    </w:p>
    <w:p>
      <w:pPr>
        <w:pStyle w:val="Heading2"/>
      </w:pPr>
      <w:r>
        <w:t>Is the Experimental Sequence Correct?</w:t>
      </w:r>
    </w:p>
    <w:p>
      <w:pPr>
        <w:spacing w:after="120"/>
      </w:pPr>
      <w:r>
        <w:rPr>
          <w:b w:val="0"/>
          <w:i w:val="0"/>
        </w:rPr>
        <w:t>Yes. Literature review → DFT prediction → raw-analyte Raman characterisation → substrate fabrication → substrate validation with a benchmark analyte (R6G) → target-analyte detection is the standard, textbook development sequence for a SERS biosensor, and matches the workflow explicitly described in reviews of this substrate class (Golubewa et al., Biosensors 2024, black-silicon SERS biosensor review). The project has not skipped a stage. The one sequencing gap is that surface functionalization/capture-chemistry development was not treated as its own explicit stage between “substrate validated with R6G” and “detect the real biomarkers” — in the literature, this step is essentially always present for analytes without strong intrinsic metal affinity (Section 7), and its absence, not an error earlier in the sequence, is the most likely reason the current stage is stalling.</w:t>
      </w:r>
    </w:p>
    <w:p>
      <w:pPr>
        <w:pStyle w:val="Heading2"/>
      </w:pPr>
      <w:r>
        <w:t>Is the Simulation Work Sufficient?</w:t>
      </w:r>
    </w:p>
    <w:p>
      <w:pPr>
        <w:spacing w:after="120"/>
      </w:pPr>
      <w:r>
        <w:rPr>
          <w:b w:val="0"/>
          <w:i w:val="0"/>
        </w:rPr>
        <w:t>For NAM: yes — a validated whole-molecule DFT calculation with a defensible peak-matching methodology is sufficient to support a publication-quality vibrational assignment. For LPS: adequate as a first-pass fragment decomposition, but the modest fit quality (R² = 0.18) means the current model should be treated as exploratory, not as ground truth for peak assignment. For LTA: not yet sufficient — the whole-molecule failure and the unresolved composite-fit run mean there is currently no reliable DFT reference spectrum for LTA to compare against experimental data at all.</w:t>
      </w:r>
    </w:p>
    <w:p>
      <w:pPr>
        <w:pStyle w:val="Heading2"/>
      </w:pPr>
      <w:r>
        <w:t>Are the Raman Experiments Appropriate?</w:t>
      </w:r>
    </w:p>
    <w:p>
      <w:pPr>
        <w:spacing w:after="120"/>
      </w:pPr>
      <w:r>
        <w:rPr>
          <w:b w:val="0"/>
          <w:i w:val="0"/>
        </w:rPr>
        <w:t>The instrument, excitation wavelength (785 nm, a standard, bio-friendly choice that avoids much of the fluorescence background that shorter wavelengths would generate in biological samples), and the systematic power/time parameter sweeps performed for NAM are all appropriate and consistent with best practice. The main appropriateness concern is not with the measurements themselves but with what they are being asked to measure: raw-powder Raman of the free biomarker in bulk solid form is a reasonable and necessary baseline step (and is exactly what was needed to generate the DFT-comparison data), but it does not test — and cannot substitute for — analyte-on-functionalised-substrate detection, which is a mechanistically different measurement (surface-bound dilute analyte vs. bulk powder).</w:t>
      </w:r>
    </w:p>
    <w:p>
      <w:pPr>
        <w:pStyle w:val="Heading2"/>
      </w:pPr>
      <w:r>
        <w:t>Is the Fabrication Strategy Suitable?</w:t>
      </w:r>
    </w:p>
    <w:p>
      <w:pPr>
        <w:spacing w:after="120"/>
      </w:pPr>
      <w:r>
        <w:rPr>
          <w:b w:val="0"/>
          <w:i w:val="0"/>
        </w:rPr>
        <w:t>Yes, as a starting point, with a caveat on reproducibility. One-step MACE/SACE (AgNO₃ + HF) is a real, published black-silicon fabrication route with competitive reported enhancement factors (10⁶–10⁹) relative to far more complex and expensive cleanroom methods (sputtering, e-beam/nanoimprint lithography, glancing-angle deposition) — an entirely reasonable and resource-appropriate choice for a Masters-scale project. The caveat, well-documented in the literature (Section 6), is that uncontrolled single-soak galvanic/electroless deposition sits at the lower-reproducibility end of the SERS substrate spectrum (typically 15–17% RSD without additional control steps) compared to methods that add a regulated nucleation step, a strip-and-regrow cycle, or post-deposition annealing (which bring RSD down to 5–8%).</w:t>
      </w:r>
    </w:p>
    <w:p>
      <w:pPr>
        <w:pStyle w:val="Heading2"/>
      </w:pPr>
      <w:r>
        <w:t>Is the Validation Method (R6G) Adequate?</w:t>
      </w:r>
    </w:p>
    <w:p>
      <w:pPr>
        <w:spacing w:after="120"/>
      </w:pPr>
      <w:r>
        <w:rPr>
          <w:b w:val="0"/>
          <w:i w:val="0"/>
        </w:rPr>
        <w:t>For its actual, narrower purpose — confirming the substrate is genuinely SERS-active and correctly reproduces known vibrational modes — the R6G validation is rigorous and adequate; the RMSE 4.62 cm⁻¹ / r = 0.99995 DFT-vs-experiment agreement is a strong result by any standard. It is not, and was never designed to be, evidence that the substrate is ready for a structurally unrelated analyte class. This is a scope-of-validation issue rather than a quality issue: the R6G work does exactly what R6G validation is supposed to do, but the project's presenting problem is that it is being (implicitly) relied upon to imply more than that.</w:t>
      </w:r>
    </w:p>
    <w:p>
      <w:pPr>
        <w:pStyle w:val="Heading2"/>
      </w:pPr>
      <w:r>
        <w:t>Does the Workflow Follow SERS Sensor Development Best Practice?</w:t>
      </w:r>
    </w:p>
    <w:p>
      <w:pPr>
        <w:spacing w:after="120"/>
      </w:pPr>
      <w:r>
        <w:rPr>
          <w:b w:val="0"/>
          <w:i w:val="0"/>
        </w:rPr>
        <w:t>Largely yes, with the gaps summarised above concentrated in two areas that recur across this whole evaluation: (1) surface functionalization/capture chemistry as a distinct, planned development stage, and (2) basic substrate characterisation and quantitative quality metrics (SEM/AFM morphology, %RSD reproducibility, enhancement factor, shelf-life stability) that reviewers of a SERS biosensor paper will expect and that are currently entirely absent for this project's own substrate.</w:t>
      </w:r>
    </w:p>
    <w:p>
      <w:r>
        <w:br w:type="page"/>
      </w:r>
    </w:p>
    <w:p>
      <w:pPr>
        <w:pStyle w:val="Heading1"/>
      </w:pPr>
      <w:r>
        <w:t>4. Strengths of the Current Project</w:t>
      </w:r>
    </w:p>
    <w:p>
      <w:pPr>
        <w:pStyle w:val="ListBullet"/>
        <w:spacing w:after="60"/>
      </w:pPr>
      <w:r>
        <w:rPr>
          <w:b/>
        </w:rPr>
        <w:t xml:space="preserve">Biomarker rationale is genuinely strong and clinically well-grounded. </w:t>
      </w:r>
      <w:r>
        <w:t>NAM/LPS/LTA as a Gram-class-discriminating panel is scientifically sound and directly supported by a substantial clinical literature (Gram-positive vs Gram-negative sepsis having distinct signalling kinetics and different responses to therapy).</w:t>
      </w:r>
    </w:p>
    <w:p>
      <w:pPr>
        <w:pStyle w:val="ListBullet"/>
        <w:spacing w:after="60"/>
      </w:pPr>
      <w:r>
        <w:rPr>
          <w:b/>
        </w:rPr>
        <w:t xml:space="preserve">NAM DFT + experimental work is close to publication quality. </w:t>
      </w:r>
      <w:r>
        <w:t>A validated whole-molecule Gaussian 16 calculation, a large (227-spectrum), well-preprocessed experimental archive, and a defensible (not artificially inflated) peak-matching methodology together represent real, citable scientific output.</w:t>
      </w:r>
    </w:p>
    <w:p>
      <w:pPr>
        <w:pStyle w:val="ListBullet"/>
        <w:spacing w:after="60"/>
      </w:pPr>
      <w:r>
        <w:rPr>
          <w:b/>
        </w:rPr>
        <w:t xml:space="preserve">Fabrication method is appropriately scoped and genuinely precedented. </w:t>
      </w:r>
      <w:r>
        <w:t>One-step MACE/SACE is not an improvised shortcut — it is a named, published technique with a substantial literature base and reported enhancement factors competitive with far more resource-intensive fabrication routes.</w:t>
      </w:r>
    </w:p>
    <w:p>
      <w:pPr>
        <w:pStyle w:val="ListBullet"/>
        <w:spacing w:after="60"/>
      </w:pPr>
      <w:r>
        <w:rPr>
          <w:b/>
        </w:rPr>
        <w:t xml:space="preserve">R6G validation is rigorous and quantitatively strong. </w:t>
      </w:r>
      <w:r>
        <w:t>The DFT-vs-experiment peak-matching methodology (Hungarian assignment, bootstrap-validated frequency scaling, RMSE 4.62 cm⁻¹) is genuinely good spectroscopic practice and is the single strongest quantitative result anywhere in the project.</w:t>
      </w:r>
    </w:p>
    <w:p>
      <w:pPr>
        <w:pStyle w:val="ListBullet"/>
        <w:spacing w:after="60"/>
      </w:pPr>
      <w:r>
        <w:rPr>
          <w:b/>
        </w:rPr>
        <w:t xml:space="preserve">The project has already, independently, considered the correct fix. </w:t>
      </w:r>
      <w:r>
        <w:t>The existence of a “Boronic_Acid_Design_Rationale” document in the project's own files shows the researcher had already begun reasoning toward the diol-capture strategy this review's literature search independently identifies as the most-supported solution — this review substantially reinforces and de-risks that direction rather than introducing it from nothing.</w:t>
      </w:r>
    </w:p>
    <w:p>
      <w:pPr>
        <w:pStyle w:val="ListBullet"/>
        <w:spacing w:after="60"/>
      </w:pPr>
      <w:r>
        <w:rPr>
          <w:b/>
        </w:rPr>
        <w:t xml:space="preserve">Procurement, budgeting, and clinical-translation planning are unusually mature for this project stage. </w:t>
      </w:r>
      <w:r>
        <w:t>A fully drafted clinical sepsis biobank protocol and SOP, and a designed blood-sample capture workflow, are ahead of where the wet-lab SERS work currently is — useful groundwork for later stages.</w:t>
      </w:r>
    </w:p>
    <w:p>
      <w:r>
        <w:br w:type="page"/>
      </w:r>
    </w:p>
    <w:p>
      <w:pPr>
        <w:pStyle w:val="Heading1"/>
      </w:pPr>
      <w:r>
        <w:t>5. Weaknesses and Root-Cause Analysis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736"/>
            <w:shd w:val="clear" w:fill="B03A2E"/>
          </w:tcPr>
          <w:p>
            <w:r/>
            <w:r>
              <w:rPr>
                <w:b/>
                <w:color w:val="FFFFFF"/>
                <w:sz w:val="19"/>
              </w:rPr>
              <w:t>Weakness</w:t>
            </w:r>
          </w:p>
        </w:tc>
        <w:tc>
          <w:tcPr>
            <w:tcW w:type="dxa" w:w="3600"/>
            <w:shd w:val="clear" w:fill="B03A2E"/>
          </w:tcPr>
          <w:p>
            <w:r/>
            <w:r>
              <w:rPr>
                <w:b/>
                <w:color w:val="FFFFFF"/>
                <w:sz w:val="19"/>
              </w:rPr>
              <w:t>Root cause</w:t>
            </w:r>
          </w:p>
        </w:tc>
        <w:tc>
          <w:tcPr>
            <w:tcW w:type="dxa" w:w="2880"/>
            <w:shd w:val="clear" w:fill="B03A2E"/>
          </w:tcPr>
          <w:p>
            <w:r/>
            <w:r>
              <w:rPr>
                <w:b/>
                <w:color w:val="FFFFFF"/>
                <w:sz w:val="19"/>
              </w:rPr>
              <w:t>Evidence</w:t>
            </w:r>
          </w:p>
        </w:tc>
      </w:tr>
      <w:tr>
        <w:tc>
          <w:tcPr>
            <w:tcW w:type="dxa" w:w="2736"/>
          </w:tcPr>
          <w:p>
            <w:r/>
            <w:r>
              <w:rPr>
                <w:sz w:val="18"/>
              </w:rPr>
              <w:t>NAM (and LPS/LTA) show weak/non-reproducible SERS signal despite a validated substrate</w:t>
            </w:r>
          </w:p>
        </w:tc>
        <w:tc>
          <w:tcPr>
            <w:tcW w:type="dxa" w:w="3600"/>
          </w:tcPr>
          <w:p>
            <w:r/>
            <w:r>
              <w:rPr>
                <w:sz w:val="18"/>
              </w:rPr>
              <w:t>Missing capture/anchor chemistry — these analytes lack R6G's resonance enhancement and intrinsic silver affinity, so they are not reliably localised within the ~1–2 nm hotspot shell where SERS enhancement exists</w:t>
            </w:r>
          </w:p>
        </w:tc>
        <w:tc>
          <w:tcPr>
            <w:tcW w:type="dxa" w:w="2880"/>
          </w:tcPr>
          <w:p>
            <w:r/>
            <w:r>
              <w:rPr>
                <w:sz w:val="18"/>
              </w:rPr>
              <w:t>Carbohydrate-SERS literature (Section 7) is unanimous on this mechanism; project files show no functionalization step was performed before biomarker testing began</w:t>
            </w:r>
          </w:p>
        </w:tc>
      </w:tr>
      <w:tr>
        <w:tc>
          <w:tcPr>
            <w:tcW w:type="dxa" w:w="2736"/>
            <w:shd w:val="clear" w:fill="FBEEEC"/>
          </w:tcPr>
          <w:p>
            <w:r/>
            <w:r>
              <w:rPr>
                <w:sz w:val="18"/>
              </w:rPr>
              <w:t>LTA computational and experimental work is markedly behind NAM despite being reported as similarly complete</w:t>
            </w:r>
          </w:p>
        </w:tc>
        <w:tc>
          <w:tcPr>
            <w:tcW w:type="dxa" w:w="3600"/>
            <w:shd w:val="clear" w:fill="FBEEEC"/>
          </w:tcPr>
          <w:p>
            <w:r/>
            <w:r>
              <w:rPr>
                <w:sz w:val="18"/>
              </w:rPr>
              <w:t>Whole-molecule LTA DFT failed at geometry optimisation (a fixable starting-structure problem); the composite fragment-fit run in the primary dataset is invalid (NaN)</w:t>
            </w:r>
          </w:p>
        </w:tc>
        <w:tc>
          <w:tcPr>
            <w:tcW w:type="dxa" w:w="2880"/>
            <w:shd w:val="clear" w:fill="FBEEEC"/>
          </w:tcPr>
          <w:p>
            <w:r/>
            <w:r>
              <w:rPr>
                <w:sz w:val="18"/>
              </w:rPr>
              <w:t>20-04/lta/results/final_summary_report.txt; molecules/LTA Final/LTA.LOG error termination</w:t>
            </w:r>
          </w:p>
        </w:tc>
      </w:tr>
      <w:tr>
        <w:tc>
          <w:tcPr>
            <w:tcW w:type="dxa" w:w="2736"/>
          </w:tcPr>
          <w:p>
            <w:r/>
            <w:r>
              <w:rPr>
                <w:sz w:val="18"/>
              </w:rPr>
              <w:t>No enhancement factor exists for any analyte on this substrate</w:t>
            </w:r>
          </w:p>
        </w:tc>
        <w:tc>
          <w:tcPr>
            <w:tcW w:type="dxa" w:w="3600"/>
          </w:tcPr>
          <w:p>
            <w:r/>
            <w:r>
              <w:rPr>
                <w:sz w:val="18"/>
              </w:rPr>
              <w:t>No bulk (non-SERS) reference spectrum has been collected at a matched concentration for any of R6G/NAM/LPS/LTA</w:t>
            </w:r>
          </w:p>
        </w:tc>
        <w:tc>
          <w:tcPr>
            <w:tcW w:type="dxa" w:w="2880"/>
          </w:tcPr>
          <w:p>
            <w:r/>
            <w:r>
              <w:rPr>
                <w:sz w:val="18"/>
              </w:rPr>
              <w:t>Absent from all reviewed files; confirmed absent in both the companion progress report and this review's own file check</w:t>
            </w:r>
          </w:p>
        </w:tc>
      </w:tr>
      <w:tr>
        <w:tc>
          <w:tcPr>
            <w:tcW w:type="dxa" w:w="2736"/>
            <w:shd w:val="clear" w:fill="FBEEEC"/>
          </w:tcPr>
          <w:p>
            <w:r/>
            <w:r>
              <w:rPr>
                <w:sz w:val="18"/>
              </w:rPr>
              <w:t>No substrate morphology characterisation (SEM/AFM/EDS) exists for this project's own substrate</w:t>
            </w:r>
          </w:p>
        </w:tc>
        <w:tc>
          <w:tcPr>
            <w:tcW w:type="dxa" w:w="3600"/>
            <w:shd w:val="clear" w:fill="FBEEEC"/>
          </w:tcPr>
          <w:p>
            <w:r/>
            <w:r>
              <w:rPr>
                <w:sz w:val="18"/>
              </w:rPr>
              <w:t>Characterisation was planned in the original November 2025 methodology but not yet executed</w:t>
            </w:r>
          </w:p>
        </w:tc>
        <w:tc>
          <w:tcPr>
            <w:tcW w:type="dxa" w:w="2880"/>
            <w:shd w:val="clear" w:fill="FBEEEC"/>
          </w:tcPr>
          <w:p>
            <w:r/>
            <w:r>
              <w:rPr>
                <w:sz w:val="18"/>
              </w:rPr>
              <w:t>FESEM images found in the project files belong to the host lab's earlier, separate sweat-sensor publication, not to this substrate</w:t>
            </w:r>
          </w:p>
        </w:tc>
      </w:tr>
      <w:tr>
        <w:tc>
          <w:tcPr>
            <w:tcW w:type="dxa" w:w="2736"/>
          </w:tcPr>
          <w:p>
            <w:r/>
            <w:r>
              <w:rPr>
                <w:sz w:val="18"/>
              </w:rPr>
              <w:t>Substrate fabrication reproducibility is unquantified</w:t>
            </w:r>
          </w:p>
        </w:tc>
        <w:tc>
          <w:tcPr>
            <w:tcW w:type="dxa" w:w="3600"/>
          </w:tcPr>
          <w:p>
            <w:r/>
            <w:r>
              <w:rPr>
                <w:sz w:val="18"/>
              </w:rPr>
              <w:t>No %RSD has been calculated across replicate substrates or replicate measurement spots on the same substrate</w:t>
            </w:r>
          </w:p>
        </w:tc>
        <w:tc>
          <w:tcPr>
            <w:tcW w:type="dxa" w:w="2880"/>
          </w:tcPr>
          <w:p>
            <w:r/>
            <w:r>
              <w:rPr>
                <w:sz w:val="18"/>
              </w:rPr>
              <w:t>Literature for this exact fabrication class (uncontrolled single-soak galvanic Ag deposition) reports 15–17% RSD as typical without additional control steps — this project has not measured its own figure to know where it sits</w:t>
            </w:r>
          </w:p>
        </w:tc>
      </w:tr>
      <w:tr>
        <w:tc>
          <w:tcPr>
            <w:tcW w:type="dxa" w:w="2736"/>
            <w:shd w:val="clear" w:fill="FBEEEC"/>
          </w:tcPr>
          <w:p>
            <w:r/>
            <w:r>
              <w:rPr>
                <w:sz w:val="18"/>
              </w:rPr>
              <w:t>Signal may be degrading between fabrication and measurement without this being recognised as the cause</w:t>
            </w:r>
          </w:p>
        </w:tc>
        <w:tc>
          <w:tcPr>
            <w:tcW w:type="dxa" w:w="3600"/>
            <w:shd w:val="clear" w:fill="FBEEEC"/>
          </w:tcPr>
          <w:p>
            <w:r/>
            <w:r>
              <w:rPr>
                <w:sz w:val="18"/>
              </w:rPr>
              <w:t>Bare silver SERS substrates are documented to lose the majority of their signal within hours (60% loss in 5 h in one directly quantified study) unless protected; no protective coating or documented time-from-fabrication-to-measurement protocol exists in this project</w:t>
            </w:r>
          </w:p>
        </w:tc>
        <w:tc>
          <w:tcPr>
            <w:tcW w:type="dxa" w:w="2880"/>
            <w:shd w:val="clear" w:fill="FBEEEC"/>
          </w:tcPr>
          <w:p>
            <w:r/>
            <w:r>
              <w:rPr>
                <w:sz w:val="18"/>
              </w:rPr>
              <w:t>Matikainen et al., Scientific Reports 2016 (srep37192); no anti-oxidation step evidenced in project fabrication notes</w:t>
            </w:r>
          </w:p>
        </w:tc>
      </w:tr>
      <w:tr>
        <w:tc>
          <w:tcPr>
            <w:tcW w:type="dxa" w:w="2736"/>
          </w:tcPr>
          <w:p>
            <w:r/>
            <w:r>
              <w:rPr>
                <w:sz w:val="18"/>
              </w:rPr>
              <w:t>Basic acquisition parameters are inconsistently documented</w:t>
            </w:r>
          </w:p>
        </w:tc>
        <w:tc>
          <w:tcPr>
            <w:tcW w:type="dxa" w:w="3600"/>
          </w:tcPr>
          <w:p>
            <w:r/>
            <w:r>
              <w:rPr>
                <w:sz w:val="18"/>
              </w:rPr>
              <w:t>True laser power at the sample (mW) has never been measured with a power meter; power is recorded only as an arbitrary 0–100 instrument setting, described inconsistently as "%" or "Watts" across different project documents</w:t>
            </w:r>
          </w:p>
        </w:tc>
        <w:tc>
          <w:tcPr>
            <w:tcW w:type="dxa" w:w="2880"/>
          </w:tcPr>
          <w:p>
            <w:r/>
            <w:r>
              <w:rPr>
                <w:sz w:val="18"/>
              </w:rPr>
              <w:t>Flagged independently in the companion progress report (Section 20, item 4)</w:t>
            </w:r>
          </w:p>
        </w:tc>
      </w:tr>
      <w:tr>
        <w:tc>
          <w:tcPr>
            <w:tcW w:type="dxa" w:w="2736"/>
            <w:shd w:val="clear" w:fill="FBEEEC"/>
          </w:tcPr>
          <w:p>
            <w:r/>
            <w:r>
              <w:rPr>
                <w:sz w:val="18"/>
              </w:rPr>
              <w:t>Two internally inconsistent numerical claims exist for NAM and LTA fit quality</w:t>
            </w:r>
          </w:p>
        </w:tc>
        <w:tc>
          <w:tcPr>
            <w:tcW w:type="dxa" w:w="3600"/>
            <w:shd w:val="clear" w:fill="FBEEEC"/>
          </w:tcPr>
          <w:p>
            <w:r/>
            <w:r>
              <w:rPr>
                <w:sz w:val="18"/>
              </w:rPr>
              <w:t>A masters thesis document reports substantially better NAM/LTA fit numbers than the underlying analysis pipeline supports; the project's own internal methodology review previously caught an almost identical over-optimistic-window artefact once before</w:t>
            </w:r>
          </w:p>
        </w:tc>
        <w:tc>
          <w:tcPr>
            <w:tcW w:type="dxa" w:w="2880"/>
            <w:shd w:val="clear" w:fill="FBEEEC"/>
          </w:tcPr>
          <w:p>
            <w:r/>
            <w:r>
              <w:rPr>
                <w:sz w:val="18"/>
              </w:rPr>
              <w:t>NAM_paper_analysis/REPO_REVIEW.md; companion progress report Section 20, items 1-2</w:t>
            </w:r>
          </w:p>
        </w:tc>
      </w:tr>
    </w:tbl>
    <w:p>
      <w:pPr>
        <w:spacing w:after="40"/>
      </w:pPr>
    </w:p>
    <w:p>
      <w:r>
        <w:br w:type="page"/>
      </w:r>
    </w:p>
    <w:p>
      <w:pPr>
        <w:pStyle w:val="Heading1"/>
      </w:pPr>
      <w:r>
        <w:t>6. Detailed Evaluation of the Current Substrate</w:t>
      </w:r>
    </w:p>
    <w:p>
      <w:pPr>
        <w:pStyle w:val="Heading2"/>
      </w:pPr>
      <w:r>
        <w:t>Is Black Silicon the Correct Choice?</w:t>
      </w:r>
    </w:p>
    <w:p>
      <w:pPr>
        <w:spacing w:after="120"/>
      </w:pPr>
      <w:r>
        <w:rPr>
          <w:b w:val="0"/>
          <w:i w:val="0"/>
        </w:rPr>
        <w:t>Yes. Black silicon fabricated via metal-assisted chemical etching is an active, credible SERS substrate class with a dedicated recent review (Golubewa et al., Biosensors 14(10):453, 2024) covering exactly this application space. The mechanism — Ag nanoparticles catalyse localised anodic oxidation of the underlying silicon, which HF then dissolves, simultaneously carving nanostructure and depositing the plasmonic metal — is well characterised, and the researcher's specific process (a single AgNO₃/HF immersion) matches a named, published variant of this method ("one-step MACE" / "silver-assisted chemical etching", e.g. Kochylas et al., Nanomaterials 11(7):1760, 2021).</w:t>
      </w:r>
    </w:p>
    <w:p>
      <w:pPr>
        <w:pStyle w:val="Heading2"/>
      </w:pPr>
      <w:r>
        <w:t>Is Silver the Best Plasmonic Material?</w:t>
      </w:r>
    </w:p>
    <w:p>
      <w:pPr>
        <w:spacing w:after="120"/>
      </w:pPr>
      <w:r>
        <w:rPr>
          <w:b w:val="0"/>
          <w:i w:val="0"/>
        </w:rPr>
        <w:t>For raw electromagnetic enhancement, yes — silver has a stronger plasmonic response than gold across the visible range (its interband transition is spectrally well-separated from its plasmon resonance, unlike gold's). The trade-off, well documented in the literature (Matikainen et al. 2016; multiple graphene/gold-capping stability papers), is that bare silver oxidises and degrades within hours to days in ambient air, which both reduces signal and, critically for this project's reproducibility problem, increases spectrum-to-spectrum variability over the same timeframe. A thin protective capping layer (a few nm of Au, or a graphene/graphene-oxide wrap) preserves most of silver's enhancement advantage while adding the chemical stability of gold — this is a low-effort, high-value modification to the existing fabrication line, not a substrate redesign.</w:t>
      </w:r>
    </w:p>
    <w:p>
      <w:pPr>
        <w:pStyle w:val="Heading2"/>
      </w:pPr>
      <w:r>
        <w:t>Nanoparticles vs. a Continuous Film?</w:t>
      </w:r>
    </w:p>
    <w:p>
      <w:pPr>
        <w:spacing w:after="120"/>
      </w:pPr>
      <w:r>
        <w:rPr>
          <w:b w:val="0"/>
          <w:i w:val="0"/>
        </w:rPr>
        <w:t>Discrete, appropriately spaced nanoparticles (or a nanostructured/discontinuous film) are strongly preferred over a continuous silver film for SERS: hotspot intensity depends on sub-10 nm (ideally 1–5 nm) gaps between metal features, and literature on Ag-film thickness on silicon nanostructures shows enhancement factor peaks at a specific, finite coverage/thickness (commonly cited around 5–10 nm equivalent film thickness, or 60–80 nm discrete nano-islands) rather than increasing monotonically with more metal — over-thick or fully continuous coatings smooth over the underlying nanostructure and reduce hotspot density. The single-soak MACE process typically already produces a discontinuous, particle/dendrite-like silver morphology rather than a continuous film, which is favourable, but this project's own substrate has not been imaged to confirm which morphology (aggregate vs. dendrite vs. sparse nanoparticle) it actually produced — a direct, actionable characterisation gap (Section 13).</w:t>
      </w:r>
    </w:p>
    <w:p>
      <w:pPr>
        <w:pStyle w:val="Heading2"/>
      </w:pPr>
      <w:r>
        <w:t>Is the Fabrication Process Appropriate?</w:t>
      </w:r>
    </w:p>
    <w:p>
      <w:pPr>
        <w:spacing w:after="120"/>
      </w:pPr>
      <w:r>
        <w:rPr>
          <w:b w:val="0"/>
          <w:i w:val="0"/>
        </w:rPr>
        <w:t>Appropriate as a low-cost, accessible starting method, but currently under-controlled relative to literature best practice for this substrate class. Published one-step MACE protocols show that AgNO₃ concentration, HF concentration, immersion time, and silicon doping/resistivity are all primary controls over the resulting nanostructure morphology (nanowire diameter/length/density, silver aggregate vs. dendrite form) — variability in any of these between batches is a plausible direct contributor to the "non-reproducible spectra" problem, independent of any biomarker-capture chemistry issue. Several published groups add a secondary step (stripping the as-grown dendritic silver in dilute nitric acid and re-immersing in fresh AgNO₃/HF to regrow a more uniform aggregate morphology) specifically to improve uniformity — this project's process, as documented, appears to be a single soak without this refinement step.</w:t>
      </w:r>
    </w:p>
    <w:p>
      <w:pPr>
        <w:pStyle w:val="Heading2"/>
      </w:pPr>
      <w:r>
        <w:t>Is the Silver Morphology Likely to Generate Sufficient Hotspot Density?</w:t>
      </w:r>
    </w:p>
    <w:p>
      <w:pPr>
        <w:spacing w:after="120"/>
      </w:pPr>
      <w:r>
        <w:rPr>
          <w:b w:val="0"/>
          <w:i w:val="0"/>
        </w:rPr>
        <w:t>Likely broadly yes in principle (reported EFs for this substrate class, 10⁶–10⁹, are adequate for many SERS applications, and are directly confirmed for this specific substrate by the strong R6G validation result), but this cannot currently be confirmed quantitatively because no SEM/AFM imaging of the actual silver morphology exists for this substrate. Whether the current morphology is closer to the higher-performing "aggregate" form or the lower-performing "dendrite" form reported in the literature is unknown and directly answerable with a single SEM session.</w:t>
      </w:r>
    </w:p>
    <w:p>
      <w:pPr>
        <w:pStyle w:val="Heading2"/>
      </w:pPr>
      <w:r>
        <w:t>Is the Substrate Architecture Suitable for NAM Detection Specifically?</w:t>
      </w:r>
    </w:p>
    <w:p>
      <w:pPr>
        <w:spacing w:after="120"/>
      </w:pPr>
      <w:r>
        <w:rPr>
          <w:b w:val="0"/>
          <w:i w:val="0"/>
        </w:rPr>
        <w:t>This is the crux of the whole evaluation, and the answer is: the substrate architecture is probably adequate, but architecture alone cannot be sufficient for NAM (or LPS/LTA) without an added capture/anchor chemistry, for reasons that are intrinsic to the analyte, not the substrate — detailed fully in Section 7. No SERS substrate architecture, however well engineered, generates strong signal from an analyte that does not localise within its hotspots.</w:t>
      </w:r>
    </w:p>
    <w:p>
      <w:r>
        <w:br w:type="page"/>
      </w:r>
    </w:p>
    <w:p>
      <w:pPr>
        <w:pStyle w:val="Heading1"/>
      </w:pPr>
      <w:r>
        <w:t>7. Why NAM (and LPS/LTA) Detection Is Failing</w:t>
      </w:r>
    </w:p>
    <w:p>
      <w:pPr>
        <w:pStyle w:val="Heading2"/>
      </w:pPr>
      <w:r>
        <w:t>The Core Mechanism</w:t>
      </w:r>
    </w:p>
    <w:p>
      <w:pPr>
        <w:spacing w:after="120"/>
      </w:pPr>
      <w:r>
        <w:rPr>
          <w:b w:val="0"/>
          <w:i w:val="0"/>
        </w:rPr>
        <w:t>Rhodamine 6G and N-acetylmuramic acid sit at opposite ends of essentially every property that determines whether a molecule will show a strong SERS signal:</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592"/>
            <w:shd w:val="clear" w:fill="B03A2E"/>
          </w:tcPr>
          <w:p>
            <w:r/>
            <w:r>
              <w:rPr>
                <w:b/>
                <w:color w:val="FFFFFF"/>
                <w:sz w:val="19"/>
              </w:rPr>
              <w:t>Property</w:t>
            </w:r>
          </w:p>
        </w:tc>
        <w:tc>
          <w:tcPr>
            <w:tcW w:type="dxa" w:w="3744"/>
            <w:shd w:val="clear" w:fill="B03A2E"/>
          </w:tcPr>
          <w:p>
            <w:r/>
            <w:r>
              <w:rPr>
                <w:b/>
                <w:color w:val="FFFFFF"/>
                <w:sz w:val="19"/>
              </w:rPr>
              <w:t>Rhodamine 6G</w:t>
            </w:r>
          </w:p>
        </w:tc>
        <w:tc>
          <w:tcPr>
            <w:tcW w:type="dxa" w:w="3744"/>
            <w:shd w:val="clear" w:fill="B03A2E"/>
          </w:tcPr>
          <w:p>
            <w:r/>
            <w:r>
              <w:rPr>
                <w:b/>
                <w:color w:val="FFFFFF"/>
                <w:sz w:val="19"/>
              </w:rPr>
              <w:t>NAM</w:t>
            </w:r>
          </w:p>
        </w:tc>
      </w:tr>
      <w:tr>
        <w:tc>
          <w:tcPr>
            <w:tcW w:type="dxa" w:w="2592"/>
          </w:tcPr>
          <w:p>
            <w:r/>
            <w:r>
              <w:rPr>
                <w:sz w:val="18"/>
              </w:rPr>
              <w:t>Chromophore / resonance</w:t>
            </w:r>
          </w:p>
        </w:tc>
        <w:tc>
          <w:tcPr>
            <w:tcW w:type="dxa" w:w="3744"/>
          </w:tcPr>
          <w:p>
            <w:r/>
            <w:r>
              <w:rPr>
                <w:sz w:val="18"/>
              </w:rPr>
              <w:t>Strong visible-region absorption; gets resonance-Raman enhancement (~500× reported at 532 nm) on top of the plasmonic SERS effect</w:t>
            </w:r>
          </w:p>
        </w:tc>
        <w:tc>
          <w:tcPr>
            <w:tcW w:type="dxa" w:w="3744"/>
          </w:tcPr>
          <w:p>
            <w:r/>
            <w:r>
              <w:rPr>
                <w:sz w:val="18"/>
              </w:rPr>
              <w:t>No chromophore; purely non-resonant Raman at typical 532/633/785 nm excitation</w:t>
            </w:r>
          </w:p>
        </w:tc>
      </w:tr>
      <w:tr>
        <w:tc>
          <w:tcPr>
            <w:tcW w:type="dxa" w:w="2592"/>
            <w:shd w:val="clear" w:fill="FBEEEC"/>
          </w:tcPr>
          <w:p>
            <w:r/>
            <w:r>
              <w:rPr>
                <w:sz w:val="18"/>
              </w:rPr>
              <w:t>Intrinsic Raman scattering cross-section</w:t>
            </w:r>
          </w:p>
        </w:tc>
        <w:tc>
          <w:tcPr>
            <w:tcW w:type="dxa" w:w="3744"/>
            <w:shd w:val="clear" w:fill="FBEEEC"/>
          </w:tcPr>
          <w:p>
            <w:r/>
            <w:r>
              <w:rPr>
                <w:sz w:val="18"/>
              </w:rPr>
              <w:t>Large (resonant dye)</w:t>
            </w:r>
          </w:p>
        </w:tc>
        <w:tc>
          <w:tcPr>
            <w:tcW w:type="dxa" w:w="3744"/>
            <w:shd w:val="clear" w:fill="FBEEEC"/>
          </w:tcPr>
          <w:p>
            <w:r/>
            <w:r>
              <w:rPr>
                <w:sz w:val="18"/>
              </w:rPr>
              <w:t>Small — by analogy to the well-characterised structural relative glucose (5.6×10⁻³⁰ cm²·molecule⁻¹·sr⁻¹), "much smaller than... some Raman dyes"</w:t>
            </w:r>
          </w:p>
        </w:tc>
      </w:tr>
      <w:tr>
        <w:tc>
          <w:tcPr>
            <w:tcW w:type="dxa" w:w="2592"/>
          </w:tcPr>
          <w:p>
            <w:r/>
            <w:r>
              <w:rPr>
                <w:sz w:val="18"/>
              </w:rPr>
              <w:t>Charge / metal affinity</w:t>
            </w:r>
          </w:p>
        </w:tc>
        <w:tc>
          <w:tcPr>
            <w:tcW w:type="dxa" w:w="3744"/>
          </w:tcPr>
          <w:p>
            <w:r/>
            <w:r>
              <w:rPr>
                <w:sz w:val="18"/>
              </w:rPr>
              <w:t>Cationic, aromatic — chemisorbs to bare Ag via electrostatic attraction and π-system interaction; forms a documented Ag-adatom-R6G surface complex</w:t>
            </w:r>
          </w:p>
        </w:tc>
        <w:tc>
          <w:tcPr>
            <w:tcW w:type="dxa" w:w="3744"/>
          </w:tcPr>
          <w:p>
            <w:r/>
            <w:r>
              <w:rPr>
                <w:sz w:val="18"/>
              </w:rPr>
              <w:t>Predominantly neutral/zwitterionic small polar molecule; carbohydrates are consistently reported in the literature to show "poor adsorption on bare metal surfaces... very low affinity/binding with metal nanoparticles"</w:t>
            </w:r>
          </w:p>
        </w:tc>
      </w:tr>
      <w:tr>
        <w:tc>
          <w:tcPr>
            <w:tcW w:type="dxa" w:w="2592"/>
            <w:shd w:val="clear" w:fill="FBEEEC"/>
          </w:tcPr>
          <w:p>
            <w:r/>
            <w:r>
              <w:rPr>
                <w:sz w:val="18"/>
              </w:rPr>
              <w:t>Localisation within the ~1-2 nm hotspot shell</w:t>
            </w:r>
          </w:p>
        </w:tc>
        <w:tc>
          <w:tcPr>
            <w:tcW w:type="dxa" w:w="3744"/>
            <w:shd w:val="clear" w:fill="FBEEEC"/>
          </w:tcPr>
          <w:p>
            <w:r/>
            <w:r>
              <w:rPr>
                <w:sz w:val="18"/>
              </w:rPr>
              <w:t>Reliable — driven by the above two properties</w:t>
            </w:r>
          </w:p>
        </w:tc>
        <w:tc>
          <w:tcPr>
            <w:tcW w:type="dxa" w:w="3744"/>
            <w:shd w:val="clear" w:fill="FBEEEC"/>
          </w:tcPr>
          <w:p>
            <w:r/>
            <w:r>
              <w:rPr>
                <w:sz w:val="18"/>
              </w:rPr>
              <w:t>Not reliable without help — nothing pulls NAM into, or holds it within, the hotspot region</w:t>
            </w:r>
          </w:p>
        </w:tc>
      </w:tr>
    </w:tbl>
    <w:p>
      <w:pPr>
        <w:spacing w:after="40"/>
      </w:pPr>
    </w:p>
    <w:p>
      <w:pPr>
        <w:spacing w:after="120"/>
      </w:pPr>
      <w:r>
        <w:rPr>
          <w:b w:val="0"/>
          <w:i w:val="0"/>
        </w:rPr>
        <w:t>This is not a hypothesis unique to this review: it is the consistent, repeated explanation given across the carbohydrate-SERS literature for why sugars and small polar biomolecules are a well-known hard case for SERS, and why essentially every successful carbohydrate SERS assay in the literature (glucose, sialic acid, glycans generally) uses a deliberately engineered anchor/capture chemistry — most often boronic acid, which reversibly binds the cis-diol groups that carbohydrates (including NAM) present — rather than relying on the bare metal surface. No dedicated SERS detection method for free NAM or muramic acid was found anywhere in the literature search conducted for this review; the closest precedents (whole-bacterium SERS fingerprints, and a vancomycin-functionalised silver-nanorod platform for peptidoglycan) both either observe NAM only as one minor contributor within an intact cell-wall polymer matrix, or use a dedicated capture ligand rather than bare-metal adsorption of the free molecule.</w:t>
      </w:r>
    </w:p>
    <w:p>
      <w:pPr>
        <w:spacing w:after="120"/>
      </w:pPr>
      <w:r>
        <w:rPr>
          <w:b w:val="0"/>
          <w:i w:val="0"/>
        </w:rPr>
        <w:t>LPS and LTA face a related but mechanistically distinct version of the same underlying issue: both are large, net negatively-charged glycolipids. Direct label-free SERS of LPS has been demonstrated in the literature but with modest sensitivity (Cmin ≈ 3 ng/mL, Rusciano et al. 2023) and the higher-performance LPS assays in the literature (12 ng/mL LOD and better) universally add a capture layer — an anti-Lipid-A antibody in Rusciano et al., or polymyxin B, chitosan (electrostatic, exploiting LPS's negative charge), or a molecularly imprinted polymer in other work. A dedicated, quantitative LTA-SERS biosensor with a stated limit of detection was not found in the literature at all — LTA has only been demonstrated as a class-differentiator alongside LPS on a lithographically controlled silver-nanorod substrate (Yang et al., Nanoscale 2022), meaning the LTA arm of this project is scientifically less de-risked by prior art than either NAM or LPS.</w:t>
      </w:r>
    </w:p>
    <w:p>
      <w:pPr>
        <w:pStyle w:val="Heading2"/>
      </w:pPr>
      <w:r>
        <w:t>Ranked Probable Causes</w:t>
      </w:r>
    </w:p>
    <w:p>
      <w:pPr>
        <w:spacing w:after="120"/>
      </w:pPr>
      <w:r>
        <w:rPr>
          <w:b w:val="0"/>
          <w:i w:val="0"/>
        </w:rPr>
        <w:t>Ranked by probability, based on the combined weight of the project's own evidence and the literature reviewed:</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720"/>
            <w:shd w:val="clear" w:fill="B03A2E"/>
          </w:tcPr>
          <w:p>
            <w:r/>
            <w:r>
              <w:rPr>
                <w:b/>
                <w:color w:val="FFFFFF"/>
                <w:sz w:val="19"/>
              </w:rPr>
              <w:t>Rank</w:t>
            </w:r>
          </w:p>
        </w:tc>
        <w:tc>
          <w:tcPr>
            <w:tcW w:type="dxa" w:w="3888"/>
            <w:shd w:val="clear" w:fill="B03A2E"/>
          </w:tcPr>
          <w:p>
            <w:r/>
            <w:r>
              <w:rPr>
                <w:b/>
                <w:color w:val="FFFFFF"/>
                <w:sz w:val="19"/>
              </w:rPr>
              <w:t>Factor</w:t>
            </w:r>
          </w:p>
        </w:tc>
        <w:tc>
          <w:tcPr>
            <w:tcW w:type="dxa" w:w="1584"/>
            <w:shd w:val="clear" w:fill="B03A2E"/>
          </w:tcPr>
          <w:p>
            <w:r/>
            <w:r>
              <w:rPr>
                <w:b/>
                <w:color w:val="FFFFFF"/>
                <w:sz w:val="19"/>
              </w:rPr>
              <w:t>Probability</w:t>
            </w:r>
          </w:p>
        </w:tc>
        <w:tc>
          <w:tcPr>
            <w:tcW w:type="dxa" w:w="3888"/>
            <w:shd w:val="clear" w:fill="B03A2E"/>
          </w:tcPr>
          <w:p>
            <w:r/>
            <w:r>
              <w:rPr>
                <w:b/>
                <w:color w:val="FFFFFF"/>
                <w:sz w:val="19"/>
              </w:rPr>
              <w:t>Rationale</w:t>
            </w:r>
          </w:p>
        </w:tc>
      </w:tr>
      <w:tr>
        <w:tc>
          <w:tcPr>
            <w:tcW w:type="dxa" w:w="720"/>
          </w:tcPr>
          <w:p>
            <w:r/>
            <w:r>
              <w:rPr>
                <w:sz w:val="18"/>
              </w:rPr>
              <w:t>1</w:t>
            </w:r>
          </w:p>
        </w:tc>
        <w:tc>
          <w:tcPr>
            <w:tcW w:type="dxa" w:w="3888"/>
          </w:tcPr>
          <w:p>
            <w:r/>
            <w:r>
              <w:rPr>
                <w:sz w:val="18"/>
              </w:rPr>
              <w:t>Missing capture/anchor chemistry (no functionalization layer)</w:t>
            </w:r>
          </w:p>
        </w:tc>
        <w:tc>
          <w:tcPr>
            <w:tcW w:type="dxa" w:w="1584"/>
          </w:tcPr>
          <w:p>
            <w:r/>
            <w:r>
              <w:rPr>
                <w:sz w:val="18"/>
              </w:rPr>
              <w:t>Very high</w:t>
            </w:r>
          </w:p>
        </w:tc>
        <w:tc>
          <w:tcPr>
            <w:tcW w:type="dxa" w:w="3888"/>
          </w:tcPr>
          <w:p>
            <w:r/>
            <w:r>
              <w:rPr>
                <w:sz w:val="18"/>
              </w:rPr>
              <w:t>The single mechanism that fully explains a substrate that works for R6G but not NAM/LPS/LTA; consistent across the entire carbohydrate/biomarker-SERS literature reviewed</w:t>
            </w:r>
          </w:p>
        </w:tc>
      </w:tr>
      <w:tr>
        <w:tc>
          <w:tcPr>
            <w:tcW w:type="dxa" w:w="720"/>
            <w:shd w:val="clear" w:fill="FBEEEC"/>
          </w:tcPr>
          <w:p>
            <w:r/>
            <w:r>
              <w:rPr>
                <w:sz w:val="18"/>
              </w:rPr>
              <w:t>2</w:t>
            </w:r>
          </w:p>
        </w:tc>
        <w:tc>
          <w:tcPr>
            <w:tcW w:type="dxa" w:w="3888"/>
            <w:shd w:val="clear" w:fill="FBEEEC"/>
          </w:tcPr>
          <w:p>
            <w:r/>
            <w:r>
              <w:rPr>
                <w:sz w:val="18"/>
              </w:rPr>
              <w:t>Silver surface oxidation / degradation between fabrication and measurement</w:t>
            </w:r>
          </w:p>
        </w:tc>
        <w:tc>
          <w:tcPr>
            <w:tcW w:type="dxa" w:w="1584"/>
            <w:shd w:val="clear" w:fill="FBEEEC"/>
          </w:tcPr>
          <w:p>
            <w:r/>
            <w:r>
              <w:rPr>
                <w:sz w:val="18"/>
              </w:rPr>
              <w:t>High</w:t>
            </w:r>
          </w:p>
        </w:tc>
        <w:tc>
          <w:tcPr>
            <w:tcW w:type="dxa" w:w="3888"/>
            <w:shd w:val="clear" w:fill="FBEEEC"/>
          </w:tcPr>
          <w:p>
            <w:r/>
            <w:r>
              <w:rPr>
                <w:sz w:val="18"/>
              </w:rPr>
              <w:t>Bare Ag substrates lose the majority of signal within hours (60% in 5 h documented); would independently cause both weak signal and poor reproducibility, compounding cause #1</w:t>
            </w:r>
          </w:p>
        </w:tc>
      </w:tr>
      <w:tr>
        <w:tc>
          <w:tcPr>
            <w:tcW w:type="dxa" w:w="720"/>
          </w:tcPr>
          <w:p>
            <w:r/>
            <w:r>
              <w:rPr>
                <w:sz w:val="18"/>
              </w:rPr>
              <w:t>3</w:t>
            </w:r>
          </w:p>
        </w:tc>
        <w:tc>
          <w:tcPr>
            <w:tcW w:type="dxa" w:w="3888"/>
          </w:tcPr>
          <w:p>
            <w:r/>
            <w:r>
              <w:rPr>
                <w:sz w:val="18"/>
              </w:rPr>
              <w:t>Uncontrolled fabrication reproducibility (batch-to-batch morphology variation)</w:t>
            </w:r>
          </w:p>
        </w:tc>
        <w:tc>
          <w:tcPr>
            <w:tcW w:type="dxa" w:w="1584"/>
          </w:tcPr>
          <w:p>
            <w:r/>
            <w:r>
              <w:rPr>
                <w:sz w:val="18"/>
              </w:rPr>
              <w:t>Moderate-high</w:t>
            </w:r>
          </w:p>
        </w:tc>
        <w:tc>
          <w:tcPr>
            <w:tcW w:type="dxa" w:w="3888"/>
          </w:tcPr>
          <w:p>
            <w:r/>
            <w:r>
              <w:rPr>
                <w:sz w:val="18"/>
              </w:rPr>
              <w:t>Single-soak galvanic deposition is documented to sit at 15-17% RSD without additional control steps; directly explains "non-reproducible spectra" independent of any capture-chemistry issue</w:t>
            </w:r>
          </w:p>
        </w:tc>
      </w:tr>
      <w:tr>
        <w:tc>
          <w:tcPr>
            <w:tcW w:type="dxa" w:w="720"/>
            <w:shd w:val="clear" w:fill="FBEEEC"/>
          </w:tcPr>
          <w:p>
            <w:r/>
            <w:r>
              <w:rPr>
                <w:sz w:val="18"/>
              </w:rPr>
              <w:t>4</w:t>
            </w:r>
          </w:p>
        </w:tc>
        <w:tc>
          <w:tcPr>
            <w:tcW w:type="dxa" w:w="3888"/>
            <w:shd w:val="clear" w:fill="FBEEEC"/>
          </w:tcPr>
          <w:p>
            <w:r/>
            <w:r>
              <w:rPr>
                <w:sz w:val="18"/>
              </w:rPr>
              <w:t>Analyte concentration / deposition volume below effective detection threshold for an unfunctionalised weak scatterer</w:t>
            </w:r>
          </w:p>
        </w:tc>
        <w:tc>
          <w:tcPr>
            <w:tcW w:type="dxa" w:w="1584"/>
            <w:shd w:val="clear" w:fill="FBEEEC"/>
          </w:tcPr>
          <w:p>
            <w:r/>
            <w:r>
              <w:rPr>
                <w:sz w:val="18"/>
              </w:rPr>
              <w:t>Moderate</w:t>
            </w:r>
          </w:p>
        </w:tc>
        <w:tc>
          <w:tcPr>
            <w:tcW w:type="dxa" w:w="3888"/>
            <w:shd w:val="clear" w:fill="FBEEEC"/>
          </w:tcPr>
          <w:p>
            <w:r/>
            <w:r>
              <w:rPr>
                <w:sz w:val="18"/>
              </w:rPr>
              <w:t>Even with a working substrate, a molecule with low intrinsic Raman cross-section and poor surface affinity needs comparatively high applied concentration to show any signal at all; not yet systematically varied per available evidence</w:t>
            </w:r>
          </w:p>
        </w:tc>
      </w:tr>
      <w:tr>
        <w:tc>
          <w:tcPr>
            <w:tcW w:type="dxa" w:w="720"/>
          </w:tcPr>
          <w:p>
            <w:r/>
            <w:r>
              <w:rPr>
                <w:sz w:val="18"/>
              </w:rPr>
              <w:t>5</w:t>
            </w:r>
          </w:p>
        </w:tc>
        <w:tc>
          <w:tcPr>
            <w:tcW w:type="dxa" w:w="3888"/>
          </w:tcPr>
          <w:p>
            <w:r/>
            <w:r>
              <w:rPr>
                <w:sz w:val="18"/>
              </w:rPr>
              <w:t>Drying / deposition method not optimised for even, reproducible analyte distribution</w:t>
            </w:r>
          </w:p>
        </w:tc>
        <w:tc>
          <w:tcPr>
            <w:tcW w:type="dxa" w:w="1584"/>
          </w:tcPr>
          <w:p>
            <w:r/>
            <w:r>
              <w:rPr>
                <w:sz w:val="18"/>
              </w:rPr>
              <w:t>Moderate</w:t>
            </w:r>
          </w:p>
        </w:tc>
        <w:tc>
          <w:tcPr>
            <w:tcW w:type="dxa" w:w="3888"/>
          </w:tcPr>
          <w:p>
            <w:r/>
            <w:r>
              <w:rPr>
                <w:sz w:val="18"/>
              </w:rPr>
              <w:t>"Coffee-ring" and uneven drying effects are a well-known, substrate-independent source of spot-to-spot SERS variability for any solution-deposited analyte</w:t>
            </w:r>
          </w:p>
        </w:tc>
      </w:tr>
      <w:tr>
        <w:tc>
          <w:tcPr>
            <w:tcW w:type="dxa" w:w="720"/>
            <w:shd w:val="clear" w:fill="FBEEEC"/>
          </w:tcPr>
          <w:p>
            <w:r/>
            <w:r>
              <w:rPr>
                <w:sz w:val="18"/>
              </w:rPr>
              <w:t>6</w:t>
            </w:r>
          </w:p>
        </w:tc>
        <w:tc>
          <w:tcPr>
            <w:tcW w:type="dxa" w:w="3888"/>
            <w:shd w:val="clear" w:fill="FBEEEC"/>
          </w:tcPr>
          <w:p>
            <w:r/>
            <w:r>
              <w:rPr>
                <w:sz w:val="18"/>
              </w:rPr>
              <w:t>Insufficient hotspot density / suboptimal silver morphology (dendritic rather than aggregate)</w:t>
            </w:r>
          </w:p>
        </w:tc>
        <w:tc>
          <w:tcPr>
            <w:tcW w:type="dxa" w:w="1584"/>
            <w:shd w:val="clear" w:fill="FBEEEC"/>
          </w:tcPr>
          <w:p>
            <w:r/>
            <w:r>
              <w:rPr>
                <w:sz w:val="18"/>
              </w:rPr>
              <w:t>Moderate</w:t>
            </w:r>
          </w:p>
        </w:tc>
        <w:tc>
          <w:tcPr>
            <w:tcW w:type="dxa" w:w="3888"/>
            <w:shd w:val="clear" w:fill="FBEEEC"/>
          </w:tcPr>
          <w:p>
            <w:r/>
            <w:r>
              <w:rPr>
                <w:sz w:val="18"/>
              </w:rPr>
              <w:t>Plausible secondary contributor; cannot be confirmed or ruled out without SEM imaging, which does not yet exist for this substrate</w:t>
            </w:r>
          </w:p>
        </w:tc>
      </w:tr>
      <w:tr>
        <w:tc>
          <w:tcPr>
            <w:tcW w:type="dxa" w:w="720"/>
          </w:tcPr>
          <w:p>
            <w:r/>
            <w:r>
              <w:rPr>
                <w:sz w:val="18"/>
              </w:rPr>
              <w:t>7</w:t>
            </w:r>
          </w:p>
        </w:tc>
        <w:tc>
          <w:tcPr>
            <w:tcW w:type="dxa" w:w="3888"/>
          </w:tcPr>
          <w:p>
            <w:r/>
            <w:r>
              <w:rPr>
                <w:sz w:val="18"/>
              </w:rPr>
              <w:t>Laser parameters (power, integration time) not re-optimised for the weaker target analytes vs. the strongly-scattering R6G</w:t>
            </w:r>
          </w:p>
        </w:tc>
        <w:tc>
          <w:tcPr>
            <w:tcW w:type="dxa" w:w="1584"/>
          </w:tcPr>
          <w:p>
            <w:r/>
            <w:r>
              <w:rPr>
                <w:sz w:val="18"/>
              </w:rPr>
              <w:t>Low-moderate</w:t>
            </w:r>
          </w:p>
        </w:tc>
        <w:tc>
          <w:tcPr>
            <w:tcW w:type="dxa" w:w="3888"/>
          </w:tcPr>
          <w:p>
            <w:r/>
            <w:r>
              <w:rPr>
                <w:sz w:val="18"/>
              </w:rPr>
              <w:t>The R6G-optimised acquisition settings may under-integrate for a much weaker scatterer; straightforward to test</w:t>
            </w:r>
          </w:p>
        </w:tc>
      </w:tr>
      <w:tr>
        <w:tc>
          <w:tcPr>
            <w:tcW w:type="dxa" w:w="720"/>
            <w:shd w:val="clear" w:fill="FBEEEC"/>
          </w:tcPr>
          <w:p>
            <w:r/>
            <w:r>
              <w:rPr>
                <w:sz w:val="18"/>
              </w:rPr>
              <w:t>8</w:t>
            </w:r>
          </w:p>
        </w:tc>
        <w:tc>
          <w:tcPr>
            <w:tcW w:type="dxa" w:w="3888"/>
            <w:shd w:val="clear" w:fill="FBEEEC"/>
          </w:tcPr>
          <w:p>
            <w:r/>
            <w:r>
              <w:rPr>
                <w:sz w:val="18"/>
              </w:rPr>
              <w:t>Substrate contamination (residual organics from fabrication/handling)</w:t>
            </w:r>
          </w:p>
        </w:tc>
        <w:tc>
          <w:tcPr>
            <w:tcW w:type="dxa" w:w="1584"/>
            <w:shd w:val="clear" w:fill="FBEEEC"/>
          </w:tcPr>
          <w:p>
            <w:r/>
            <w:r>
              <w:rPr>
                <w:sz w:val="18"/>
              </w:rPr>
              <w:t>Low-moderate</w:t>
            </w:r>
          </w:p>
        </w:tc>
        <w:tc>
          <w:tcPr>
            <w:tcW w:type="dxa" w:w="3888"/>
            <w:shd w:val="clear" w:fill="FBEEEC"/>
          </w:tcPr>
          <w:p>
            <w:r/>
            <w:r>
              <w:rPr>
                <w:sz w:val="18"/>
              </w:rPr>
              <w:t>Plausible but not specifically evidenced; standard cleanliness controls would address this</w:t>
            </w:r>
          </w:p>
        </w:tc>
      </w:tr>
      <w:tr>
        <w:tc>
          <w:tcPr>
            <w:tcW w:type="dxa" w:w="720"/>
          </w:tcPr>
          <w:p>
            <w:r/>
            <w:r>
              <w:rPr>
                <w:sz w:val="18"/>
              </w:rPr>
              <w:t>9</w:t>
            </w:r>
          </w:p>
        </w:tc>
        <w:tc>
          <w:tcPr>
            <w:tcW w:type="dxa" w:w="3888"/>
          </w:tcPr>
          <w:p>
            <w:r/>
            <w:r>
              <w:rPr>
                <w:sz w:val="18"/>
              </w:rPr>
              <w:t>Genuinely insufficient underlying enhancement factor for this substrate class</w:t>
            </w:r>
          </w:p>
        </w:tc>
        <w:tc>
          <w:tcPr>
            <w:tcW w:type="dxa" w:w="1584"/>
          </w:tcPr>
          <w:p>
            <w:r/>
            <w:r>
              <w:rPr>
                <w:sz w:val="18"/>
              </w:rPr>
              <w:t>Low</w:t>
            </w:r>
          </w:p>
        </w:tc>
        <w:tc>
          <w:tcPr>
            <w:tcW w:type="dxa" w:w="3888"/>
          </w:tcPr>
          <w:p>
            <w:r/>
            <w:r>
              <w:rPr>
                <w:sz w:val="18"/>
              </w:rPr>
              <w:t>Unlikely given the strong R6G validation result and literature-typical EFs (10⁶-10⁹) for this substrate class — if this were the dominant cause, R6G signal would also be expected to be weaker than observed</w:t>
            </w:r>
          </w:p>
        </w:tc>
      </w:tr>
    </w:tbl>
    <w:p>
      <w:pPr>
        <w:spacing w:after="40"/>
      </w:pPr>
    </w:p>
    <w:p>
      <w:pPr>
        <w:spacing w:after="160"/>
        <w:ind w:left="360"/>
      </w:pPr>
      <w:r>
        <w:rPr>
          <w:i/>
          <w:color w:val="555555"/>
          <w:sz w:val="19"/>
        </w:rPr>
        <w:t>Ranks 1-3 are assessed as the dominant, compounding explanation; ranks 4-9 are real but secondary factors that should be controlled for once the primary capture-chemistry gap is addressed, not chased first.</w:t>
      </w:r>
    </w:p>
    <w:p>
      <w:r>
        <w:br w:type="page"/>
      </w:r>
    </w:p>
    <w:p>
      <w:pPr>
        <w:pStyle w:val="Heading1"/>
      </w:pPr>
      <w:r>
        <w:t>8. Recommended Sensor Architecture</w:t>
      </w:r>
    </w:p>
    <w:p>
      <w:pPr>
        <w:spacing w:after="120"/>
      </w:pPr>
      <w:r>
        <w:rPr>
          <w:b w:val="0"/>
          <w:i w:val="0"/>
        </w:rPr>
        <w:t>The comparison below is built from literature-reported enhancement factors, reproducibility (%RSD), and fabrication complexity for each architecture, cross-referenced against this project's specific constraints (small-molecule/weak-adsorber NAM, anionic LPS/LTA, Masters-project resourcing without guaranteed cleanroom access).</w:t>
      </w:r>
    </w:p>
    <w:tbl>
      <w:tblPr>
        <w:tblStyle w:val="TableGrid"/>
        <w:tblW w:type="auto" w:w="0"/>
        <w:jc w:val="center"/>
        <w:tblLayout w:type="autofit"/>
        <w:tblLook w:firstColumn="1" w:firstRow="1" w:lastColumn="0" w:lastRow="0" w:noHBand="0" w:noVBand="1" w:val="04A0"/>
      </w:tblPr>
      <w:tblGrid>
        <w:gridCol w:w="1863"/>
        <w:gridCol w:w="1863"/>
        <w:gridCol w:w="1863"/>
        <w:gridCol w:w="1863"/>
        <w:gridCol w:w="1863"/>
      </w:tblGrid>
      <w:tr>
        <w:tc>
          <w:tcPr>
            <w:tcW w:type="dxa" w:w="2160"/>
            <w:shd w:val="clear" w:fill="B03A2E"/>
          </w:tcPr>
          <w:p>
            <w:r/>
            <w:r>
              <w:rPr>
                <w:b/>
                <w:color w:val="FFFFFF"/>
                <w:sz w:val="19"/>
              </w:rPr>
              <w:t>Architecture</w:t>
            </w:r>
          </w:p>
        </w:tc>
        <w:tc>
          <w:tcPr>
            <w:tcW w:type="dxa" w:w="2160"/>
            <w:shd w:val="clear" w:fill="B03A2E"/>
          </w:tcPr>
          <w:p>
            <w:r/>
            <w:r>
              <w:rPr>
                <w:b/>
                <w:color w:val="FFFFFF"/>
                <w:sz w:val="19"/>
              </w:rPr>
              <w:t>Typical EF (literature)</w:t>
            </w:r>
          </w:p>
        </w:tc>
        <w:tc>
          <w:tcPr>
            <w:tcW w:type="dxa" w:w="1872"/>
            <w:shd w:val="clear" w:fill="B03A2E"/>
          </w:tcPr>
          <w:p>
            <w:r/>
            <w:r>
              <w:rPr>
                <w:b/>
                <w:color w:val="FFFFFF"/>
                <w:sz w:val="19"/>
              </w:rPr>
              <w:t>Reproducibility</w:t>
            </w:r>
          </w:p>
        </w:tc>
        <w:tc>
          <w:tcPr>
            <w:tcW w:type="dxa" w:w="1728"/>
            <w:shd w:val="clear" w:fill="B03A2E"/>
          </w:tcPr>
          <w:p>
            <w:r/>
            <w:r>
              <w:rPr>
                <w:b/>
                <w:color w:val="FFFFFF"/>
                <w:sz w:val="19"/>
              </w:rPr>
              <w:t>Complexity / cost</w:t>
            </w:r>
          </w:p>
        </w:tc>
        <w:tc>
          <w:tcPr>
            <w:tcW w:type="dxa" w:w="2736"/>
            <w:shd w:val="clear" w:fill="B03A2E"/>
          </w:tcPr>
          <w:p>
            <w:r/>
            <w:r>
              <w:rPr>
                <w:b/>
                <w:color w:val="FFFFFF"/>
                <w:sz w:val="19"/>
              </w:rPr>
              <w:t>Suitability for this project</w:t>
            </w:r>
          </w:p>
        </w:tc>
      </w:tr>
      <w:tr>
        <w:tc>
          <w:tcPr>
            <w:tcW w:type="dxa" w:w="2160"/>
          </w:tcPr>
          <w:p>
            <w:r/>
            <w:r>
              <w:rPr>
                <w:sz w:val="18"/>
              </w:rPr>
              <w:t>Ag-coated black silicon (current)</w:t>
            </w:r>
          </w:p>
        </w:tc>
        <w:tc>
          <w:tcPr>
            <w:tcW w:type="dxa" w:w="2160"/>
          </w:tcPr>
          <w:p>
            <w:r/>
            <w:r>
              <w:rPr>
                <w:sz w:val="18"/>
              </w:rPr>
              <w:t>10⁶–10⁹</w:t>
            </w:r>
          </w:p>
        </w:tc>
        <w:tc>
          <w:tcPr>
            <w:tcW w:type="dxa" w:w="1872"/>
          </w:tcPr>
          <w:p>
            <w:r/>
            <w:r>
              <w:rPr>
                <w:sz w:val="18"/>
              </w:rPr>
              <w:t>~15-17% RSD (uncontrolled single-soak); 5-8% achievable with a regulated regrowth/anneal step</w:t>
            </w:r>
          </w:p>
        </w:tc>
        <w:tc>
          <w:tcPr>
            <w:tcW w:type="dxa" w:w="1728"/>
          </w:tcPr>
          <w:p>
            <w:r/>
            <w:r>
              <w:rPr>
                <w:sz w:val="18"/>
              </w:rPr>
              <w:t>Low</w:t>
            </w:r>
          </w:p>
        </w:tc>
        <w:tc>
          <w:tcPr>
            <w:tcW w:type="dxa" w:w="2736"/>
          </w:tcPr>
          <w:p>
            <w:r/>
            <w:r>
              <w:rPr>
                <w:sz w:val="18"/>
              </w:rPr>
              <w:t>Adequate baseline; keep, but add a controlled regrowth step and a protective cap (see below)</w:t>
            </w:r>
          </w:p>
        </w:tc>
      </w:tr>
      <w:tr>
        <w:tc>
          <w:tcPr>
            <w:tcW w:type="dxa" w:w="2160"/>
            <w:shd w:val="clear" w:fill="FBEEEC"/>
          </w:tcPr>
          <w:p>
            <w:r/>
            <w:r>
              <w:rPr>
                <w:sz w:val="18"/>
              </w:rPr>
              <w:t>Au-coated black silicon</w:t>
            </w:r>
          </w:p>
        </w:tc>
        <w:tc>
          <w:tcPr>
            <w:tcW w:type="dxa" w:w="2160"/>
            <w:shd w:val="clear" w:fill="FBEEEC"/>
          </w:tcPr>
          <w:p>
            <w:r/>
            <w:r>
              <w:rPr>
                <w:sz w:val="18"/>
              </w:rPr>
              <w:t>Somewhat lower raw EF than Ag (weaker plasmonic response)</w:t>
            </w:r>
          </w:p>
        </w:tc>
        <w:tc>
          <w:tcPr>
            <w:tcW w:type="dxa" w:w="1872"/>
            <w:shd w:val="clear" w:fill="FBEEEC"/>
          </w:tcPr>
          <w:p>
            <w:r/>
            <w:r>
              <w:rPr>
                <w:sz w:val="18"/>
              </w:rPr>
              <w:t>Better long-term stability than Ag (no oxidation)</w:t>
            </w:r>
          </w:p>
        </w:tc>
        <w:tc>
          <w:tcPr>
            <w:tcW w:type="dxa" w:w="1728"/>
            <w:shd w:val="clear" w:fill="FBEEEC"/>
          </w:tcPr>
          <w:p>
            <w:r/>
            <w:r>
              <w:rPr>
                <w:sz w:val="18"/>
              </w:rPr>
              <w:t>Low-moderate</w:t>
            </w:r>
          </w:p>
        </w:tc>
        <w:tc>
          <w:tcPr>
            <w:tcW w:type="dxa" w:w="2736"/>
            <w:shd w:val="clear" w:fill="FBEEEC"/>
          </w:tcPr>
          <w:p>
            <w:r/>
            <w:r>
              <w:rPr>
                <w:sz w:val="18"/>
              </w:rPr>
              <w:t>Worth testing as a stability-focused alternative or as a thin cap over Ag rather than a full replacement</w:t>
            </w:r>
          </w:p>
        </w:tc>
      </w:tr>
      <w:tr>
        <w:tc>
          <w:tcPr>
            <w:tcW w:type="dxa" w:w="2160"/>
          </w:tcPr>
          <w:p>
            <w:r/>
            <w:r>
              <w:rPr>
                <w:sz w:val="18"/>
              </w:rPr>
              <w:t>Ag nanoparticles (colloidal, drop-cast/self-assembled)</w:t>
            </w:r>
          </w:p>
        </w:tc>
        <w:tc>
          <w:tcPr>
            <w:tcW w:type="dxa" w:w="2160"/>
          </w:tcPr>
          <w:p>
            <w:r/>
            <w:r>
              <w:rPr>
                <w:sz w:val="18"/>
              </w:rPr>
              <w:t>10⁴–10¹⁰ (aggregation-dependent)</w:t>
            </w:r>
          </w:p>
        </w:tc>
        <w:tc>
          <w:tcPr>
            <w:tcW w:type="dxa" w:w="1872"/>
          </w:tcPr>
          <w:p>
            <w:r/>
            <w:r>
              <w:rPr>
                <w:sz w:val="18"/>
              </w:rPr>
              <w:t>Poor batch-to-batch consistency unless heavily engineered</w:t>
            </w:r>
          </w:p>
        </w:tc>
        <w:tc>
          <w:tcPr>
            <w:tcW w:type="dxa" w:w="1728"/>
          </w:tcPr>
          <w:p>
            <w:r/>
            <w:r>
              <w:rPr>
                <w:sz w:val="18"/>
              </w:rPr>
              <w:t>Low-moderate</w:t>
            </w:r>
          </w:p>
        </w:tc>
        <w:tc>
          <w:tcPr>
            <w:tcW w:type="dxa" w:w="2736"/>
          </w:tcPr>
          <w:p>
            <w:r/>
            <w:r>
              <w:rPr>
                <w:sz w:val="18"/>
              </w:rPr>
              <w:t>Not a clear upgrade over the current substrate; colloidal batch variability is a known weakness</w:t>
            </w:r>
          </w:p>
        </w:tc>
      </w:tr>
      <w:tr>
        <w:tc>
          <w:tcPr>
            <w:tcW w:type="dxa" w:w="2160"/>
            <w:shd w:val="clear" w:fill="FBEEEC"/>
          </w:tcPr>
          <w:p>
            <w:r/>
            <w:r>
              <w:rPr>
                <w:sz w:val="18"/>
              </w:rPr>
              <w:t>Ag nanostars</w:t>
            </w:r>
          </w:p>
        </w:tc>
        <w:tc>
          <w:tcPr>
            <w:tcW w:type="dxa" w:w="2160"/>
            <w:shd w:val="clear" w:fill="FBEEEC"/>
          </w:tcPr>
          <w:p>
            <w:r/>
            <w:r>
              <w:rPr>
                <w:sz w:val="18"/>
              </w:rPr>
              <w:t>~10⁵–10⁷</w:t>
            </w:r>
          </w:p>
        </w:tc>
        <w:tc>
          <w:tcPr>
            <w:tcW w:type="dxa" w:w="1872"/>
            <w:shd w:val="clear" w:fill="FBEEEC"/>
          </w:tcPr>
          <w:p>
            <w:r/>
            <w:r>
              <w:rPr>
                <w:sz w:val="18"/>
              </w:rPr>
              <w:t>1.7-8% RSD (good)</w:t>
            </w:r>
          </w:p>
        </w:tc>
        <w:tc>
          <w:tcPr>
            <w:tcW w:type="dxa" w:w="1728"/>
            <w:shd w:val="clear" w:fill="FBEEEC"/>
          </w:tcPr>
          <w:p>
            <w:r/>
            <w:r>
              <w:rPr>
                <w:sz w:val="18"/>
              </w:rPr>
              <w:t>Low-moderate (solution synthesis)</w:t>
            </w:r>
          </w:p>
        </w:tc>
        <w:tc>
          <w:tcPr>
            <w:tcW w:type="dxa" w:w="2736"/>
            <w:shd w:val="clear" w:fill="FBEEEC"/>
          </w:tcPr>
          <w:p>
            <w:r/>
            <w:r>
              <w:rPr>
                <w:sz w:val="18"/>
              </w:rPr>
              <w:t>Strong candidate — high hotspot density at branch tips, good documented reproducibility, compatible with subsequent functionalization</w:t>
            </w:r>
          </w:p>
        </w:tc>
      </w:tr>
      <w:tr>
        <w:tc>
          <w:tcPr>
            <w:tcW w:type="dxa" w:w="2160"/>
          </w:tcPr>
          <w:p>
            <w:r/>
            <w:r>
              <w:rPr>
                <w:sz w:val="18"/>
              </w:rPr>
              <w:t>Ag nanocubes</w:t>
            </w:r>
          </w:p>
        </w:tc>
        <w:tc>
          <w:tcPr>
            <w:tcW w:type="dxa" w:w="2160"/>
          </w:tcPr>
          <w:p>
            <w:r/>
            <w:r>
              <w:rPr>
                <w:sz w:val="18"/>
              </w:rPr>
              <w:t>Up to ~10¹¹ (film); ~6.6×10⁶ (paper platform)</w:t>
            </w:r>
          </w:p>
        </w:tc>
        <w:tc>
          <w:tcPr>
            <w:tcW w:type="dxa" w:w="1872"/>
          </w:tcPr>
          <w:p>
            <w:r/>
            <w:r>
              <w:rPr>
                <w:sz w:val="18"/>
              </w:rPr>
              <w:t>6-9% RSD</w:t>
            </w:r>
          </w:p>
        </w:tc>
        <w:tc>
          <w:tcPr>
            <w:tcW w:type="dxa" w:w="1728"/>
          </w:tcPr>
          <w:p>
            <w:r/>
            <w:r>
              <w:rPr>
                <w:sz w:val="18"/>
              </w:rPr>
              <w:t>Moderate (shape-controlled synthesis)</w:t>
            </w:r>
          </w:p>
        </w:tc>
        <w:tc>
          <w:tcPr>
            <w:tcW w:type="dxa" w:w="2736"/>
          </w:tcPr>
          <w:p>
            <w:r/>
            <w:r>
              <w:rPr>
                <w:sz w:val="18"/>
              </w:rPr>
              <w:t>Strong candidate, especially for a paper/flexible point-of-care format</w:t>
            </w:r>
          </w:p>
        </w:tc>
      </w:tr>
      <w:tr>
        <w:tc>
          <w:tcPr>
            <w:tcW w:type="dxa" w:w="2160"/>
            <w:shd w:val="clear" w:fill="FBEEEC"/>
          </w:tcPr>
          <w:p>
            <w:r/>
            <w:r>
              <w:rPr>
                <w:sz w:val="18"/>
              </w:rPr>
              <w:t>Ag nanoflowers</w:t>
            </w:r>
          </w:p>
        </w:tc>
        <w:tc>
          <w:tcPr>
            <w:tcW w:type="dxa" w:w="2160"/>
            <w:shd w:val="clear" w:fill="FBEEEC"/>
          </w:tcPr>
          <w:p>
            <w:r/>
            <w:r>
              <w:rPr>
                <w:sz w:val="18"/>
              </w:rPr>
              <w:t>2.7×10⁶–5.4×10⁹ (strongly size-dependent — smaller is better here)</w:t>
            </w:r>
          </w:p>
        </w:tc>
        <w:tc>
          <w:tcPr>
            <w:tcW w:type="dxa" w:w="1872"/>
            <w:shd w:val="clear" w:fill="FBEEEC"/>
          </w:tcPr>
          <w:p>
            <w:r/>
            <w:r>
              <w:rPr>
                <w:sz w:val="18"/>
              </w:rPr>
              <w:t>Not well characterised in the sources found</w:t>
            </w:r>
          </w:p>
        </w:tc>
        <w:tc>
          <w:tcPr>
            <w:tcW w:type="dxa" w:w="1728"/>
            <w:shd w:val="clear" w:fill="FBEEEC"/>
          </w:tcPr>
          <w:p>
            <w:r/>
            <w:r>
              <w:rPr>
                <w:sz w:val="18"/>
              </w:rPr>
              <w:t>Moderate</w:t>
            </w:r>
          </w:p>
        </w:tc>
        <w:tc>
          <w:tcPr>
            <w:tcW w:type="dxa" w:w="2736"/>
            <w:shd w:val="clear" w:fill="FBEEEC"/>
          </w:tcPr>
          <w:p>
            <w:r/>
            <w:r>
              <w:rPr>
                <w:sz w:val="18"/>
              </w:rPr>
              <w:t>Promising but requires tight size control; higher development risk than nanostars/nanocubes</w:t>
            </w:r>
          </w:p>
        </w:tc>
      </w:tr>
      <w:tr>
        <w:tc>
          <w:tcPr>
            <w:tcW w:type="dxa" w:w="2160"/>
          </w:tcPr>
          <w:p>
            <w:r/>
            <w:r>
              <w:rPr>
                <w:sz w:val="18"/>
              </w:rPr>
              <w:t>Au nanoparticles (spherical)</w:t>
            </w:r>
          </w:p>
        </w:tc>
        <w:tc>
          <w:tcPr>
            <w:tcW w:type="dxa" w:w="2160"/>
          </w:tcPr>
          <w:p>
            <w:r/>
            <w:r>
              <w:rPr>
                <w:sz w:val="18"/>
              </w:rPr>
              <w:t>10⁴–10¹⁰ (aggregation-dependent)</w:t>
            </w:r>
          </w:p>
        </w:tc>
        <w:tc>
          <w:tcPr>
            <w:tcW w:type="dxa" w:w="1872"/>
          </w:tcPr>
          <w:p>
            <w:r/>
            <w:r>
              <w:rPr>
                <w:sz w:val="18"/>
              </w:rPr>
              <w:t>5-17% (optimisable)</w:t>
            </w:r>
          </w:p>
        </w:tc>
        <w:tc>
          <w:tcPr>
            <w:tcW w:type="dxa" w:w="1728"/>
          </w:tcPr>
          <w:p>
            <w:r/>
            <w:r>
              <w:rPr>
                <w:sz w:val="18"/>
              </w:rPr>
              <w:t>Low (mature citrate-reduction chemistry)</w:t>
            </w:r>
          </w:p>
        </w:tc>
        <w:tc>
          <w:tcPr>
            <w:tcW w:type="dxa" w:w="2736"/>
          </w:tcPr>
          <w:p>
            <w:r/>
            <w:r>
              <w:rPr>
                <w:sz w:val="18"/>
              </w:rPr>
              <w:t>Best chemical stability of any option; strong choice if paired with antibody-based LPS/LTA capture, where mature Au-bioconjugation chemistry is an advantage</w:t>
            </w:r>
          </w:p>
        </w:tc>
      </w:tr>
      <w:tr>
        <w:tc>
          <w:tcPr>
            <w:tcW w:type="dxa" w:w="2160"/>
            <w:shd w:val="clear" w:fill="FBEEEC"/>
          </w:tcPr>
          <w:p>
            <w:r/>
            <w:r>
              <w:rPr>
                <w:sz w:val="18"/>
              </w:rPr>
              <w:t>Ag/Au bimetallic or core-shell hybrid</w:t>
            </w:r>
          </w:p>
        </w:tc>
        <w:tc>
          <w:tcPr>
            <w:tcW w:type="dxa" w:w="2160"/>
            <w:shd w:val="clear" w:fill="FBEEEC"/>
          </w:tcPr>
          <w:p>
            <w:r/>
            <w:r>
              <w:rPr>
                <w:sz w:val="18"/>
              </w:rPr>
              <w:t>10⁵–10⁸</w:t>
            </w:r>
          </w:p>
        </w:tc>
        <w:tc>
          <w:tcPr>
            <w:tcW w:type="dxa" w:w="1872"/>
            <w:shd w:val="clear" w:fill="FBEEEC"/>
          </w:tcPr>
          <w:p>
            <w:r/>
            <w:r>
              <w:rPr>
                <w:sz w:val="18"/>
              </w:rPr>
              <w:t>1.8-36% (design-dependent)</w:t>
            </w:r>
          </w:p>
        </w:tc>
        <w:tc>
          <w:tcPr>
            <w:tcW w:type="dxa" w:w="1728"/>
            <w:shd w:val="clear" w:fill="FBEEEC"/>
          </w:tcPr>
          <w:p>
            <w:r/>
            <w:r>
              <w:rPr>
                <w:sz w:val="18"/>
              </w:rPr>
              <w:t>Moderate-high</w:t>
            </w:r>
          </w:p>
        </w:tc>
        <w:tc>
          <w:tcPr>
            <w:tcW w:type="dxa" w:w="2736"/>
            <w:shd w:val="clear" w:fill="FBEEEC"/>
          </w:tcPr>
          <w:p>
            <w:r/>
            <w:r>
              <w:rPr>
                <w:sz w:val="18"/>
              </w:rPr>
              <w:t>Directly addresses the silver-oxidation weakness while retaining most of silver's enhancement — recommended as a modification to the existing substrate, not a separate architecture</w:t>
            </w:r>
          </w:p>
        </w:tc>
      </w:tr>
      <w:tr>
        <w:tc>
          <w:tcPr>
            <w:tcW w:type="dxa" w:w="2160"/>
          </w:tcPr>
          <w:p>
            <w:r/>
            <w:r>
              <w:rPr>
                <w:sz w:val="18"/>
              </w:rPr>
              <w:t>Silicon nanowires (Ag-decorated)</w:t>
            </w:r>
          </w:p>
        </w:tc>
        <w:tc>
          <w:tcPr>
            <w:tcW w:type="dxa" w:w="2160"/>
          </w:tcPr>
          <w:p>
            <w:r/>
            <w:r>
              <w:rPr>
                <w:sz w:val="18"/>
              </w:rPr>
              <w:t>10⁶–10⁸</w:t>
            </w:r>
          </w:p>
        </w:tc>
        <w:tc>
          <w:tcPr>
            <w:tcW w:type="dxa" w:w="1872"/>
          </w:tcPr>
          <w:p>
            <w:r/>
            <w:r>
              <w:rPr>
                <w:sz w:val="18"/>
              </w:rPr>
              <w:t>5.6-27% (morphology-dependent)</w:t>
            </w:r>
          </w:p>
        </w:tc>
        <w:tc>
          <w:tcPr>
            <w:tcW w:type="dxa" w:w="1728"/>
          </w:tcPr>
          <w:p>
            <w:r/>
            <w:r>
              <w:rPr>
                <w:sz w:val="18"/>
              </w:rPr>
              <w:t>Moderate (MACE + electroless/galvanic Ag)</w:t>
            </w:r>
          </w:p>
        </w:tc>
        <w:tc>
          <w:tcPr>
            <w:tcW w:type="dxa" w:w="2736"/>
          </w:tcPr>
          <w:p>
            <w:r/>
            <w:r>
              <w:rPr>
                <w:sz w:val="18"/>
              </w:rPr>
              <w:t>Natural, low-disruption upgrade path from the current planar/lightly-textured black-Si — literature shows moving to a genuinely 3D nanowire scaffold increases EF roughly 10× purely from geometry</w:t>
            </w:r>
          </w:p>
        </w:tc>
      </w:tr>
      <w:tr>
        <w:tc>
          <w:tcPr>
            <w:tcW w:type="dxa" w:w="2160"/>
            <w:shd w:val="clear" w:fill="FBEEEC"/>
          </w:tcPr>
          <w:p>
            <w:r/>
            <w:r>
              <w:rPr>
                <w:sz w:val="18"/>
              </w:rPr>
              <w:t>Porous silicon (Ag-decorated)</w:t>
            </w:r>
          </w:p>
        </w:tc>
        <w:tc>
          <w:tcPr>
            <w:tcW w:type="dxa" w:w="2160"/>
            <w:shd w:val="clear" w:fill="FBEEEC"/>
          </w:tcPr>
          <w:p>
            <w:r/>
            <w:r>
              <w:rPr>
                <w:sz w:val="18"/>
              </w:rPr>
              <w:t>10⁵–10⁷ (up to higher in microcavity-enhanced designs)</w:t>
            </w:r>
          </w:p>
        </w:tc>
        <w:tc>
          <w:tcPr>
            <w:tcW w:type="dxa" w:w="1872"/>
            <w:shd w:val="clear" w:fill="FBEEEC"/>
          </w:tcPr>
          <w:p>
            <w:r/>
            <w:r>
              <w:rPr>
                <w:sz w:val="18"/>
              </w:rPr>
              <w:t>6-20%</w:t>
            </w:r>
          </w:p>
        </w:tc>
        <w:tc>
          <w:tcPr>
            <w:tcW w:type="dxa" w:w="1728"/>
            <w:shd w:val="clear" w:fill="FBEEEC"/>
          </w:tcPr>
          <w:p>
            <w:r/>
            <w:r>
              <w:rPr>
                <w:sz w:val="18"/>
              </w:rPr>
              <w:t>Moderate (anodisation + Ag deposition)</w:t>
            </w:r>
          </w:p>
        </w:tc>
        <w:tc>
          <w:tcPr>
            <w:tcW w:type="dxa" w:w="2736"/>
            <w:shd w:val="clear" w:fill="FBEEEC"/>
          </w:tcPr>
          <w:p>
            <w:r/>
            <w:r>
              <w:rPr>
                <w:sz w:val="18"/>
              </w:rPr>
              <w:t>Particularly attractive for NAM: large internal surface area increases the probability a weakly-adsorbing small molecule encounters and lingers in a hotspot before diffusing away</w:t>
            </w:r>
          </w:p>
        </w:tc>
      </w:tr>
      <w:tr>
        <w:tc>
          <w:tcPr>
            <w:tcW w:type="dxa" w:w="2160"/>
          </w:tcPr>
          <w:p>
            <w:r/>
            <w:r>
              <w:rPr>
                <w:sz w:val="18"/>
              </w:rPr>
              <w:t>Flexible / paper-based SERS substrates</w:t>
            </w:r>
          </w:p>
        </w:tc>
        <w:tc>
          <w:tcPr>
            <w:tcW w:type="dxa" w:w="2160"/>
          </w:tcPr>
          <w:p>
            <w:r/>
            <w:r>
              <w:rPr>
                <w:sz w:val="18"/>
              </w:rPr>
              <w:t>10⁶–10⁹ (context-dependent)</w:t>
            </w:r>
          </w:p>
        </w:tc>
        <w:tc>
          <w:tcPr>
            <w:tcW w:type="dxa" w:w="1872"/>
          </w:tcPr>
          <w:p>
            <w:r/>
            <w:r>
              <w:rPr>
                <w:sz w:val="18"/>
              </w:rPr>
              <w:t>1.7-9% RSD (often better than rigid wet-chemical substrates)</w:t>
            </w:r>
          </w:p>
        </w:tc>
        <w:tc>
          <w:tcPr>
            <w:tcW w:type="dxa" w:w="1728"/>
          </w:tcPr>
          <w:p>
            <w:r/>
            <w:r>
              <w:rPr>
                <w:sz w:val="18"/>
              </w:rPr>
              <w:t>Low</w:t>
            </w:r>
          </w:p>
        </w:tc>
        <w:tc>
          <w:tcPr>
            <w:tcW w:type="dxa" w:w="2736"/>
          </w:tcPr>
          <w:p>
            <w:r/>
            <w:r>
              <w:rPr>
                <w:sz w:val="18"/>
              </w:rPr>
              <w:t>Best fit if the end-goal is genuinely point-of-care; requires the same functionalization work regardless of substrate choice</w:t>
            </w:r>
          </w:p>
        </w:tc>
      </w:tr>
      <w:tr>
        <w:tc>
          <w:tcPr>
            <w:tcW w:type="dxa" w:w="2160"/>
            <w:shd w:val="clear" w:fill="FBEEEC"/>
          </w:tcPr>
          <w:p>
            <w:r/>
            <w:r>
              <w:rPr>
                <w:sz w:val="18"/>
              </w:rPr>
              <w:t>Microfluidic SERS chips (incl. bimetallic nanopillar arrays)</w:t>
            </w:r>
          </w:p>
        </w:tc>
        <w:tc>
          <w:tcPr>
            <w:tcW w:type="dxa" w:w="2160"/>
            <w:shd w:val="clear" w:fill="FBEEEC"/>
          </w:tcPr>
          <w:p>
            <w:r/>
            <w:r>
              <w:rPr>
                <w:sz w:val="18"/>
              </w:rPr>
              <w:t>Up to ~10¹⁴ in best-case reports; fM-level LOD directly demonstrated for a sepsis biomarker panel</w:t>
            </w:r>
          </w:p>
        </w:tc>
        <w:tc>
          <w:tcPr>
            <w:tcW w:type="dxa" w:w="1872"/>
            <w:shd w:val="clear" w:fill="FBEEEC"/>
          </w:tcPr>
          <w:p>
            <w:r/>
            <w:r>
              <w:rPr>
                <w:sz w:val="18"/>
              </w:rPr>
              <w:t>Best-in-class (as low as 1.8% RSD reported)</w:t>
            </w:r>
          </w:p>
        </w:tc>
        <w:tc>
          <w:tcPr>
            <w:tcW w:type="dxa" w:w="1728"/>
            <w:shd w:val="clear" w:fill="FBEEEC"/>
          </w:tcPr>
          <w:p>
            <w:r/>
            <w:r>
              <w:rPr>
                <w:sz w:val="18"/>
              </w:rPr>
              <w:t>High (cleanroom micro/nanofabrication + microfluidics integration)</w:t>
            </w:r>
          </w:p>
        </w:tc>
        <w:tc>
          <w:tcPr>
            <w:tcW w:type="dxa" w:w="2736"/>
            <w:shd w:val="clear" w:fill="FBEEEC"/>
          </w:tcPr>
          <w:p>
            <w:r/>
            <w:r>
              <w:rPr>
                <w:sz w:val="18"/>
              </w:rPr>
              <w:t>Performance ceiling of the field and directly precedented for sepsis biomarkers (Kim et al. 2025); realistic only as a longer-term, post-Masters target given fabrication demands</w:t>
            </w:r>
          </w:p>
        </w:tc>
      </w:tr>
    </w:tbl>
    <w:p>
      <w:pPr>
        <w:spacing w:after="40"/>
      </w:pPr>
    </w:p>
    <w:p>
      <w:pPr>
        <w:pStyle w:val="Heading2"/>
      </w:pPr>
      <w:r>
        <w:t>Recommendation</w:t>
      </w:r>
    </w:p>
    <w:p>
      <w:pPr>
        <w:spacing w:after="120"/>
      </w:pPr>
      <w:r>
        <w:rPr>
          <w:b w:val="0"/>
          <w:i w:val="0"/>
        </w:rPr>
        <w:t>Do not replace the current substrate. Modify it along two literature-supported, low-disruption axes that are compatible with the existing wet-chemical fabrication infrastructure: (1) restructure the etch step to produce a more deliberately 3D silicon nanostructure (nanowire array or porous silicon, rather than the current relatively planar texture) to increase both hotspot density and — specifically valuable for a weak, poorly-adsorbing analyte like NAM — the internal surface area available for the analyte to encounter a hotspot before diffusing away; and (2) add a thin protective capping step (a few nm of Au, or a graphene/graphene-oxide overcoat) to address the well-documented silver-oxidation/reproducibility problem. Neither change requires new equipment beyond what the project already uses, and both are supported by multiple independent literature sources with quantified before/after performance. This should be pursued in parallel with, not instead of, the surface-functionalization work in Section 11, which addresses the primary (chemistry, not architecture) cause of the current detection failure.</w:t>
      </w:r>
    </w:p>
    <w:p>
      <w:r>
        <w:br w:type="page"/>
      </w:r>
    </w:p>
    <w:p>
      <w:pPr>
        <w:pStyle w:val="Heading1"/>
      </w:pPr>
      <w:r>
        <w:t>9. Recommended Materials and Chemicals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312"/>
            <w:shd w:val="clear" w:fill="B03A2E"/>
          </w:tcPr>
          <w:p>
            <w:r/>
            <w:r>
              <w:rPr>
                <w:b/>
                <w:color w:val="FFFFFF"/>
                <w:sz w:val="19"/>
              </w:rPr>
              <w:t>Material / chemical</w:t>
            </w:r>
          </w:p>
        </w:tc>
        <w:tc>
          <w:tcPr>
            <w:tcW w:type="dxa" w:w="2880"/>
            <w:shd w:val="clear" w:fill="B03A2E"/>
          </w:tcPr>
          <w:p>
            <w:r/>
            <w:r>
              <w:rPr>
                <w:b/>
                <w:color w:val="FFFFFF"/>
                <w:sz w:val="19"/>
              </w:rPr>
              <w:t>Recommended role</w:t>
            </w:r>
          </w:p>
        </w:tc>
        <w:tc>
          <w:tcPr>
            <w:tcW w:type="dxa" w:w="3456"/>
            <w:shd w:val="clear" w:fill="B03A2E"/>
          </w:tcPr>
          <w:p>
            <w:r/>
            <w:r>
              <w:rPr>
                <w:b/>
                <w:color w:val="FFFFFF"/>
                <w:sz w:val="19"/>
              </w:rPr>
              <w:t>Rationale</w:t>
            </w:r>
          </w:p>
        </w:tc>
      </w:tr>
      <w:tr>
        <w:tc>
          <w:tcPr>
            <w:tcW w:type="dxa" w:w="3312"/>
          </w:tcPr>
          <w:p>
            <w:r/>
            <w:r>
              <w:rPr>
                <w:sz w:val="18"/>
              </w:rPr>
              <w:t>4-mercaptophenylboronic acid (MPBA) or phenylboronic acid derivatives</w:t>
            </w:r>
          </w:p>
        </w:tc>
        <w:tc>
          <w:tcPr>
            <w:tcW w:type="dxa" w:w="2880"/>
          </w:tcPr>
          <w:p>
            <w:r/>
            <w:r>
              <w:rPr>
                <w:sz w:val="18"/>
              </w:rPr>
              <w:t>Primary NAM capture layer</w:t>
            </w:r>
          </w:p>
        </w:tc>
        <w:tc>
          <w:tcPr>
            <w:tcW w:type="dxa" w:w="3456"/>
          </w:tcPr>
          <w:p>
            <w:r/>
            <w:r>
              <w:rPr>
                <w:sz w:val="18"/>
              </w:rPr>
              <w:t>Thiol end chemisorbs strongly to the existing Ag surface; boronic-acid end reversibly binds NAM's cis-diol groups — the most literature-validated strategy for exactly this analyte class (Section 11)</w:t>
            </w:r>
          </w:p>
        </w:tc>
      </w:tr>
      <w:tr>
        <w:tc>
          <w:tcPr>
            <w:tcW w:type="dxa" w:w="3312"/>
            <w:shd w:val="clear" w:fill="FBEEEC"/>
          </w:tcPr>
          <w:p>
            <w:r/>
            <w:r>
              <w:rPr>
                <w:sz w:val="18"/>
              </w:rPr>
              <w:t>An alkyne- or nitrile-tagged boronic acid variant (optional but recommended)</w:t>
            </w:r>
          </w:p>
        </w:tc>
        <w:tc>
          <w:tcPr>
            <w:tcW w:type="dxa" w:w="2880"/>
            <w:shd w:val="clear" w:fill="FBEEEC"/>
          </w:tcPr>
          <w:p>
            <w:r/>
            <w:r>
              <w:rPr>
                <w:sz w:val="18"/>
              </w:rPr>
              <w:t>Raman-silent-region reporter</w:t>
            </w:r>
          </w:p>
        </w:tc>
        <w:tc>
          <w:tcPr>
            <w:tcW w:type="dxa" w:w="3456"/>
            <w:shd w:val="clear" w:fill="FBEEEC"/>
          </w:tcPr>
          <w:p>
            <w:r/>
            <w:r>
              <w:rPr>
                <w:sz w:val="18"/>
              </w:rPr>
              <w:t>Shifts the readout signal to the 1800-2800 cm⁻¹ Raman-silent region, avoiding overlap with NAM's own weak fingerprint-region bands and with biological background</w:t>
            </w:r>
          </w:p>
        </w:tc>
      </w:tr>
      <w:tr>
        <w:tc>
          <w:tcPr>
            <w:tcW w:type="dxa" w:w="3312"/>
          </w:tcPr>
          <w:p>
            <w:r/>
            <w:r>
              <w:rPr>
                <w:sz w:val="18"/>
              </w:rPr>
              <w:t>Cysteamine or chitosan</w:t>
            </w:r>
          </w:p>
        </w:tc>
        <w:tc>
          <w:tcPr>
            <w:tcW w:type="dxa" w:w="2880"/>
          </w:tcPr>
          <w:p>
            <w:r/>
            <w:r>
              <w:rPr>
                <w:sz w:val="18"/>
              </w:rPr>
              <w:t>Cationic co-layer for LPS/LTA electrostatic pre-concentration</w:t>
            </w:r>
          </w:p>
        </w:tc>
        <w:tc>
          <w:tcPr>
            <w:tcW w:type="dxa" w:w="3456"/>
          </w:tcPr>
          <w:p>
            <w:r/>
            <w:r>
              <w:rPr>
                <w:sz w:val="18"/>
              </w:rPr>
              <w:t>Both LPS and LTA are net negatively charged at physiological pH; a cationic surface layer measurably improves their capture in the literature (dedicated chitosan-AgNP LPS-capture precedent exists)</w:t>
            </w:r>
          </w:p>
        </w:tc>
      </w:tr>
      <w:tr>
        <w:tc>
          <w:tcPr>
            <w:tcW w:type="dxa" w:w="3312"/>
            <w:shd w:val="clear" w:fill="FBEEEC"/>
          </w:tcPr>
          <w:p>
            <w:r/>
            <w:r>
              <w:rPr>
                <w:sz w:val="18"/>
              </w:rPr>
              <w:t>Anti-Lipid-A antibody or polymyxin B (either is literature-precedented)</w:t>
            </w:r>
          </w:p>
        </w:tc>
        <w:tc>
          <w:tcPr>
            <w:tcW w:type="dxa" w:w="2880"/>
            <w:shd w:val="clear" w:fill="FBEEEC"/>
          </w:tcPr>
          <w:p>
            <w:r/>
            <w:r>
              <w:rPr>
                <w:sz w:val="18"/>
              </w:rPr>
              <w:t>Higher-specificity LPS capture / confirmation layer</w:t>
            </w:r>
          </w:p>
        </w:tc>
        <w:tc>
          <w:tcPr>
            <w:tcW w:type="dxa" w:w="3456"/>
            <w:shd w:val="clear" w:fill="FBEEEC"/>
          </w:tcPr>
          <w:p>
            <w:r/>
            <w:r>
              <w:rPr>
                <w:sz w:val="18"/>
              </w:rPr>
              <w:t>Directly reused in the closest published LPS-SERS biosensor (Rusciano et al. 2023, LOD 12 ng/mL); polymyxin B is cheaper and more stable than an antibody and is serotype-independent</w:t>
            </w:r>
          </w:p>
        </w:tc>
      </w:tr>
      <w:tr>
        <w:tc>
          <w:tcPr>
            <w:tcW w:type="dxa" w:w="3312"/>
          </w:tcPr>
          <w:p>
            <w:r/>
            <w:r>
              <w:rPr>
                <w:sz w:val="18"/>
              </w:rPr>
              <w:t>Thin gold (Au) capping layer, a few nm</w:t>
            </w:r>
          </w:p>
        </w:tc>
        <w:tc>
          <w:tcPr>
            <w:tcW w:type="dxa" w:w="2880"/>
          </w:tcPr>
          <w:p>
            <w:r/>
            <w:r>
              <w:rPr>
                <w:sz w:val="18"/>
              </w:rPr>
              <w:t>Substrate stability / anti-oxidation</w:t>
            </w:r>
          </w:p>
        </w:tc>
        <w:tc>
          <w:tcPr>
            <w:tcW w:type="dxa" w:w="3456"/>
          </w:tcPr>
          <w:p>
            <w:r/>
            <w:r>
              <w:rPr>
                <w:sz w:val="18"/>
              </w:rPr>
              <w:t>Preserves most of silver's plasmonic enhancement while extending shelf life from days to months (documented in multiple stability studies)</w:t>
            </w:r>
          </w:p>
        </w:tc>
      </w:tr>
      <w:tr>
        <w:tc>
          <w:tcPr>
            <w:tcW w:type="dxa" w:w="3312"/>
            <w:shd w:val="clear" w:fill="FBEEEC"/>
          </w:tcPr>
          <w:p>
            <w:r/>
            <w:r>
              <w:rPr>
                <w:sz w:val="18"/>
              </w:rPr>
              <w:t>Rhodamine 6G</w:t>
            </w:r>
          </w:p>
        </w:tc>
        <w:tc>
          <w:tcPr>
            <w:tcW w:type="dxa" w:w="2880"/>
            <w:shd w:val="clear" w:fill="FBEEEC"/>
          </w:tcPr>
          <w:p>
            <w:r/>
            <w:r>
              <w:rPr>
                <w:sz w:val="18"/>
              </w:rPr>
              <w:t>Continue as the standard SERS benchmark/QC analyte</w:t>
            </w:r>
          </w:p>
        </w:tc>
        <w:tc>
          <w:tcPr>
            <w:tcW w:type="dxa" w:w="3456"/>
            <w:shd w:val="clear" w:fill="FBEEEC"/>
          </w:tcPr>
          <w:p>
            <w:r/>
            <w:r>
              <w:rPr>
                <w:sz w:val="18"/>
              </w:rPr>
              <w:t>Already validated; retain for every future fabrication batch as a quick pass/fail quality-control check before committing a substrate to biomarker testing</w:t>
            </w:r>
          </w:p>
        </w:tc>
      </w:tr>
      <w:tr>
        <w:tc>
          <w:tcPr>
            <w:tcW w:type="dxa" w:w="3312"/>
          </w:tcPr>
          <w:p>
            <w:r/>
            <w:r>
              <w:rPr>
                <w:sz w:val="18"/>
              </w:rPr>
              <w:t>NAM, LPS, LTA (existing Sigma-Aldrich stock: A3007, L2630, L2515)</w:t>
            </w:r>
          </w:p>
        </w:tc>
        <w:tc>
          <w:tcPr>
            <w:tcW w:type="dxa" w:w="2880"/>
          </w:tcPr>
          <w:p>
            <w:r/>
            <w:r>
              <w:rPr>
                <w:sz w:val="18"/>
              </w:rPr>
              <w:t>Target analytes</w:t>
            </w:r>
          </w:p>
        </w:tc>
        <w:tc>
          <w:tcPr>
            <w:tcW w:type="dxa" w:w="3456"/>
          </w:tcPr>
          <w:p>
            <w:r/>
            <w:r>
              <w:rPr>
                <w:sz w:val="18"/>
              </w:rPr>
              <w:t>Already procured and characterised; no change needed</w:t>
            </w:r>
          </w:p>
        </w:tc>
      </w:tr>
      <w:tr>
        <w:tc>
          <w:tcPr>
            <w:tcW w:type="dxa" w:w="3312"/>
            <w:shd w:val="clear" w:fill="FBEEEC"/>
          </w:tcPr>
          <w:p>
            <w:r/>
            <w:r>
              <w:rPr>
                <w:sz w:val="18"/>
              </w:rPr>
              <w:t>Deionised / ultrapure water as primary solvent, PBS avoided for fingerprint-region work</w:t>
            </w:r>
          </w:p>
        </w:tc>
        <w:tc>
          <w:tcPr>
            <w:tcW w:type="dxa" w:w="2880"/>
            <w:shd w:val="clear" w:fill="FBEEEC"/>
          </w:tcPr>
          <w:p>
            <w:r/>
            <w:r>
              <w:rPr>
                <w:sz w:val="18"/>
              </w:rPr>
              <w:t>Sample preparation solvent</w:t>
            </w:r>
          </w:p>
        </w:tc>
        <w:tc>
          <w:tcPr>
            <w:tcW w:type="dxa" w:w="3456"/>
            <w:shd w:val="clear" w:fill="FBEEEC"/>
          </w:tcPr>
          <w:p>
            <w:r/>
            <w:r>
              <w:rPr>
                <w:sz w:val="18"/>
              </w:rPr>
              <w:t>Already established by the project's own solubility testing; PBS's phosphate peaks overlap the 800-1100 cm⁻¹ region relevant to several NAM/LPS/LTA diagnostic bands — correct choice, no change needed</w:t>
            </w:r>
          </w:p>
        </w:tc>
      </w:tr>
      <w:tr>
        <w:tc>
          <w:tcPr>
            <w:tcW w:type="dxa" w:w="3312"/>
          </w:tcPr>
          <w:p>
            <w:r/>
            <w:r>
              <w:rPr>
                <w:sz w:val="18"/>
              </w:rPr>
              <w:t>A mild alkaline buffer (e.g. pH 8-9) for the boronic-acid functionalization step specifically</w:t>
            </w:r>
          </w:p>
        </w:tc>
        <w:tc>
          <w:tcPr>
            <w:tcW w:type="dxa" w:w="2880"/>
          </w:tcPr>
          <w:p>
            <w:r/>
            <w:r>
              <w:rPr>
                <w:sz w:val="18"/>
              </w:rPr>
              <w:t>Functionalization-step buffer</w:t>
            </w:r>
          </w:p>
        </w:tc>
        <w:tc>
          <w:tcPr>
            <w:tcW w:type="dxa" w:w="3456"/>
          </w:tcPr>
          <w:p>
            <w:r/>
            <w:r>
              <w:rPr>
                <w:sz w:val="18"/>
              </w:rPr>
              <w:t>Boronate-ester formation with diols is favoured at mildly alkaline pH; this is a distinct step from the neutral-pH biomarker measurement itself and should be handled separately in the protocol</w:t>
            </w:r>
          </w:p>
        </w:tc>
      </w:tr>
    </w:tbl>
    <w:p>
      <w:pPr>
        <w:spacing w:after="40"/>
      </w:pPr>
    </w:p>
    <w:p>
      <w:r>
        <w:br w:type="page"/>
      </w:r>
    </w:p>
    <w:p>
      <w:pPr>
        <w:pStyle w:val="Heading1"/>
      </w:pPr>
      <w:r>
        <w:t>10. Recommended Nanoparticle Design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304"/>
            <w:shd w:val="clear" w:fill="B03A2E"/>
          </w:tcPr>
          <w:p>
            <w:r/>
            <w:r>
              <w:rPr>
                <w:b/>
                <w:color w:val="FFFFFF"/>
                <w:sz w:val="19"/>
              </w:rPr>
              <w:t>Parameter</w:t>
            </w:r>
          </w:p>
        </w:tc>
        <w:tc>
          <w:tcPr>
            <w:tcW w:type="dxa" w:w="3888"/>
            <w:shd w:val="clear" w:fill="B03A2E"/>
          </w:tcPr>
          <w:p>
            <w:r/>
            <w:r>
              <w:rPr>
                <w:b/>
                <w:color w:val="FFFFFF"/>
                <w:sz w:val="19"/>
              </w:rPr>
              <w:t>Recommendation</w:t>
            </w:r>
          </w:p>
        </w:tc>
        <w:tc>
          <w:tcPr>
            <w:tcW w:type="dxa" w:w="3456"/>
            <w:shd w:val="clear" w:fill="B03A2E"/>
          </w:tcPr>
          <w:p>
            <w:r/>
            <w:r>
              <w:rPr>
                <w:b/>
                <w:color w:val="FFFFFF"/>
                <w:sz w:val="19"/>
              </w:rPr>
              <w:t>Literature support</w:t>
            </w:r>
          </w:p>
        </w:tc>
      </w:tr>
      <w:tr>
        <w:tc>
          <w:tcPr>
            <w:tcW w:type="dxa" w:w="2304"/>
          </w:tcPr>
          <w:p>
            <w:r/>
            <w:r>
              <w:rPr>
                <w:sz w:val="18"/>
              </w:rPr>
              <w:t>Particle / feature size</w:t>
            </w:r>
          </w:p>
        </w:tc>
        <w:tc>
          <w:tcPr>
            <w:tcW w:type="dxa" w:w="3888"/>
          </w:tcPr>
          <w:p>
            <w:r/>
            <w:r>
              <w:rPr>
                <w:sz w:val="18"/>
              </w:rPr>
              <w:t>50-100 nm (Ag spheres/aggregates); if adopting nanowires, diameter in the tens-of-nm range with length tunable via etch time</w:t>
            </w:r>
          </w:p>
        </w:tc>
        <w:tc>
          <w:tcPr>
            <w:tcW w:type="dxa" w:w="3456"/>
          </w:tcPr>
          <w:p>
            <w:r/>
            <w:r>
              <w:rPr>
                <w:sz w:val="18"/>
              </w:rPr>
              <w:t>Field-enhancement studies show a roughly linear EF increase with diameter in the 40-50 nm range, with 50-100 nm cited as the general SERS optimum for visible/NIR excitation</w:t>
            </w:r>
          </w:p>
        </w:tc>
      </w:tr>
      <w:tr>
        <w:tc>
          <w:tcPr>
            <w:tcW w:type="dxa" w:w="2304"/>
            <w:shd w:val="clear" w:fill="FBEEEC"/>
          </w:tcPr>
          <w:p>
            <w:r/>
            <w:r>
              <w:rPr>
                <w:sz w:val="18"/>
              </w:rPr>
              <w:t>Interparticle / hotspot gap</w:t>
            </w:r>
          </w:p>
        </w:tc>
        <w:tc>
          <w:tcPr>
            <w:tcW w:type="dxa" w:w="3888"/>
            <w:shd w:val="clear" w:fill="FBEEEC"/>
          </w:tcPr>
          <w:p>
            <w:r/>
            <w:r>
              <w:rPr>
                <w:sz w:val="18"/>
              </w:rPr>
              <w:t>&lt;10 nm, ideally 1-5 nm</w:t>
            </w:r>
          </w:p>
        </w:tc>
        <w:tc>
          <w:tcPr>
            <w:tcW w:type="dxa" w:w="3456"/>
            <w:shd w:val="clear" w:fill="FBEEEC"/>
          </w:tcPr>
          <w:p>
            <w:r/>
            <w:r>
              <w:rPr>
                <w:sz w:val="18"/>
              </w:rPr>
              <w:t>|E|⁴ enhancement law means small gap changes produce large signal changes; maximum simulated field enhancement occurs at the smallest studied gaps (~1-2 nm) between 20-100 nm particles</w:t>
            </w:r>
          </w:p>
        </w:tc>
      </w:tr>
      <w:tr>
        <w:tc>
          <w:tcPr>
            <w:tcW w:type="dxa" w:w="2304"/>
          </w:tcPr>
          <w:p>
            <w:r/>
            <w:r>
              <w:rPr>
                <w:sz w:val="18"/>
              </w:rPr>
              <w:t>Silver morphology</w:t>
            </w:r>
          </w:p>
        </w:tc>
        <w:tc>
          <w:tcPr>
            <w:tcW w:type="dxa" w:w="3888"/>
          </w:tcPr>
          <w:p>
            <w:r/>
            <w:r>
              <w:rPr>
                <w:sz w:val="18"/>
              </w:rPr>
              <w:t>Aggregate (post strip-and-regrow) rather than as-grown dendritic</w:t>
            </w:r>
          </w:p>
        </w:tc>
        <w:tc>
          <w:tcPr>
            <w:tcW w:type="dxa" w:w="3456"/>
          </w:tcPr>
          <w:p>
            <w:r/>
            <w:r>
              <w:rPr>
                <w:sz w:val="18"/>
              </w:rPr>
              <w:t>Directly compared in Kochylas et al. 2021: aggregate morphology gave better uniformity and lower LOD than dendritic morphology from the same one-step MACE process</w:t>
            </w:r>
          </w:p>
        </w:tc>
      </w:tr>
      <w:tr>
        <w:tc>
          <w:tcPr>
            <w:tcW w:type="dxa" w:w="2304"/>
            <w:shd w:val="clear" w:fill="FBEEEC"/>
          </w:tcPr>
          <w:p>
            <w:r/>
            <w:r>
              <w:rPr>
                <w:sz w:val="18"/>
              </w:rPr>
              <w:t>Silver thickness / areal coverage</w:t>
            </w:r>
          </w:p>
        </w:tc>
        <w:tc>
          <w:tcPr>
            <w:tcW w:type="dxa" w:w="3888"/>
            <w:shd w:val="clear" w:fill="FBEEEC"/>
          </w:tcPr>
          <w:p>
            <w:r/>
            <w:r>
              <w:rPr>
                <w:sz w:val="18"/>
              </w:rPr>
              <w:t>Peaked, not maximal — target the equivalent of ~5-10 nm film thickness or 60-80 nm discrete nano-islands, not full/continuous coverage</w:t>
            </w:r>
          </w:p>
        </w:tc>
        <w:tc>
          <w:tcPr>
            <w:tcW w:type="dxa" w:w="3456"/>
            <w:shd w:val="clear" w:fill="FBEEEC"/>
          </w:tcPr>
          <w:p>
            <w:r/>
            <w:r>
              <w:rPr>
                <w:sz w:val="18"/>
              </w:rPr>
              <w:t>Multiple sources report EF peaks at a specific finite thickness/coverage; over-thick coatings smooth the nanostructure and reduce hotspot density</w:t>
            </w:r>
          </w:p>
        </w:tc>
      </w:tr>
      <w:tr>
        <w:tc>
          <w:tcPr>
            <w:tcW w:type="dxa" w:w="2304"/>
          </w:tcPr>
          <w:p>
            <w:r/>
            <w:r>
              <w:rPr>
                <w:sz w:val="18"/>
              </w:rPr>
              <w:t>Underlying silicon nanostructure</w:t>
            </w:r>
          </w:p>
        </w:tc>
        <w:tc>
          <w:tcPr>
            <w:tcW w:type="dxa" w:w="3888"/>
          </w:tcPr>
          <w:p>
            <w:r/>
            <w:r>
              <w:rPr>
                <w:sz w:val="18"/>
              </w:rPr>
              <w:t>Move toward a genuinely 3D architecture (nanowire array or porous silicon) rather than a relatively planar black-Si texture</w:t>
            </w:r>
          </w:p>
        </w:tc>
        <w:tc>
          <w:tcPr>
            <w:tcW w:type="dxa" w:w="3456"/>
          </w:tcPr>
          <w:p>
            <w:r/>
            <w:r>
              <w:rPr>
                <w:sz w:val="18"/>
              </w:rPr>
              <w:t>AgNPs deposited onto a SiNW scaffold showed ~10× higher EF than the same AgNPs on a flatter surface, purely from the geometry change; porous silicon's large internal surface area is specifically advantageous for capturing weakly-adsorbing small molecules</w:t>
            </w:r>
          </w:p>
        </w:tc>
      </w:tr>
      <w:tr>
        <w:tc>
          <w:tcPr>
            <w:tcW w:type="dxa" w:w="2304"/>
            <w:shd w:val="clear" w:fill="FBEEEC"/>
          </w:tcPr>
          <w:p>
            <w:r/>
            <w:r>
              <w:rPr>
                <w:sz w:val="18"/>
              </w:rPr>
              <w:t>Deposition method</w:t>
            </w:r>
          </w:p>
        </w:tc>
        <w:tc>
          <w:tcPr>
            <w:tcW w:type="dxa" w:w="3888"/>
            <w:shd w:val="clear" w:fill="FBEEEC"/>
          </w:tcPr>
          <w:p>
            <w:r/>
            <w:r>
              <w:rPr>
                <w:sz w:val="18"/>
              </w:rPr>
              <w:t>Retain electroless/galvanic (already in use), but add a regulated nucleation step (e.g. a controlled intermediate oxide layer, or a strip-and-regrow cycle)</w:t>
            </w:r>
          </w:p>
        </w:tc>
        <w:tc>
          <w:tcPr>
            <w:tcW w:type="dxa" w:w="3456"/>
            <w:shd w:val="clear" w:fill="FBEEEC"/>
          </w:tcPr>
          <w:p>
            <w:r/>
            <w:r>
              <w:rPr>
                <w:sz w:val="18"/>
              </w:rPr>
              <w:t>A regulated-oxide-layer galvanic process reduced RSD to ~5% versus ~15-17% for unregulated galvanic displacement in directly comparable literature</w:t>
            </w:r>
          </w:p>
        </w:tc>
      </w:tr>
      <w:tr>
        <w:tc>
          <w:tcPr>
            <w:tcW w:type="dxa" w:w="2304"/>
          </w:tcPr>
          <w:p>
            <w:r/>
            <w:r>
              <w:rPr>
                <w:sz w:val="18"/>
              </w:rPr>
              <w:t>Surface roughness / hotspot density check</w:t>
            </w:r>
          </w:p>
        </w:tc>
        <w:tc>
          <w:tcPr>
            <w:tcW w:type="dxa" w:w="3888"/>
          </w:tcPr>
          <w:p>
            <w:r/>
            <w:r>
              <w:rPr>
                <w:sz w:val="18"/>
              </w:rPr>
              <w:t>Confirm via SEM/AFM before every new fabrication batch is used for biomarker testing (not just spot-checked occasionally)</w:t>
            </w:r>
          </w:p>
        </w:tc>
        <w:tc>
          <w:tcPr>
            <w:tcW w:type="dxa" w:w="3456"/>
          </w:tcPr>
          <w:p>
            <w:r/>
            <w:r>
              <w:rPr>
                <w:sz w:val="18"/>
              </w:rPr>
              <w:t>No characterisation currently exists for this project's own substrate; this is the single fastest, cheapest way to distinguish a fabrication problem from a chemistry problem going forward</w:t>
            </w:r>
          </w:p>
        </w:tc>
      </w:tr>
    </w:tbl>
    <w:p>
      <w:pPr>
        <w:spacing w:after="40"/>
      </w:pPr>
    </w:p>
    <w:p>
      <w:r>
        <w:br w:type="page"/>
      </w:r>
    </w:p>
    <w:p>
      <w:pPr>
        <w:pStyle w:val="Heading1"/>
      </w:pPr>
      <w:r>
        <w:t>11. Surface Functionalization Strategy</w:t>
      </w:r>
    </w:p>
    <w:p>
      <w:pPr>
        <w:spacing w:after="120"/>
      </w:pPr>
      <w:r>
        <w:rPr>
          <w:b w:val="0"/>
          <w:i w:val="0"/>
        </w:rPr>
        <w:t>This is the single most important section of this report: the literature review conducted for this evaluation strongly and consistently supports surface functionalization as the primary missing element in the current workflow (Section 7). The comparison below covers every strategy specified for evaluation.</w:t>
      </w:r>
    </w:p>
    <w:tbl>
      <w:tblPr>
        <w:tblStyle w:val="TableGrid"/>
        <w:tblW w:type="auto" w:w="0"/>
        <w:jc w:val="center"/>
        <w:tblLayout w:type="autofit"/>
        <w:tblLook w:firstColumn="1" w:firstRow="1" w:lastColumn="0" w:lastRow="0" w:noHBand="0" w:noVBand="1" w:val="04A0"/>
      </w:tblPr>
      <w:tblGrid>
        <w:gridCol w:w="1553"/>
        <w:gridCol w:w="1553"/>
        <w:gridCol w:w="1553"/>
        <w:gridCol w:w="1553"/>
        <w:gridCol w:w="1553"/>
        <w:gridCol w:w="1553"/>
      </w:tblGrid>
      <w:tr>
        <w:tc>
          <w:tcPr>
            <w:tcW w:type="dxa" w:w="1584"/>
            <w:shd w:val="clear" w:fill="B03A2E"/>
          </w:tcPr>
          <w:p>
            <w:r/>
            <w:r>
              <w:rPr>
                <w:b/>
                <w:color w:val="FFFFFF"/>
                <w:sz w:val="19"/>
              </w:rPr>
              <w:t>Strategy</w:t>
            </w:r>
          </w:p>
        </w:tc>
        <w:tc>
          <w:tcPr>
            <w:tcW w:type="dxa" w:w="2160"/>
            <w:shd w:val="clear" w:fill="B03A2E"/>
          </w:tcPr>
          <w:p>
            <w:r/>
            <w:r>
              <w:rPr>
                <w:b/>
                <w:color w:val="FFFFFF"/>
                <w:sz w:val="19"/>
              </w:rPr>
              <w:t>Mechanism</w:t>
            </w:r>
          </w:p>
        </w:tc>
        <w:tc>
          <w:tcPr>
            <w:tcW w:type="dxa" w:w="1656"/>
            <w:shd w:val="clear" w:fill="B03A2E"/>
          </w:tcPr>
          <w:p>
            <w:r/>
            <w:r>
              <w:rPr>
                <w:b/>
                <w:color w:val="FFFFFF"/>
                <w:sz w:val="19"/>
              </w:rPr>
              <w:t>NAM fit</w:t>
            </w:r>
          </w:p>
        </w:tc>
        <w:tc>
          <w:tcPr>
            <w:tcW w:type="dxa" w:w="1656"/>
            <w:shd w:val="clear" w:fill="B03A2E"/>
          </w:tcPr>
          <w:p>
            <w:r/>
            <w:r>
              <w:rPr>
                <w:b/>
                <w:color w:val="FFFFFF"/>
                <w:sz w:val="19"/>
              </w:rPr>
              <w:t>LPS/LTA fit</w:t>
            </w:r>
          </w:p>
        </w:tc>
        <w:tc>
          <w:tcPr>
            <w:tcW w:type="dxa" w:w="1656"/>
            <w:shd w:val="clear" w:fill="B03A2E"/>
          </w:tcPr>
          <w:p>
            <w:r/>
            <w:r>
              <w:rPr>
                <w:b/>
                <w:color w:val="FFFFFF"/>
                <w:sz w:val="19"/>
              </w:rPr>
              <w:t>Ease of fabrication</w:t>
            </w:r>
          </w:p>
        </w:tc>
        <w:tc>
          <w:tcPr>
            <w:tcW w:type="dxa" w:w="1944"/>
            <w:shd w:val="clear" w:fill="B03A2E"/>
          </w:tcPr>
          <w:p>
            <w:r/>
            <w:r>
              <w:rPr>
                <w:b/>
                <w:color w:val="FFFFFF"/>
                <w:sz w:val="19"/>
              </w:rPr>
              <w:t>Key risk</w:t>
            </w:r>
          </w:p>
        </w:tc>
      </w:tr>
      <w:tr>
        <w:tc>
          <w:tcPr>
            <w:tcW w:type="dxa" w:w="1584"/>
          </w:tcPr>
          <w:p>
            <w:r/>
            <w:r>
              <w:rPr>
                <w:sz w:val="18"/>
              </w:rPr>
              <w:t>Boronic acid (MPBA/PBA)</w:t>
            </w:r>
          </w:p>
        </w:tc>
        <w:tc>
          <w:tcPr>
            <w:tcW w:type="dxa" w:w="2160"/>
          </w:tcPr>
          <w:p>
            <w:r/>
            <w:r>
              <w:rPr>
                <w:sz w:val="18"/>
              </w:rPr>
              <w:t>Reversible cyclic boronate ester with cis-diols</w:t>
            </w:r>
          </w:p>
        </w:tc>
        <w:tc>
          <w:tcPr>
            <w:tcW w:type="dxa" w:w="1656"/>
          </w:tcPr>
          <w:p>
            <w:r/>
            <w:r>
              <w:rPr>
                <w:sz w:val="18"/>
              </w:rPr>
              <w:t>High — direct, well-precedented for amino-sugars</w:t>
            </w:r>
          </w:p>
        </w:tc>
        <w:tc>
          <w:tcPr>
            <w:tcW w:type="dxa" w:w="1656"/>
          </w:tcPr>
          <w:p>
            <w:r/>
            <w:r>
              <w:rPr>
                <w:sz w:val="18"/>
              </w:rPr>
              <w:t>Moderate — binds LPS saccharide/core diols</w:t>
            </w:r>
          </w:p>
        </w:tc>
        <w:tc>
          <w:tcPr>
            <w:tcW w:type="dxa" w:w="1656"/>
          </w:tcPr>
          <w:p>
            <w:r/>
            <w:r>
              <w:rPr>
                <w:sz w:val="18"/>
              </w:rPr>
              <w:t>Easy (single SAM step on existing Ag)</w:t>
            </w:r>
          </w:p>
        </w:tc>
        <w:tc>
          <w:tcPr>
            <w:tcW w:type="dxa" w:w="1944"/>
          </w:tcPr>
          <w:p>
            <w:r/>
            <w:r>
              <w:rPr>
                <w:sz w:val="18"/>
              </w:rPr>
              <w:t>Modest cross-reactivity with other diol-bearing serum sugars</w:t>
            </w:r>
          </w:p>
        </w:tc>
      </w:tr>
      <w:tr>
        <w:tc>
          <w:tcPr>
            <w:tcW w:type="dxa" w:w="1584"/>
            <w:shd w:val="clear" w:fill="FBEEEC"/>
          </w:tcPr>
          <w:p>
            <w:r/>
            <w:r>
              <w:rPr>
                <w:sz w:val="18"/>
              </w:rPr>
              <w:t>Polydopamine (PDA)</w:t>
            </w:r>
          </w:p>
        </w:tc>
        <w:tc>
          <w:tcPr>
            <w:tcW w:type="dxa" w:w="2160"/>
            <w:shd w:val="clear" w:fill="FBEEEC"/>
          </w:tcPr>
          <w:p>
            <w:r/>
            <w:r>
              <w:rPr>
                <w:sz w:val="18"/>
              </w:rPr>
              <w:t>Universal adhesive coating (catechol/amine chemistry)</w:t>
            </w:r>
          </w:p>
        </w:tc>
        <w:tc>
          <w:tcPr>
            <w:tcW w:type="dxa" w:w="1656"/>
            <w:shd w:val="clear" w:fill="FBEEEC"/>
          </w:tcPr>
          <w:p>
            <w:r/>
            <w:r>
              <w:rPr>
                <w:sz w:val="18"/>
              </w:rPr>
              <w:t>Low alone — needs a secondary specific probe</w:t>
            </w:r>
          </w:p>
        </w:tc>
        <w:tc>
          <w:tcPr>
            <w:tcW w:type="dxa" w:w="1656"/>
            <w:shd w:val="clear" w:fill="FBEEEC"/>
          </w:tcPr>
          <w:p>
            <w:r/>
            <w:r>
              <w:rPr>
                <w:sz w:val="18"/>
              </w:rPr>
              <w:t>Moderate (whole-cell/general capture demonstrated)</w:t>
            </w:r>
          </w:p>
        </w:tc>
        <w:tc>
          <w:tcPr>
            <w:tcW w:type="dxa" w:w="1656"/>
            <w:shd w:val="clear" w:fill="FBEEEC"/>
          </w:tcPr>
          <w:p>
            <w:r/>
            <w:r>
              <w:rPr>
                <w:sz w:val="18"/>
              </w:rPr>
              <w:t>Very easy (one-pot dip-coating)</w:t>
            </w:r>
          </w:p>
        </w:tc>
        <w:tc>
          <w:tcPr>
            <w:tcW w:type="dxa" w:w="1944"/>
            <w:shd w:val="clear" w:fill="FBEEEC"/>
          </w:tcPr>
          <w:p>
            <w:r/>
            <w:r>
              <w:rPr>
                <w:sz w:val="18"/>
              </w:rPr>
              <w:t>Own weak Raman background; thickness must be controlled</w:t>
            </w:r>
          </w:p>
        </w:tc>
      </w:tr>
      <w:tr>
        <w:tc>
          <w:tcPr>
            <w:tcW w:type="dxa" w:w="1584"/>
          </w:tcPr>
          <w:p>
            <w:r/>
            <w:r>
              <w:rPr>
                <w:sz w:val="18"/>
              </w:rPr>
              <w:t>APTES</w:t>
            </w:r>
          </w:p>
        </w:tc>
        <w:tc>
          <w:tcPr>
            <w:tcW w:type="dxa" w:w="2160"/>
          </w:tcPr>
          <w:p>
            <w:r/>
            <w:r>
              <w:rPr>
                <w:sz w:val="18"/>
              </w:rPr>
              <w:t>Silane amine-anchoring layer</w:t>
            </w:r>
          </w:p>
        </w:tc>
        <w:tc>
          <w:tcPr>
            <w:tcW w:type="dxa" w:w="1656"/>
          </w:tcPr>
          <w:p>
            <w:r/>
            <w:r>
              <w:rPr>
                <w:sz w:val="18"/>
              </w:rPr>
              <w:t>Low alone (anchor only)</w:t>
            </w:r>
          </w:p>
        </w:tc>
        <w:tc>
          <w:tcPr>
            <w:tcW w:type="dxa" w:w="1656"/>
          </w:tcPr>
          <w:p>
            <w:r/>
            <w:r>
              <w:rPr>
                <w:sz w:val="18"/>
              </w:rPr>
              <w:t>Low alone (anchor only)</w:t>
            </w:r>
          </w:p>
        </w:tc>
        <w:tc>
          <w:tcPr>
            <w:tcW w:type="dxa" w:w="1656"/>
          </w:tcPr>
          <w:p>
            <w:r/>
            <w:r>
              <w:rPr>
                <w:sz w:val="18"/>
              </w:rPr>
              <w:t>Moderate; primarily Si/SiO2 chemistry, unproven on bare Ag</w:t>
            </w:r>
          </w:p>
        </w:tc>
        <w:tc>
          <w:tcPr>
            <w:tcW w:type="dxa" w:w="1944"/>
          </w:tcPr>
          <w:p>
            <w:r/>
            <w:r>
              <w:rPr>
                <w:sz w:val="18"/>
              </w:rPr>
              <w:t>No intrinsic specificity; uneven multilayer formation risk</w:t>
            </w:r>
          </w:p>
        </w:tc>
      </w:tr>
      <w:tr>
        <w:tc>
          <w:tcPr>
            <w:tcW w:type="dxa" w:w="1584"/>
            <w:shd w:val="clear" w:fill="FBEEEC"/>
          </w:tcPr>
          <w:p>
            <w:r/>
            <w:r>
              <w:rPr>
                <w:sz w:val="18"/>
              </w:rPr>
              <w:t>Cysteamine / thiol SAM</w:t>
            </w:r>
          </w:p>
        </w:tc>
        <w:tc>
          <w:tcPr>
            <w:tcW w:type="dxa" w:w="2160"/>
            <w:shd w:val="clear" w:fill="FBEEEC"/>
          </w:tcPr>
          <w:p>
            <w:r/>
            <w:r>
              <w:rPr>
                <w:sz w:val="18"/>
              </w:rPr>
              <w:t>Strong Ag-S bond, cationic amine terminus</w:t>
            </w:r>
          </w:p>
        </w:tc>
        <w:tc>
          <w:tcPr>
            <w:tcW w:type="dxa" w:w="1656"/>
            <w:shd w:val="clear" w:fill="FBEEEC"/>
          </w:tcPr>
          <w:p>
            <w:r/>
            <w:r>
              <w:rPr>
                <w:sz w:val="18"/>
              </w:rPr>
              <w:t>Low-moderate (anchor; weak electrostatic pull on NAM)</w:t>
            </w:r>
          </w:p>
        </w:tc>
        <w:tc>
          <w:tcPr>
            <w:tcW w:type="dxa" w:w="1656"/>
            <w:shd w:val="clear" w:fill="FBEEEC"/>
          </w:tcPr>
          <w:p>
            <w:r/>
            <w:r>
              <w:rPr>
                <w:sz w:val="18"/>
              </w:rPr>
              <w:t>Moderate-high (electrostatic capture of anionic analytes is directly precedented)</w:t>
            </w:r>
          </w:p>
        </w:tc>
        <w:tc>
          <w:tcPr>
            <w:tcW w:type="dxa" w:w="1656"/>
            <w:shd w:val="clear" w:fill="FBEEEC"/>
          </w:tcPr>
          <w:p>
            <w:r/>
            <w:r>
              <w:rPr>
                <w:sz w:val="18"/>
              </w:rPr>
              <w:t>Very easy (single-step incubation)</w:t>
            </w:r>
          </w:p>
        </w:tc>
        <w:tc>
          <w:tcPr>
            <w:tcW w:type="dxa" w:w="1944"/>
            <w:shd w:val="clear" w:fill="FBEEEC"/>
          </w:tcPr>
          <w:p>
            <w:r/>
            <w:r>
              <w:rPr>
                <w:sz w:val="18"/>
              </w:rPr>
              <w:t>Own Raman-active bands; pH-dependent charge</w:t>
            </w:r>
          </w:p>
        </w:tc>
      </w:tr>
      <w:tr>
        <w:tc>
          <w:tcPr>
            <w:tcW w:type="dxa" w:w="1584"/>
          </w:tcPr>
          <w:p>
            <w:r/>
            <w:r>
              <w:rPr>
                <w:sz w:val="18"/>
              </w:rPr>
              <w:t>PEG linker/spacer</w:t>
            </w:r>
          </w:p>
        </w:tc>
        <w:tc>
          <w:tcPr>
            <w:tcW w:type="dxa" w:w="2160"/>
          </w:tcPr>
          <w:p>
            <w:r/>
            <w:r>
              <w:rPr>
                <w:sz w:val="18"/>
              </w:rPr>
              <w:t>Antifouling brush + tunable spacer</w:t>
            </w:r>
          </w:p>
        </w:tc>
        <w:tc>
          <w:tcPr>
            <w:tcW w:type="dxa" w:w="1656"/>
          </w:tcPr>
          <w:p>
            <w:r/>
            <w:r>
              <w:rPr>
                <w:sz w:val="18"/>
              </w:rPr>
              <w:t>None alone — must terminate in a capture group</w:t>
            </w:r>
          </w:p>
        </w:tc>
        <w:tc>
          <w:tcPr>
            <w:tcW w:type="dxa" w:w="1656"/>
          </w:tcPr>
          <w:p>
            <w:r/>
            <w:r>
              <w:rPr>
                <w:sz w:val="18"/>
              </w:rPr>
              <w:t>None alone</w:t>
            </w:r>
          </w:p>
        </w:tc>
        <w:tc>
          <w:tcPr>
            <w:tcW w:type="dxa" w:w="1656"/>
          </w:tcPr>
          <w:p>
            <w:r/>
            <w:r>
              <w:rPr>
                <w:sz w:val="18"/>
              </w:rPr>
              <w:t>Easy-moderate (commercial thiol-PEG-X)</w:t>
            </w:r>
          </w:p>
        </w:tc>
        <w:tc>
          <w:tcPr>
            <w:tcW w:type="dxa" w:w="1944"/>
          </w:tcPr>
          <w:p>
            <w:r/>
            <w:r>
              <w:rPr>
                <w:sz w:val="18"/>
              </w:rPr>
              <w:t>Wrong chain length pushes analyte outside the hotspot</w:t>
            </w:r>
          </w:p>
        </w:tc>
      </w:tr>
      <w:tr>
        <w:tc>
          <w:tcPr>
            <w:tcW w:type="dxa" w:w="1584"/>
            <w:shd w:val="clear" w:fill="FBEEEC"/>
          </w:tcPr>
          <w:p>
            <w:r/>
            <w:r>
              <w:rPr>
                <w:sz w:val="18"/>
              </w:rPr>
              <w:t>Antibodies (anti-LPS / anti-LTA)</w:t>
            </w:r>
          </w:p>
        </w:tc>
        <w:tc>
          <w:tcPr>
            <w:tcW w:type="dxa" w:w="2160"/>
            <w:shd w:val="clear" w:fill="FBEEEC"/>
          </w:tcPr>
          <w:p>
            <w:r/>
            <w:r>
              <w:rPr>
                <w:sz w:val="18"/>
              </w:rPr>
              <w:t>High-affinity immunorecognition</w:t>
            </w:r>
          </w:p>
        </w:tc>
        <w:tc>
          <w:tcPr>
            <w:tcW w:type="dxa" w:w="1656"/>
            <w:shd w:val="clear" w:fill="FBEEEC"/>
          </w:tcPr>
          <w:p>
            <w:r/>
            <w:r>
              <w:rPr>
                <w:sz w:val="18"/>
              </w:rPr>
              <w:t>Low — no anti-NAM antibody exists (custom hapten-conjugate needed)</w:t>
            </w:r>
          </w:p>
        </w:tc>
        <w:tc>
          <w:tcPr>
            <w:tcW w:type="dxa" w:w="1656"/>
            <w:shd w:val="clear" w:fill="FBEEEC"/>
          </w:tcPr>
          <w:p>
            <w:r/>
            <w:r>
              <w:rPr>
                <w:sz w:val="18"/>
              </w:rPr>
              <w:t>High — anti-LPS and anti-LTA (including clinical-stage) commercially available</w:t>
            </w:r>
          </w:p>
        </w:tc>
        <w:tc>
          <w:tcPr>
            <w:tcW w:type="dxa" w:w="1656"/>
            <w:shd w:val="clear" w:fill="FBEEEC"/>
          </w:tcPr>
          <w:p>
            <w:r/>
            <w:r>
              <w:rPr>
                <w:sz w:val="18"/>
              </w:rPr>
              <w:t>Hard (cost, orientation control, cold-chain storage)</w:t>
            </w:r>
          </w:p>
        </w:tc>
        <w:tc>
          <w:tcPr>
            <w:tcW w:type="dxa" w:w="1944"/>
            <w:shd w:val="clear" w:fill="FBEEEC"/>
          </w:tcPr>
          <w:p>
            <w:r/>
            <w:r>
              <w:rPr>
                <w:sz w:val="18"/>
              </w:rPr>
              <w:t>Cost and stability; no ready NAM reagent</w:t>
            </w:r>
          </w:p>
        </w:tc>
      </w:tr>
      <w:tr>
        <w:tc>
          <w:tcPr>
            <w:tcW w:type="dxa" w:w="1584"/>
          </w:tcPr>
          <w:p>
            <w:r/>
            <w:r>
              <w:rPr>
                <w:sz w:val="18"/>
              </w:rPr>
              <w:t>Aptamers</w:t>
            </w:r>
          </w:p>
        </w:tc>
        <w:tc>
          <w:tcPr>
            <w:tcW w:type="dxa" w:w="2160"/>
          </w:tcPr>
          <w:p>
            <w:r/>
            <w:r>
              <w:rPr>
                <w:sz w:val="18"/>
              </w:rPr>
              <w:t>SELEX-selected oligonucleotide affinity</w:t>
            </w:r>
          </w:p>
        </w:tc>
        <w:tc>
          <w:tcPr>
            <w:tcW w:type="dxa" w:w="1656"/>
          </w:tcPr>
          <w:p>
            <w:r/>
            <w:r>
              <w:rPr>
                <w:sz w:val="18"/>
              </w:rPr>
              <w:t>Low — no NAM-specific aptamer found</w:t>
            </w:r>
          </w:p>
        </w:tc>
        <w:tc>
          <w:tcPr>
            <w:tcW w:type="dxa" w:w="1656"/>
          </w:tcPr>
          <w:p>
            <w:r/>
            <w:r>
              <w:rPr>
                <w:sz w:val="18"/>
              </w:rPr>
              <w:t>Moderate-high — LPS aptamers exist and are validated, esp. combined with boronic acid</w:t>
            </w:r>
          </w:p>
        </w:tc>
        <w:tc>
          <w:tcPr>
            <w:tcW w:type="dxa" w:w="1656"/>
          </w:tcPr>
          <w:p>
            <w:r/>
            <w:r>
              <w:rPr>
                <w:sz w:val="18"/>
              </w:rPr>
              <w:t>Moderate (synthesis routine; new SELEX is a major undertaking)</w:t>
            </w:r>
          </w:p>
        </w:tc>
        <w:tc>
          <w:tcPr>
            <w:tcW w:type="dxa" w:w="1944"/>
          </w:tcPr>
          <w:p>
            <w:r/>
            <w:r>
              <w:rPr>
                <w:sz w:val="18"/>
              </w:rPr>
              <w:t>No off-the-shelf NAM aptamer</w:t>
            </w:r>
          </w:p>
        </w:tc>
      </w:tr>
      <w:tr>
        <w:tc>
          <w:tcPr>
            <w:tcW w:type="dxa" w:w="1584"/>
            <w:shd w:val="clear" w:fill="FBEEEC"/>
          </w:tcPr>
          <w:p>
            <w:r/>
            <w:r>
              <w:rPr>
                <w:sz w:val="18"/>
              </w:rPr>
              <w:t>Molecularly imprinted polymers (MIPs)</w:t>
            </w:r>
          </w:p>
        </w:tc>
        <w:tc>
          <w:tcPr>
            <w:tcW w:type="dxa" w:w="2160"/>
            <w:shd w:val="clear" w:fill="FBEEEC"/>
          </w:tcPr>
          <w:p>
            <w:r/>
            <w:r>
              <w:rPr>
                <w:sz w:val="18"/>
              </w:rPr>
              <w:t>Templated cavity shape/chemistry recognition</w:t>
            </w:r>
          </w:p>
        </w:tc>
        <w:tc>
          <w:tcPr>
            <w:tcW w:type="dxa" w:w="1656"/>
            <w:shd w:val="clear" w:fill="FBEEEC"/>
          </w:tcPr>
          <w:p>
            <w:r/>
            <w:r>
              <w:rPr>
                <w:sz w:val="18"/>
              </w:rPr>
              <w:t>Low — no NAM-specific MIP found (small hydrophilic template is a hard imprinting target)</w:t>
            </w:r>
          </w:p>
        </w:tc>
        <w:tc>
          <w:tcPr>
            <w:tcW w:type="dxa" w:w="1656"/>
            <w:shd w:val="clear" w:fill="FBEEEC"/>
          </w:tcPr>
          <w:p>
            <w:r/>
            <w:r>
              <w:rPr>
                <w:sz w:val="18"/>
              </w:rPr>
              <w:t>High — multiple dedicated LPS-MIP papers, 2023-2026</w:t>
            </w:r>
          </w:p>
        </w:tc>
        <w:tc>
          <w:tcPr>
            <w:tcW w:type="dxa" w:w="1656"/>
            <w:shd w:val="clear" w:fill="FBEEEC"/>
          </w:tcPr>
          <w:p>
            <w:r/>
            <w:r>
              <w:rPr>
                <w:sz w:val="18"/>
              </w:rPr>
              <w:t>Hard (template synthesis/removal optimisation)</w:t>
            </w:r>
          </w:p>
        </w:tc>
        <w:tc>
          <w:tcPr>
            <w:tcW w:type="dxa" w:w="1944"/>
            <w:shd w:val="clear" w:fill="FBEEEC"/>
          </w:tcPr>
          <w:p>
            <w:r/>
            <w:r>
              <w:rPr>
                <w:sz w:val="18"/>
              </w:rPr>
              <w:t>NAM-MIP would be a novel development effort</w:t>
            </w:r>
          </w:p>
        </w:tc>
      </w:tr>
      <w:tr>
        <w:tc>
          <w:tcPr>
            <w:tcW w:type="dxa" w:w="1584"/>
          </w:tcPr>
          <w:p>
            <w:r/>
            <w:r>
              <w:rPr>
                <w:sz w:val="18"/>
              </w:rPr>
              <w:t>Cyclodextrins</w:t>
            </w:r>
          </w:p>
        </w:tc>
        <w:tc>
          <w:tcPr>
            <w:tcW w:type="dxa" w:w="2160"/>
          </w:tcPr>
          <w:p>
            <w:r/>
            <w:r>
              <w:rPr>
                <w:sz w:val="18"/>
              </w:rPr>
              <w:t>Host-guest inclusion complex (hydrophobic cavity)</w:t>
            </w:r>
          </w:p>
        </w:tc>
        <w:tc>
          <w:tcPr>
            <w:tcW w:type="dxa" w:w="1656"/>
          </w:tcPr>
          <w:p>
            <w:r/>
            <w:r>
              <w:rPr>
                <w:sz w:val="18"/>
              </w:rPr>
              <w:t>Low — poor geometric/polarity fit for small polar NAM</w:t>
            </w:r>
          </w:p>
        </w:tc>
        <w:tc>
          <w:tcPr>
            <w:tcW w:type="dxa" w:w="1656"/>
          </w:tcPr>
          <w:p>
            <w:r/>
            <w:r>
              <w:rPr>
                <w:sz w:val="18"/>
              </w:rPr>
              <w:t>Low — no direct literature precedent for LPS/LTA</w:t>
            </w:r>
          </w:p>
        </w:tc>
        <w:tc>
          <w:tcPr>
            <w:tcW w:type="dxa" w:w="1656"/>
          </w:tcPr>
          <w:p>
            <w:r/>
            <w:r>
              <w:rPr>
                <w:sz w:val="18"/>
              </w:rPr>
              <w:t>Easy (thiol-CD self-assembly demonstrated)</w:t>
            </w:r>
          </w:p>
        </w:tc>
        <w:tc>
          <w:tcPr>
            <w:tcW w:type="dxa" w:w="1944"/>
          </w:tcPr>
          <w:p>
            <w:r/>
            <w:r>
              <w:rPr>
                <w:sz w:val="18"/>
              </w:rPr>
              <w:t>Weakest literature support of all options for this project</w:t>
            </w:r>
          </w:p>
        </w:tc>
      </w:tr>
      <w:tr>
        <w:tc>
          <w:tcPr>
            <w:tcW w:type="dxa" w:w="1584"/>
            <w:shd w:val="clear" w:fill="FBEEEC"/>
          </w:tcPr>
          <w:p>
            <w:r/>
            <w:r>
              <w:rPr>
                <w:sz w:val="18"/>
              </w:rPr>
              <w:t>Chitosan</w:t>
            </w:r>
          </w:p>
        </w:tc>
        <w:tc>
          <w:tcPr>
            <w:tcW w:type="dxa" w:w="2160"/>
            <w:shd w:val="clear" w:fill="FBEEEC"/>
          </w:tcPr>
          <w:p>
            <w:r/>
            <w:r>
              <w:rPr>
                <w:sz w:val="18"/>
              </w:rPr>
              <w:t>Cationic polysaccharide, electrostatic + AgNP-stabilising</w:t>
            </w:r>
          </w:p>
        </w:tc>
        <w:tc>
          <w:tcPr>
            <w:tcW w:type="dxa" w:w="1656"/>
            <w:shd w:val="clear" w:fill="FBEEEC"/>
          </w:tcPr>
          <w:p>
            <w:r/>
            <w:r>
              <w:rPr>
                <w:sz w:val="18"/>
              </w:rPr>
              <w:t>Low (near-neutral analyte, weak electrostatic driver)</w:t>
            </w:r>
          </w:p>
        </w:tc>
        <w:tc>
          <w:tcPr>
            <w:tcW w:type="dxa" w:w="1656"/>
            <w:shd w:val="clear" w:fill="FBEEEC"/>
          </w:tcPr>
          <w:p>
            <w:r/>
            <w:r>
              <w:rPr>
                <w:sz w:val="18"/>
              </w:rPr>
              <w:t>High — dedicated chitosan-AgNP LPS-capture precedent exists</w:t>
            </w:r>
          </w:p>
        </w:tc>
        <w:tc>
          <w:tcPr>
            <w:tcW w:type="dxa" w:w="1656"/>
            <w:shd w:val="clear" w:fill="FBEEEC"/>
          </w:tcPr>
          <w:p>
            <w:r/>
            <w:r>
              <w:rPr>
                <w:sz w:val="18"/>
              </w:rPr>
              <w:t>Very easy (one-pot co-synthesis with AgNPs)</w:t>
            </w:r>
          </w:p>
        </w:tc>
        <w:tc>
          <w:tcPr>
            <w:tcW w:type="dxa" w:w="1944"/>
            <w:shd w:val="clear" w:fill="FBEEEC"/>
          </w:tcPr>
          <w:p>
            <w:r/>
            <w:r>
              <w:rPr>
                <w:sz w:val="18"/>
              </w:rPr>
              <w:t>Non-specific; vulnerable to serum background</w:t>
            </w:r>
          </w:p>
        </w:tc>
      </w:tr>
      <w:tr>
        <w:tc>
          <w:tcPr>
            <w:tcW w:type="dxa" w:w="1584"/>
          </w:tcPr>
          <w:p>
            <w:r/>
            <w:r>
              <w:rPr>
                <w:sz w:val="18"/>
              </w:rPr>
              <w:t>Lectin (WGA) / vancomycin</w:t>
            </w:r>
          </w:p>
        </w:tc>
        <w:tc>
          <w:tcPr>
            <w:tcW w:type="dxa" w:w="2160"/>
          </w:tcPr>
          <w:p>
            <w:r/>
            <w:r>
              <w:rPr>
                <w:sz w:val="18"/>
              </w:rPr>
              <w:t>Specific binding to GlcNAc (WGA) or D-Ala-D-Ala peptidoglycan termini (vancomycin)</w:t>
            </w:r>
          </w:p>
        </w:tc>
        <w:tc>
          <w:tcPr>
            <w:tcW w:type="dxa" w:w="1656"/>
          </w:tcPr>
          <w:p>
            <w:r/>
            <w:r>
              <w:rPr>
                <w:sz w:val="18"/>
              </w:rPr>
              <w:t>Moderate — WGA targets the GlcNAc/NAM structural family directly</w:t>
            </w:r>
          </w:p>
        </w:tc>
        <w:tc>
          <w:tcPr>
            <w:tcW w:type="dxa" w:w="1656"/>
          </w:tcPr>
          <w:p>
            <w:r/>
            <w:r>
              <w:rPr>
                <w:sz w:val="18"/>
              </w:rPr>
              <w:t>High — extensively validated for whole Gram+/Gram- bacterial capture, including in blood</w:t>
            </w:r>
          </w:p>
        </w:tc>
        <w:tc>
          <w:tcPr>
            <w:tcW w:type="dxa" w:w="1656"/>
          </w:tcPr>
          <w:p>
            <w:r/>
            <w:r>
              <w:rPr>
                <w:sz w:val="18"/>
              </w:rPr>
              <w:t>Moderate (established protein-conjugation protocols)</w:t>
            </w:r>
          </w:p>
        </w:tc>
        <w:tc>
          <w:tcPr>
            <w:tcW w:type="dxa" w:w="1944"/>
          </w:tcPr>
          <w:p>
            <w:r/>
            <w:r>
              <w:rPr>
                <w:sz w:val="18"/>
              </w:rPr>
              <w:t>Targets intact peptidoglycan/whole cells, not necessarily free monomeric NAM — verify analyte form</w:t>
            </w:r>
          </w:p>
        </w:tc>
      </w:tr>
    </w:tbl>
    <w:p>
      <w:pPr>
        <w:spacing w:after="40"/>
      </w:pPr>
    </w:p>
    <w:p>
      <w:pPr>
        <w:pStyle w:val="Heading2"/>
      </w:pPr>
      <w:r>
        <w:t>Recommended Combined Strategy</w:t>
      </w:r>
    </w:p>
    <w:p>
      <w:pPr>
        <w:spacing w:after="120"/>
      </w:pPr>
      <w:r>
        <w:rPr>
          <w:b w:val="0"/>
          <w:i w:val="0"/>
        </w:rPr>
        <w:t>A layered, panel-specific approach is better supported by the literature than any single universal chemistry:</w:t>
      </w:r>
    </w:p>
    <w:p>
      <w:pPr>
        <w:pStyle w:val="ListBullet"/>
        <w:spacing w:after="60"/>
      </w:pPr>
      <w:r>
        <w:rPr>
          <w:b/>
        </w:rPr>
        <w:t xml:space="preserve">NAM — </w:t>
      </w:r>
      <w:r>
        <w:t>an MPBA (4-mercaptophenylboronic-acid) self-assembled monolayer directly on the existing Ag hotspots, ideally the alkyne- or nitrile-tagged variant to shift the diagnostic signal into the Raman-silent region (1800-2800 cm⁻¹) and avoid competing with NAM's own weak, closely-spaced fingerprint-region bands. This is the strategy the project's own Boronic_Acid_Design_Rationale document already anticipated.</w:t>
      </w:r>
    </w:p>
    <w:p>
      <w:pPr>
        <w:pStyle w:val="ListBullet"/>
        <w:spacing w:after="60"/>
      </w:pPr>
      <w:r>
        <w:rPr>
          <w:b/>
        </w:rPr>
        <w:t xml:space="preserve">LPS — </w:t>
      </w:r>
      <w:r>
        <w:t>a cationic pre-concentration layer (chitosan or cysteamine) exploiting LPS's negative charge, optionally combined with polymyxin B or an anti-Lipid-A antibody for higher specificity, following the closest published precedent (Rusciano et al. 2023, LOD 12 ng/mL). An LPS-templated molecularly imprinted polymer is a credible, actively-published (2023-2026) alternative if antibody cost/stability is a constraint.</w:t>
      </w:r>
    </w:p>
    <w:p>
      <w:pPr>
        <w:pStyle w:val="ListBullet"/>
        <w:spacing w:after="60"/>
      </w:pPr>
      <w:r>
        <w:rPr>
          <w:b/>
        </w:rPr>
        <w:t xml:space="preserve">LTA — </w:t>
      </w:r>
      <w:r>
        <w:t>the same cationic-layer approach as LPS (LTA is also net negatively charged), since no LTA-specific capture chemistry with a stated SERS LOD exists yet in the literature; this arm should be treated as more exploratory and lower-priority than NAM or LPS until a capture strategy is validated.</w:t>
      </w:r>
    </w:p>
    <w:p>
      <w:pPr>
        <w:spacing w:after="160"/>
        <w:ind w:left="360"/>
      </w:pPr>
      <w:r>
        <w:rPr>
          <w:i/>
          <w:color w:val="555555"/>
          <w:sz w:val="19"/>
        </w:rPr>
        <w:t>Deprioritise cyclodextrins (poor mechanistic fit for all three analytes) and APTES as a standalone strategy (anchor-only, unconfirmed compatibility with bare Ag) — these are the two weakest-supported options found in the literature search for this specific application.</w:t>
      </w:r>
    </w:p>
    <w:p>
      <w:r>
        <w:br w:type="page"/>
      </w:r>
    </w:p>
    <w:p>
      <w:pPr>
        <w:pStyle w:val="Heading1"/>
      </w:pPr>
      <w:r>
        <w:t>12. Optimized Experimental Protocol</w:t>
      </w:r>
    </w:p>
    <w:p>
      <w:pPr>
        <w:pStyle w:val="Heading2"/>
      </w:pPr>
      <w:r>
        <w:t>Raman Acquisition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304"/>
            <w:shd w:val="clear" w:fill="B03A2E"/>
          </w:tcPr>
          <w:p>
            <w:r/>
            <w:r>
              <w:rPr>
                <w:b/>
                <w:color w:val="FFFFFF"/>
                <w:sz w:val="19"/>
              </w:rPr>
              <w:t>Parameter</w:t>
            </w:r>
          </w:p>
        </w:tc>
        <w:tc>
          <w:tcPr>
            <w:tcW w:type="dxa" w:w="4608"/>
            <w:shd w:val="clear" w:fill="B03A2E"/>
          </w:tcPr>
          <w:p>
            <w:r/>
            <w:r>
              <w:rPr>
                <w:b/>
                <w:color w:val="FFFFFF"/>
                <w:sz w:val="19"/>
              </w:rPr>
              <w:t>Recommendation</w:t>
            </w:r>
          </w:p>
        </w:tc>
        <w:tc>
          <w:tcPr>
            <w:tcW w:type="dxa" w:w="2880"/>
            <w:shd w:val="clear" w:fill="B03A2E"/>
          </w:tcPr>
          <w:p>
            <w:r/>
            <w:r>
              <w:rPr>
                <w:b/>
                <w:color w:val="FFFFFF"/>
                <w:sz w:val="19"/>
              </w:rPr>
              <w:t>Why it matters</w:t>
            </w:r>
          </w:p>
        </w:tc>
      </w:tr>
      <w:tr>
        <w:tc>
          <w:tcPr>
            <w:tcW w:type="dxa" w:w="2304"/>
          </w:tcPr>
          <w:p>
            <w:r/>
            <w:r>
              <w:rPr>
                <w:sz w:val="18"/>
              </w:rPr>
              <w:t>Laser wavelength</w:t>
            </w:r>
          </w:p>
        </w:tc>
        <w:tc>
          <w:tcPr>
            <w:tcW w:type="dxa" w:w="4608"/>
          </w:tcPr>
          <w:p>
            <w:r/>
            <w:r>
              <w:rPr>
                <w:sz w:val="18"/>
              </w:rPr>
              <w:t>Keep 785 nm (existing instrument)</w:t>
            </w:r>
          </w:p>
        </w:tc>
        <w:tc>
          <w:tcPr>
            <w:tcW w:type="dxa" w:w="2880"/>
          </w:tcPr>
          <w:p>
            <w:r/>
            <w:r>
              <w:rPr>
                <w:sz w:val="18"/>
              </w:rPr>
              <w:t>Already an appropriate, bio-friendly choice minimising fluorescence background; no reason to change</w:t>
            </w:r>
          </w:p>
        </w:tc>
      </w:tr>
      <w:tr>
        <w:tc>
          <w:tcPr>
            <w:tcW w:type="dxa" w:w="2304"/>
            <w:shd w:val="clear" w:fill="FBEEEC"/>
          </w:tcPr>
          <w:p>
            <w:r/>
            <w:r>
              <w:rPr>
                <w:sz w:val="18"/>
              </w:rPr>
              <w:t>Laser power</w:t>
            </w:r>
          </w:p>
        </w:tc>
        <w:tc>
          <w:tcPr>
            <w:tcW w:type="dxa" w:w="4608"/>
            <w:shd w:val="clear" w:fill="FBEEEC"/>
          </w:tcPr>
          <w:p>
            <w:r/>
            <w:r>
              <w:rPr>
                <w:sz w:val="18"/>
              </w:rPr>
              <w:t>Re-optimise specifically for the functionalized-analyte signal, starting lower than the R6G-optimised setting and stepping up while monitoring for photodegradation — and measure true power at the sample in mW with a power meter at least once per fabrication batch</w:t>
            </w:r>
          </w:p>
        </w:tc>
        <w:tc>
          <w:tcPr>
            <w:tcW w:type="dxa" w:w="2880"/>
            <w:shd w:val="clear" w:fill="FBEEEC"/>
          </w:tcPr>
          <w:p>
            <w:r/>
            <w:r>
              <w:rPr>
                <w:sz w:val="18"/>
              </w:rPr>
              <w:t>R6G's much stronger signal may have been optimised at a power level unsuitable for weaker post-functionalization analyte signals; the project has never independently measured true optical power, a repeatedly flagged gap</w:t>
            </w:r>
          </w:p>
        </w:tc>
      </w:tr>
      <w:tr>
        <w:tc>
          <w:tcPr>
            <w:tcW w:type="dxa" w:w="2304"/>
          </w:tcPr>
          <w:p>
            <w:r/>
            <w:r>
              <w:rPr>
                <w:sz w:val="18"/>
              </w:rPr>
              <w:t>Integration time / accumulations</w:t>
            </w:r>
          </w:p>
        </w:tc>
        <w:tc>
          <w:tcPr>
            <w:tcW w:type="dxa" w:w="4608"/>
          </w:tcPr>
          <w:p>
            <w:r/>
            <w:r>
              <w:rPr>
                <w:sz w:val="18"/>
              </w:rPr>
              <w:t>Systematically re-sweep (e.g. 5-60 s × 1-10 accumulations) for the functionalized substrate specifically, rather than reusing the settings validated for bare-substrate NAM powder or for R6G</w:t>
            </w:r>
          </w:p>
        </w:tc>
        <w:tc>
          <w:tcPr>
            <w:tcW w:type="dxa" w:w="2880"/>
          </w:tcPr>
          <w:p>
            <w:r/>
            <w:r>
              <w:rPr>
                <w:sz w:val="18"/>
              </w:rPr>
              <w:t>The signal regime (dilute, surface-bound, functionalized analyte) is different from both prior use cases</w:t>
            </w:r>
          </w:p>
        </w:tc>
      </w:tr>
      <w:tr>
        <w:tc>
          <w:tcPr>
            <w:tcW w:type="dxa" w:w="2304"/>
            <w:shd w:val="clear" w:fill="FBEEEC"/>
          </w:tcPr>
          <w:p>
            <w:r/>
            <w:r>
              <w:rPr>
                <w:sz w:val="18"/>
              </w:rPr>
              <w:t>Objective lens</w:t>
            </w:r>
          </w:p>
        </w:tc>
        <w:tc>
          <w:tcPr>
            <w:tcW w:type="dxa" w:w="4608"/>
            <w:shd w:val="clear" w:fill="FBEEEC"/>
          </w:tcPr>
          <w:p>
            <w:r/>
            <w:r>
              <w:rPr>
                <w:sz w:val="18"/>
              </w:rPr>
              <w:t>Keep the existing 20× (test 50× if signal is too weak to localise hotspots reliably)</w:t>
            </w:r>
          </w:p>
        </w:tc>
        <w:tc>
          <w:tcPr>
            <w:tcW w:type="dxa" w:w="2880"/>
            <w:shd w:val="clear" w:fill="FBEEEC"/>
          </w:tcPr>
          <w:p>
            <w:r/>
            <w:r>
              <w:rPr>
                <w:sz w:val="18"/>
              </w:rPr>
              <w:t>Higher magnification narrows the field of view but can improve hotspot targeting for weak signals</w:t>
            </w:r>
          </w:p>
        </w:tc>
      </w:tr>
      <w:tr>
        <w:tc>
          <w:tcPr>
            <w:tcW w:type="dxa" w:w="2304"/>
          </w:tcPr>
          <w:p>
            <w:r/>
            <w:r>
              <w:rPr>
                <w:sz w:val="18"/>
              </w:rPr>
              <w:t>Mapping strategy</w:t>
            </w:r>
          </w:p>
        </w:tc>
        <w:tc>
          <w:tcPr>
            <w:tcW w:type="dxa" w:w="4608"/>
          </w:tcPr>
          <w:p>
            <w:r/>
            <w:r>
              <w:rPr>
                <w:sz w:val="18"/>
              </w:rPr>
              <w:t>Move from single-point spectra to a small Raman map (e.g. a 5×5 or 10×10 grid over a few hundred µm²) for every new condition tested</w:t>
            </w:r>
          </w:p>
        </w:tc>
        <w:tc>
          <w:tcPr>
            <w:tcW w:type="dxa" w:w="2880"/>
          </w:tcPr>
          <w:p>
            <w:r/>
            <w:r>
              <w:rPr>
                <w:sz w:val="18"/>
              </w:rPr>
              <w:t>All data collected to date are single-point spectra; a map is the only way to directly quantify hotspot density/uniformity and to distinguish "no signal anywhere" from "signal only at rare hotspots"</w:t>
            </w:r>
          </w:p>
        </w:tc>
      </w:tr>
    </w:tbl>
    <w:p>
      <w:pPr>
        <w:spacing w:after="40"/>
      </w:pPr>
    </w:p>
    <w:p>
      <w:pPr>
        <w:pStyle w:val="Heading2"/>
      </w:pPr>
      <w:r>
        <w:t>Sample Preparation and Deposition</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2448"/>
            <w:shd w:val="clear" w:fill="B03A2E"/>
          </w:tcPr>
          <w:p>
            <w:r/>
            <w:r>
              <w:rPr>
                <w:b/>
                <w:color w:val="FFFFFF"/>
                <w:sz w:val="19"/>
              </w:rPr>
              <w:t>Parameter</w:t>
            </w:r>
          </w:p>
        </w:tc>
        <w:tc>
          <w:tcPr>
            <w:tcW w:type="dxa" w:w="4752"/>
            <w:shd w:val="clear" w:fill="B03A2E"/>
          </w:tcPr>
          <w:p>
            <w:r/>
            <w:r>
              <w:rPr>
                <w:b/>
                <w:color w:val="FFFFFF"/>
                <w:sz w:val="19"/>
              </w:rPr>
              <w:t>Recommendation</w:t>
            </w:r>
          </w:p>
        </w:tc>
        <w:tc>
          <w:tcPr>
            <w:tcW w:type="dxa" w:w="2592"/>
            <w:shd w:val="clear" w:fill="B03A2E"/>
          </w:tcPr>
          <w:p>
            <w:r/>
            <w:r>
              <w:rPr>
                <w:b/>
                <w:color w:val="FFFFFF"/>
                <w:sz w:val="19"/>
              </w:rPr>
              <w:t>Why it matters</w:t>
            </w:r>
          </w:p>
        </w:tc>
      </w:tr>
      <w:tr>
        <w:tc>
          <w:tcPr>
            <w:tcW w:type="dxa" w:w="2448"/>
          </w:tcPr>
          <w:p>
            <w:r/>
            <w:r>
              <w:rPr>
                <w:sz w:val="18"/>
              </w:rPr>
              <w:t>Droplet volume</w:t>
            </w:r>
          </w:p>
        </w:tc>
        <w:tc>
          <w:tcPr>
            <w:tcW w:type="dxa" w:w="4752"/>
          </w:tcPr>
          <w:p>
            <w:r/>
            <w:r>
              <w:rPr>
                <w:sz w:val="18"/>
              </w:rPr>
              <w:t>Standardise a small, consistent volume (e.g. 2-5 µL) and confining the drying area (e.g. a hydrophobic pen boundary) rather than an unconfined droplet</w:t>
            </w:r>
          </w:p>
        </w:tc>
        <w:tc>
          <w:tcPr>
            <w:tcW w:type="dxa" w:w="2592"/>
          </w:tcPr>
          <w:p>
            <w:r/>
            <w:r>
              <w:rPr>
                <w:sz w:val="18"/>
              </w:rPr>
              <w:t>Uncontrolled droplet spreading is a major source of spot-to-spot concentration/coverage variability</w:t>
            </w:r>
          </w:p>
        </w:tc>
      </w:tr>
      <w:tr>
        <w:tc>
          <w:tcPr>
            <w:tcW w:type="dxa" w:w="2448"/>
            <w:shd w:val="clear" w:fill="FBEEEC"/>
          </w:tcPr>
          <w:p>
            <w:r/>
            <w:r>
              <w:rPr>
                <w:sz w:val="18"/>
              </w:rPr>
              <w:t>Incubation time (post-functionalization, pre-rinse)</w:t>
            </w:r>
          </w:p>
        </w:tc>
        <w:tc>
          <w:tcPr>
            <w:tcW w:type="dxa" w:w="4752"/>
            <w:shd w:val="clear" w:fill="FBEEEC"/>
          </w:tcPr>
          <w:p>
            <w:r/>
            <w:r>
              <w:rPr>
                <w:sz w:val="18"/>
              </w:rPr>
              <w:t>Introduce and systematically test a defined incubation window (e.g. 15-60 minutes) for both the functionalization step and the analyte-binding step, rather than immediate drying</w:t>
            </w:r>
          </w:p>
        </w:tc>
        <w:tc>
          <w:tcPr>
            <w:tcW w:type="dxa" w:w="2592"/>
            <w:shd w:val="clear" w:fill="FBEEEC"/>
          </w:tcPr>
          <w:p>
            <w:r/>
            <w:r>
              <w:rPr>
                <w:sz w:val="18"/>
              </w:rPr>
              <w:t>Boronate-ester and electrostatic capture chemistries need time to reach equilibrium binding; immediate drying likely under-utilises the capture layer</w:t>
            </w:r>
          </w:p>
        </w:tc>
      </w:tr>
      <w:tr>
        <w:tc>
          <w:tcPr>
            <w:tcW w:type="dxa" w:w="2448"/>
          </w:tcPr>
          <w:p>
            <w:r/>
            <w:r>
              <w:rPr>
                <w:sz w:val="18"/>
              </w:rPr>
              <w:t>Drying method</w:t>
            </w:r>
          </w:p>
        </w:tc>
        <w:tc>
          <w:tcPr>
            <w:tcW w:type="dxa" w:w="4752"/>
          </w:tcPr>
          <w:p>
            <w:r/>
            <w:r>
              <w:rPr>
                <w:sz w:val="18"/>
              </w:rPr>
              <w:t>Compare gentle nitrogen-stream drying vs. ambient air-drying vs. a controlled-humidity chamber, and standardise whichever gives the most reproducible spot-to-spot signal</w:t>
            </w:r>
          </w:p>
        </w:tc>
        <w:tc>
          <w:tcPr>
            <w:tcW w:type="dxa" w:w="2592"/>
          </w:tcPr>
          <w:p>
            <w:r/>
            <w:r>
              <w:rPr>
                <w:sz w:val="18"/>
              </w:rPr>
              <w:t>Uncontrolled drying drives "coffee-ring" analyte redistribution, a well-known source of SERS variability</w:t>
            </w:r>
          </w:p>
        </w:tc>
      </w:tr>
      <w:tr>
        <w:tc>
          <w:tcPr>
            <w:tcW w:type="dxa" w:w="2448"/>
            <w:shd w:val="clear" w:fill="FBEEEC"/>
          </w:tcPr>
          <w:p>
            <w:r/>
            <w:r>
              <w:rPr>
                <w:sz w:val="18"/>
              </w:rPr>
              <w:t>Washing steps</w:t>
            </w:r>
          </w:p>
        </w:tc>
        <w:tc>
          <w:tcPr>
            <w:tcW w:type="dxa" w:w="4752"/>
            <w:shd w:val="clear" w:fill="FBEEEC"/>
          </w:tcPr>
          <w:p>
            <w:r/>
            <w:r>
              <w:rPr>
                <w:sz w:val="18"/>
              </w:rPr>
              <w:t>Add a defined post-incubation rinse step (buffer, then water) before measurement, once functionalization is in place</w:t>
            </w:r>
          </w:p>
        </w:tc>
        <w:tc>
          <w:tcPr>
            <w:tcW w:type="dxa" w:w="2592"/>
            <w:shd w:val="clear" w:fill="FBEEEC"/>
          </w:tcPr>
          <w:p>
            <w:r/>
            <w:r>
              <w:rPr>
                <w:sz w:val="18"/>
              </w:rPr>
              <w:t>Removes unbound analyte and excess functionalization reagent that would otherwise contribute background signal or mask the true bound-analyte signal</w:t>
            </w:r>
          </w:p>
        </w:tc>
      </w:tr>
      <w:tr>
        <w:tc>
          <w:tcPr>
            <w:tcW w:type="dxa" w:w="2448"/>
          </w:tcPr>
          <w:p>
            <w:r/>
            <w:r>
              <w:rPr>
                <w:sz w:val="18"/>
              </w:rPr>
              <w:t>Storage conditions</w:t>
            </w:r>
          </w:p>
        </w:tc>
        <w:tc>
          <w:tcPr>
            <w:tcW w:type="dxa" w:w="4752"/>
          </w:tcPr>
          <w:p>
            <w:r/>
            <w:r>
              <w:rPr>
                <w:sz w:val="18"/>
              </w:rPr>
              <w:t>Measure substrates as soon as practical after fabrication and functionalization; if storage is unavoidable, store desiccated and dark, and document elapsed time before every measurement</w:t>
            </w:r>
          </w:p>
        </w:tc>
        <w:tc>
          <w:tcPr>
            <w:tcW w:type="dxa" w:w="2592"/>
          </w:tcPr>
          <w:p>
            <w:r/>
            <w:r>
              <w:rPr>
                <w:sz w:val="18"/>
              </w:rPr>
              <w:t>Directly addresses the documented hours-to-days silver oxidation/degradation timeline; elapsed storage time should become a recorded metadata field for every spectrum going forward</w:t>
            </w:r>
          </w:p>
        </w:tc>
      </w:tr>
    </w:tbl>
    <w:p>
      <w:pPr>
        <w:spacing w:after="40"/>
      </w:pPr>
    </w:p>
    <w:p>
      <w:r>
        <w:br w:type="page"/>
      </w:r>
    </w:p>
    <w:p>
      <w:pPr>
        <w:pStyle w:val="Heading1"/>
      </w:pPr>
      <w:r>
        <w:t>13. Characterization Plan</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160"/>
            <w:shd w:val="clear" w:fill="B03A2E"/>
          </w:tcPr>
          <w:p>
            <w:r/>
            <w:r>
              <w:rPr>
                <w:b/>
                <w:color w:val="FFFFFF"/>
                <w:sz w:val="19"/>
              </w:rPr>
              <w:t>Technique</w:t>
            </w:r>
          </w:p>
        </w:tc>
        <w:tc>
          <w:tcPr>
            <w:tcW w:type="dxa" w:w="1728"/>
            <w:shd w:val="clear" w:fill="B03A2E"/>
          </w:tcPr>
          <w:p>
            <w:r/>
            <w:r>
              <w:rPr>
                <w:b/>
                <w:color w:val="FFFFFF"/>
                <w:sz w:val="19"/>
              </w:rPr>
              <w:t>Essential / optional</w:t>
            </w:r>
          </w:p>
        </w:tc>
        <w:tc>
          <w:tcPr>
            <w:tcW w:type="dxa" w:w="3600"/>
            <w:shd w:val="clear" w:fill="B03A2E"/>
          </w:tcPr>
          <w:p>
            <w:r/>
            <w:r>
              <w:rPr>
                <w:b/>
                <w:color w:val="FFFFFF"/>
                <w:sz w:val="19"/>
              </w:rPr>
              <w:t>What it provides</w:t>
            </w:r>
          </w:p>
        </w:tc>
        <w:tc>
          <w:tcPr>
            <w:tcW w:type="dxa" w:w="3168"/>
            <w:shd w:val="clear" w:fill="B03A2E"/>
          </w:tcPr>
          <w:p>
            <w:r/>
            <w:r>
              <w:rPr>
                <w:b/>
                <w:color w:val="FFFFFF"/>
                <w:sz w:val="19"/>
              </w:rPr>
              <w:t>Why needed here</w:t>
            </w:r>
          </w:p>
        </w:tc>
      </w:tr>
      <w:tr>
        <w:tc>
          <w:tcPr>
            <w:tcW w:type="dxa" w:w="2160"/>
          </w:tcPr>
          <w:p>
            <w:r/>
            <w:r>
              <w:rPr>
                <w:sz w:val="18"/>
              </w:rPr>
              <w:t>SEM (or FESEM)</w:t>
            </w:r>
          </w:p>
        </w:tc>
        <w:tc>
          <w:tcPr>
            <w:tcW w:type="dxa" w:w="1728"/>
          </w:tcPr>
          <w:p>
            <w:r/>
            <w:r>
              <w:rPr>
                <w:sz w:val="18"/>
              </w:rPr>
              <w:t>Essential</w:t>
            </w:r>
          </w:p>
        </w:tc>
        <w:tc>
          <w:tcPr>
            <w:tcW w:type="dxa" w:w="3600"/>
          </w:tcPr>
          <w:p>
            <w:r/>
            <w:r>
              <w:rPr>
                <w:sz w:val="18"/>
              </w:rPr>
              <w:t>Direct imaging of silver nanostructure morphology (aggregate vs. dendrite vs. sparse particles), feature size, coverage</w:t>
            </w:r>
          </w:p>
        </w:tc>
        <w:tc>
          <w:tcPr>
            <w:tcW w:type="dxa" w:w="3168"/>
          </w:tcPr>
          <w:p>
            <w:r/>
            <w:r>
              <w:rPr>
                <w:sz w:val="18"/>
              </w:rPr>
              <w:t>Currently completely absent for this project's own substrate; the fastest, cheapest way to separate a fabrication/morphology problem from a chemistry problem</w:t>
            </w:r>
          </w:p>
        </w:tc>
      </w:tr>
      <w:tr>
        <w:tc>
          <w:tcPr>
            <w:tcW w:type="dxa" w:w="2160"/>
            <w:shd w:val="clear" w:fill="FBEEEC"/>
          </w:tcPr>
          <w:p>
            <w:r/>
            <w:r>
              <w:rPr>
                <w:sz w:val="18"/>
              </w:rPr>
              <w:t>AFM</w:t>
            </w:r>
          </w:p>
        </w:tc>
        <w:tc>
          <w:tcPr>
            <w:tcW w:type="dxa" w:w="1728"/>
            <w:shd w:val="clear" w:fill="FBEEEC"/>
          </w:tcPr>
          <w:p>
            <w:r/>
            <w:r>
              <w:rPr>
                <w:sz w:val="18"/>
              </w:rPr>
              <w:t>Essential</w:t>
            </w:r>
          </w:p>
        </w:tc>
        <w:tc>
          <w:tcPr>
            <w:tcW w:type="dxa" w:w="3600"/>
            <w:shd w:val="clear" w:fill="FBEEEC"/>
          </w:tcPr>
          <w:p>
            <w:r/>
            <w:r>
              <w:rPr>
                <w:sz w:val="18"/>
              </w:rPr>
              <w:t>Quantitative surface roughness and feature height/gap measurement, complementing SEM</w:t>
            </w:r>
          </w:p>
        </w:tc>
        <w:tc>
          <w:tcPr>
            <w:tcW w:type="dxa" w:w="3168"/>
            <w:shd w:val="clear" w:fill="FBEEEC"/>
          </w:tcPr>
          <w:p>
            <w:r/>
            <w:r>
              <w:rPr>
                <w:sz w:val="18"/>
              </w:rPr>
              <w:t>Directly measures the interparticle gap distances that determine hotspot intensity (Section 10)</w:t>
            </w:r>
          </w:p>
        </w:tc>
      </w:tr>
      <w:tr>
        <w:tc>
          <w:tcPr>
            <w:tcW w:type="dxa" w:w="2160"/>
          </w:tcPr>
          <w:p>
            <w:r/>
            <w:r>
              <w:rPr>
                <w:sz w:val="18"/>
              </w:rPr>
              <w:t>EDS (energy-dispersive X-ray spectroscopy)</w:t>
            </w:r>
          </w:p>
        </w:tc>
        <w:tc>
          <w:tcPr>
            <w:tcW w:type="dxa" w:w="1728"/>
          </w:tcPr>
          <w:p>
            <w:r/>
            <w:r>
              <w:rPr>
                <w:sz w:val="18"/>
              </w:rPr>
              <w:t>Essential</w:t>
            </w:r>
          </w:p>
        </w:tc>
        <w:tc>
          <w:tcPr>
            <w:tcW w:type="dxa" w:w="3600"/>
          </w:tcPr>
          <w:p>
            <w:r/>
            <w:r>
              <w:rPr>
                <w:sz w:val="18"/>
              </w:rPr>
              <w:t>Confirms elemental composition and relative Ag coverage/thickness across the substrate</w:t>
            </w:r>
          </w:p>
        </w:tc>
        <w:tc>
          <w:tcPr>
            <w:tcW w:type="dxa" w:w="3168"/>
          </w:tcPr>
          <w:p>
            <w:r/>
            <w:r>
              <w:rPr>
                <w:sz w:val="18"/>
              </w:rPr>
              <w:t>Verifies the fabrication process deposited silver as intended and checks for unexpected oxide/contaminant signatures</w:t>
            </w:r>
          </w:p>
        </w:tc>
      </w:tr>
      <w:tr>
        <w:tc>
          <w:tcPr>
            <w:tcW w:type="dxa" w:w="2160"/>
            <w:shd w:val="clear" w:fill="FBEEEC"/>
          </w:tcPr>
          <w:p>
            <w:r/>
            <w:r>
              <w:rPr>
                <w:sz w:val="18"/>
              </w:rPr>
              <w:t>UV-Vis (diffuse reflectance or extinction)</w:t>
            </w:r>
          </w:p>
        </w:tc>
        <w:tc>
          <w:tcPr>
            <w:tcW w:type="dxa" w:w="1728"/>
            <w:shd w:val="clear" w:fill="FBEEEC"/>
          </w:tcPr>
          <w:p>
            <w:r/>
            <w:r>
              <w:rPr>
                <w:sz w:val="18"/>
              </w:rPr>
              <w:t>Essential</w:t>
            </w:r>
          </w:p>
        </w:tc>
        <w:tc>
          <w:tcPr>
            <w:tcW w:type="dxa" w:w="3600"/>
            <w:shd w:val="clear" w:fill="FBEEEC"/>
          </w:tcPr>
          <w:p>
            <w:r/>
            <w:r>
              <w:rPr>
                <w:sz w:val="18"/>
              </w:rPr>
              <w:t>Confirms the plasmon resonance position relative to the 785 nm excitation wavelength</w:t>
            </w:r>
          </w:p>
        </w:tc>
        <w:tc>
          <w:tcPr>
            <w:tcW w:type="dxa" w:w="3168"/>
            <w:shd w:val="clear" w:fill="FBEEEC"/>
          </w:tcPr>
          <w:p>
            <w:r/>
            <w:r>
              <w:rPr>
                <w:sz w:val="18"/>
              </w:rPr>
              <w:t>Directly explains whether the substrate's optical response is well-matched to the laser in use — currently unverified</w:t>
            </w:r>
          </w:p>
        </w:tc>
      </w:tr>
      <w:tr>
        <w:tc>
          <w:tcPr>
            <w:tcW w:type="dxa" w:w="2160"/>
          </w:tcPr>
          <w:p>
            <w:r/>
            <w:r>
              <w:rPr>
                <w:sz w:val="18"/>
              </w:rPr>
              <w:t>XPS</w:t>
            </w:r>
          </w:p>
        </w:tc>
        <w:tc>
          <w:tcPr>
            <w:tcW w:type="dxa" w:w="1728"/>
          </w:tcPr>
          <w:p>
            <w:r/>
            <w:r>
              <w:rPr>
                <w:sz w:val="18"/>
              </w:rPr>
              <w:t>Recommended</w:t>
            </w:r>
          </w:p>
        </w:tc>
        <w:tc>
          <w:tcPr>
            <w:tcW w:type="dxa" w:w="3600"/>
          </w:tcPr>
          <w:p>
            <w:r/>
            <w:r>
              <w:rPr>
                <w:sz w:val="18"/>
              </w:rPr>
              <w:t>Surface oxidation state (Ag⁰ vs Ag₂O/AgO), carbon contamination level</w:t>
            </w:r>
          </w:p>
        </w:tc>
        <w:tc>
          <w:tcPr>
            <w:tcW w:type="dxa" w:w="3168"/>
          </w:tcPr>
          <w:p>
            <w:r/>
            <w:r>
              <w:rPr>
                <w:sz w:val="18"/>
              </w:rPr>
              <w:t>Directly diagnostic for the silver-oxidation hypothesis (Section 7, rank 2) — the literature's own key diagnostic tool for this exact failure mode</w:t>
            </w:r>
          </w:p>
        </w:tc>
      </w:tr>
      <w:tr>
        <w:tc>
          <w:tcPr>
            <w:tcW w:type="dxa" w:w="2160"/>
            <w:shd w:val="clear" w:fill="FBEEEC"/>
          </w:tcPr>
          <w:p>
            <w:r/>
            <w:r>
              <w:rPr>
                <w:sz w:val="18"/>
              </w:rPr>
              <w:t>Contact angle measurement</w:t>
            </w:r>
          </w:p>
        </w:tc>
        <w:tc>
          <w:tcPr>
            <w:tcW w:type="dxa" w:w="1728"/>
            <w:shd w:val="clear" w:fill="FBEEEC"/>
          </w:tcPr>
          <w:p>
            <w:r/>
            <w:r>
              <w:rPr>
                <w:sz w:val="18"/>
              </w:rPr>
              <w:t>Optional but useful</w:t>
            </w:r>
          </w:p>
        </w:tc>
        <w:tc>
          <w:tcPr>
            <w:tcW w:type="dxa" w:w="3600"/>
            <w:shd w:val="clear" w:fill="FBEEEC"/>
          </w:tcPr>
          <w:p>
            <w:r/>
            <w:r>
              <w:rPr>
                <w:sz w:val="18"/>
              </w:rPr>
              <w:t>Surface wettability, indirectly indicating whether functionalization has successfully changed the surface chemistry</w:t>
            </w:r>
          </w:p>
        </w:tc>
        <w:tc>
          <w:tcPr>
            <w:tcW w:type="dxa" w:w="3168"/>
            <w:shd w:val="clear" w:fill="FBEEEC"/>
          </w:tcPr>
          <w:p>
            <w:r/>
            <w:r>
              <w:rPr>
                <w:sz w:val="18"/>
              </w:rPr>
              <w:t>A fast, cheap way to confirm a functionalization step has chemically modified the surface, before committing to a full Raman measurement</w:t>
            </w:r>
          </w:p>
        </w:tc>
      </w:tr>
      <w:tr>
        <w:tc>
          <w:tcPr>
            <w:tcW w:type="dxa" w:w="2160"/>
          </w:tcPr>
          <w:p>
            <w:r/>
            <w:r>
              <w:rPr>
                <w:sz w:val="18"/>
              </w:rPr>
              <w:t>FTIR</w:t>
            </w:r>
          </w:p>
        </w:tc>
        <w:tc>
          <w:tcPr>
            <w:tcW w:type="dxa" w:w="1728"/>
          </w:tcPr>
          <w:p>
            <w:r/>
            <w:r>
              <w:rPr>
                <w:sz w:val="18"/>
              </w:rPr>
              <w:t>Optional</w:t>
            </w:r>
          </w:p>
        </w:tc>
        <w:tc>
          <w:tcPr>
            <w:tcW w:type="dxa" w:w="3600"/>
          </w:tcPr>
          <w:p>
            <w:r/>
            <w:r>
              <w:rPr>
                <w:sz w:val="18"/>
              </w:rPr>
              <w:t>Complementary vibrational fingerprint, useful to confirm bulk functionalization-layer chemistry (e.g. boronic acid) independent of Raman</w:t>
            </w:r>
          </w:p>
        </w:tc>
        <w:tc>
          <w:tcPr>
            <w:tcW w:type="dxa" w:w="3168"/>
          </w:tcPr>
          <w:p>
            <w:r/>
            <w:r>
              <w:rPr>
                <w:sz w:val="18"/>
              </w:rPr>
              <w:t>Cross-validates that the functionalization chemistry is present and intact</w:t>
            </w:r>
          </w:p>
        </w:tc>
      </w:tr>
      <w:tr>
        <w:tc>
          <w:tcPr>
            <w:tcW w:type="dxa" w:w="2160"/>
            <w:shd w:val="clear" w:fill="FBEEEC"/>
          </w:tcPr>
          <w:p>
            <w:r/>
            <w:r>
              <w:rPr>
                <w:sz w:val="18"/>
              </w:rPr>
              <w:t>Raman mapping</w:t>
            </w:r>
          </w:p>
        </w:tc>
        <w:tc>
          <w:tcPr>
            <w:tcW w:type="dxa" w:w="1728"/>
            <w:shd w:val="clear" w:fill="FBEEEC"/>
          </w:tcPr>
          <w:p>
            <w:r/>
            <w:r>
              <w:rPr>
                <w:sz w:val="18"/>
              </w:rPr>
              <w:t>Essential (see Section 12)</w:t>
            </w:r>
          </w:p>
        </w:tc>
        <w:tc>
          <w:tcPr>
            <w:tcW w:type="dxa" w:w="3600"/>
            <w:shd w:val="clear" w:fill="FBEEEC"/>
          </w:tcPr>
          <w:p>
            <w:r/>
            <w:r>
              <w:rPr>
                <w:sz w:val="18"/>
              </w:rPr>
              <w:t>Spatial distribution of hotspot signal across a substrate area</w:t>
            </w:r>
          </w:p>
        </w:tc>
        <w:tc>
          <w:tcPr>
            <w:tcW w:type="dxa" w:w="3168"/>
            <w:shd w:val="clear" w:fill="FBEEEC"/>
          </w:tcPr>
          <w:p>
            <w:r/>
            <w:r>
              <w:rPr>
                <w:sz w:val="18"/>
              </w:rPr>
              <w:t>Directly distinguishes "substrate has no working hotspots" from "hotspots exist but are sparse/localised" — currently unknown</w:t>
            </w:r>
          </w:p>
        </w:tc>
      </w:tr>
      <w:tr>
        <w:tc>
          <w:tcPr>
            <w:tcW w:type="dxa" w:w="2160"/>
          </w:tcPr>
          <w:p>
            <w:r/>
            <w:r>
              <w:rPr>
                <w:sz w:val="18"/>
              </w:rPr>
              <w:t>XRD</w:t>
            </w:r>
          </w:p>
        </w:tc>
        <w:tc>
          <w:tcPr>
            <w:tcW w:type="dxa" w:w="1728"/>
          </w:tcPr>
          <w:p>
            <w:r/>
            <w:r>
              <w:rPr>
                <w:sz w:val="18"/>
              </w:rPr>
              <w:t>Optional</w:t>
            </w:r>
          </w:p>
        </w:tc>
        <w:tc>
          <w:tcPr>
            <w:tcW w:type="dxa" w:w="3600"/>
          </w:tcPr>
          <w:p>
            <w:r/>
            <w:r>
              <w:rPr>
                <w:sz w:val="18"/>
              </w:rPr>
              <w:t>Crystallinity/phase confirmation of the silicon nanostructure and any silver phases present</w:t>
            </w:r>
          </w:p>
        </w:tc>
        <w:tc>
          <w:tcPr>
            <w:tcW w:type="dxa" w:w="3168"/>
          </w:tcPr>
          <w:p>
            <w:r/>
            <w:r>
              <w:rPr>
                <w:sz w:val="18"/>
              </w:rPr>
              <w:t>Lower priority than the above; mainly useful if a specific crystallographic question arises from SEM/EDS results</w:t>
            </w:r>
          </w:p>
        </w:tc>
      </w:tr>
    </w:tbl>
    <w:p>
      <w:pPr>
        <w:spacing w:after="40"/>
      </w:pPr>
    </w:p>
    <w:p>
      <w:r>
        <w:br w:type="page"/>
      </w:r>
    </w:p>
    <w:p>
      <w:pPr>
        <w:pStyle w:val="Heading1"/>
      </w:pPr>
      <w:r>
        <w:t>14. Publication Gap Analysis</w:t>
      </w:r>
    </w:p>
    <w:p>
      <w:pPr>
        <w:spacing w:after="120"/>
      </w:pPr>
      <w:r>
        <w:rPr>
          <w:b w:val="0"/>
          <w:i w:val="0"/>
        </w:rPr>
        <w:t>This section extends, rather than duplicates, the publication-readiness assessment in the companion progress report — here the focus is specifically on what a biosensor-development paper (as opposed to a pure spectroscopy/DFT paper) would require.</w:t>
      </w:r>
    </w:p>
    <w:p>
      <w:pPr>
        <w:pStyle w:val="ListBullet"/>
        <w:spacing w:after="60"/>
      </w:pPr>
      <w:r>
        <w:rPr>
          <w:b/>
        </w:rPr>
        <w:t xml:space="preserve">Missing controls — </w:t>
      </w:r>
      <w:r>
        <w:t>no bare-substrate (no functionalization) vs. functionalized-substrate side-by-side comparison exists yet for any of the three biomarkers; this is the single most important control to add, since it directly demonstrates whether functionalization is the fix.</w:t>
      </w:r>
    </w:p>
    <w:p>
      <w:pPr>
        <w:pStyle w:val="ListBullet"/>
        <w:spacing w:after="60"/>
      </w:pPr>
      <w:r>
        <w:rPr>
          <w:b/>
        </w:rPr>
        <w:t xml:space="preserve">Missing enhancement factor — </w:t>
      </w:r>
      <w:r>
        <w:t>no bulk (non-SERS) reference spectrum exists for any analyte at a matched concentration; required by essentially every SERS-substrate-paper reviewer.</w:t>
      </w:r>
    </w:p>
    <w:p>
      <w:pPr>
        <w:pStyle w:val="ListBullet"/>
        <w:spacing w:after="60"/>
      </w:pPr>
      <w:r>
        <w:rPr>
          <w:b/>
        </w:rPr>
        <w:t xml:space="preserve">Missing statistical analyses — </w:t>
      </w:r>
      <w:r>
        <w:t>no %RSD figures exist across replicate substrates or replicate spots on the same substrate for anything beyond the R6G work.</w:t>
      </w:r>
    </w:p>
    <w:p>
      <w:pPr>
        <w:pStyle w:val="ListBullet"/>
        <w:spacing w:after="60"/>
      </w:pPr>
      <w:r>
        <w:rPr>
          <w:b/>
        </w:rPr>
        <w:t xml:space="preserve">Missing reproducibility studies — </w:t>
      </w:r>
      <w:r>
        <w:t>batch-to-batch fabrication consistency has not been formally assessed.</w:t>
      </w:r>
    </w:p>
    <w:p>
      <w:pPr>
        <w:pStyle w:val="ListBullet"/>
        <w:spacing w:after="60"/>
      </w:pPr>
      <w:r>
        <w:rPr>
          <w:b/>
        </w:rPr>
        <w:t xml:space="preserve">Missing limit of detection — </w:t>
      </w:r>
      <w:r>
        <w:t>no concentration series has been completed for NAM, LPS, or LTA on the substrate (the serial-dilution protocol already designed by the project, per the companion progress report, has not yet been executed).</w:t>
      </w:r>
    </w:p>
    <w:p>
      <w:pPr>
        <w:pStyle w:val="ListBullet"/>
        <w:spacing w:after="60"/>
      </w:pPr>
      <w:r>
        <w:rPr>
          <w:b/>
        </w:rPr>
        <w:t xml:space="preserve">Missing selectivity study — </w:t>
      </w:r>
      <w:r>
        <w:t>no test of whether the (eventual) functionalized substrate responds specifically to the intended biomarker versus structurally similar interferents (e.g. other blood sugars/glycoproteins for the boronic-acid NAM layer) exists yet.</w:t>
      </w:r>
    </w:p>
    <w:p>
      <w:pPr>
        <w:pStyle w:val="ListBullet"/>
        <w:spacing w:after="60"/>
      </w:pPr>
      <w:r>
        <w:rPr>
          <w:b/>
        </w:rPr>
        <w:t xml:space="preserve">Missing stability study — </w:t>
      </w:r>
      <w:r>
        <w:t>no shelf-life or day-to-day signal-stability data exists, despite silver oxidation being a documented, likely-relevant risk.</w:t>
      </w:r>
    </w:p>
    <w:p>
      <w:pPr>
        <w:pStyle w:val="ListBullet"/>
        <w:spacing w:after="60"/>
      </w:pPr>
      <w:r>
        <w:rPr>
          <w:b/>
        </w:rPr>
        <w:t xml:space="preserve">Missing repeatability data — </w:t>
      </w:r>
      <w:r>
        <w:t>no formal same-day, same-operator repeat-measurement study exists.</w:t>
      </w:r>
    </w:p>
    <w:p>
      <w:pPr>
        <w:pStyle w:val="ListBullet"/>
        <w:spacing w:after="60"/>
      </w:pPr>
      <w:r>
        <w:rPr>
          <w:b/>
        </w:rPr>
        <w:t xml:space="preserve">Missing comparison with a reference/commercial method — </w:t>
      </w:r>
      <w:r>
        <w:t>no side-by-side comparison against an established LPS/LTA detection method (e.g. LAL assay for LPS, ELISA) exists yet — expected by reviewers to contextualise any eventual LOD claim clinically.</w:t>
      </w:r>
    </w:p>
    <w:p>
      <w:pPr>
        <w:spacing w:after="120"/>
      </w:pPr>
      <w:r>
        <w:rPr>
          <w:b w:val="0"/>
          <w:i w:val="0"/>
        </w:rPr>
        <w:t>None of these gaps requires new instrumentation or a substrate redesign — all are directly addressed by executing the roadmap in Section 16, once the functionalization strategy in Section 11 is in place.</w:t>
      </w:r>
    </w:p>
    <w:p>
      <w:r>
        <w:br w:type="page"/>
      </w:r>
    </w:p>
    <w:p>
      <w:pPr>
        <w:pStyle w:val="Heading1"/>
      </w:pPr>
      <w:r>
        <w:t>15. Risk Assessment</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3600"/>
            <w:shd w:val="clear" w:fill="B03A2E"/>
          </w:tcPr>
          <w:p>
            <w:r/>
            <w:r>
              <w:rPr>
                <w:b/>
                <w:color w:val="FFFFFF"/>
                <w:sz w:val="19"/>
              </w:rPr>
              <w:t>Risk</w:t>
            </w:r>
          </w:p>
        </w:tc>
        <w:tc>
          <w:tcPr>
            <w:tcW w:type="dxa" w:w="1440"/>
            <w:shd w:val="clear" w:fill="B03A2E"/>
          </w:tcPr>
          <w:p>
            <w:r/>
            <w:r>
              <w:rPr>
                <w:b/>
                <w:color w:val="FFFFFF"/>
                <w:sz w:val="19"/>
              </w:rPr>
              <w:t>Likelihood</w:t>
            </w:r>
          </w:p>
        </w:tc>
        <w:tc>
          <w:tcPr>
            <w:tcW w:type="dxa" w:w="1584"/>
            <w:shd w:val="clear" w:fill="B03A2E"/>
          </w:tcPr>
          <w:p>
            <w:r/>
            <w:r>
              <w:rPr>
                <w:b/>
                <w:color w:val="FFFFFF"/>
                <w:sz w:val="19"/>
              </w:rPr>
              <w:t>Impact</w:t>
            </w:r>
          </w:p>
        </w:tc>
        <w:tc>
          <w:tcPr>
            <w:tcW w:type="dxa" w:w="3456"/>
            <w:shd w:val="clear" w:fill="B03A2E"/>
          </w:tcPr>
          <w:p>
            <w:r/>
            <w:r>
              <w:rPr>
                <w:b/>
                <w:color w:val="FFFFFF"/>
                <w:sz w:val="19"/>
              </w:rPr>
              <w:t>Mitigation</w:t>
            </w:r>
          </w:p>
        </w:tc>
      </w:tr>
      <w:tr>
        <w:tc>
          <w:tcPr>
            <w:tcW w:type="dxa" w:w="3600"/>
          </w:tcPr>
          <w:p>
            <w:r/>
            <w:r>
              <w:rPr>
                <w:sz w:val="18"/>
              </w:rPr>
              <w:t>Boronic-acid functionalization does not fully solve NAM detection (residual weak signal even after capture-layer addition)</w:t>
            </w:r>
          </w:p>
        </w:tc>
        <w:tc>
          <w:tcPr>
            <w:tcW w:type="dxa" w:w="1440"/>
          </w:tcPr>
          <w:p>
            <w:r/>
            <w:r>
              <w:rPr>
                <w:sz w:val="18"/>
              </w:rPr>
              <w:t>Moderate</w:t>
            </w:r>
          </w:p>
        </w:tc>
        <w:tc>
          <w:tcPr>
            <w:tcW w:type="dxa" w:w="1584"/>
          </w:tcPr>
          <w:p>
            <w:r/>
            <w:r>
              <w:rPr>
                <w:sz w:val="18"/>
              </w:rPr>
              <w:t>High — would require a second design iteration</w:t>
            </w:r>
          </w:p>
        </w:tc>
        <w:tc>
          <w:tcPr>
            <w:tcW w:type="dxa" w:w="3456"/>
          </w:tcPr>
          <w:p>
            <w:r/>
            <w:r>
              <w:rPr>
                <w:sz w:val="18"/>
              </w:rPr>
              <w:t>Have the alkyne/nitrile-tagged silent-region reporter variant ready as a fallback; this also solves a separate background-interference problem, so it is worth adopting regardless</w:t>
            </w:r>
          </w:p>
        </w:tc>
      </w:tr>
      <w:tr>
        <w:tc>
          <w:tcPr>
            <w:tcW w:type="dxa" w:w="3600"/>
            <w:shd w:val="clear" w:fill="FBEEEC"/>
          </w:tcPr>
          <w:p>
            <w:r/>
            <w:r>
              <w:rPr>
                <w:sz w:val="18"/>
              </w:rPr>
              <w:t>Cross-reactivity: boronic-acid layer captures other diol-bearing serum molecules, reducing specificity for NAM in real clinical samples</w:t>
            </w:r>
          </w:p>
        </w:tc>
        <w:tc>
          <w:tcPr>
            <w:tcW w:type="dxa" w:w="1440"/>
            <w:shd w:val="clear" w:fill="FBEEEC"/>
          </w:tcPr>
          <w:p>
            <w:r/>
            <w:r>
              <w:rPr>
                <w:sz w:val="18"/>
              </w:rPr>
              <w:t>Moderate</w:t>
            </w:r>
          </w:p>
        </w:tc>
        <w:tc>
          <w:tcPr>
            <w:tcW w:type="dxa" w:w="1584"/>
            <w:shd w:val="clear" w:fill="FBEEEC"/>
          </w:tcPr>
          <w:p>
            <w:r/>
            <w:r>
              <w:rPr>
                <w:sz w:val="18"/>
              </w:rPr>
              <w:t>Moderate — affects clinical translation more than proof-of-concept</w:t>
            </w:r>
          </w:p>
        </w:tc>
        <w:tc>
          <w:tcPr>
            <w:tcW w:type="dxa" w:w="3456"/>
            <w:shd w:val="clear" w:fill="FBEEEC"/>
          </w:tcPr>
          <w:p>
            <w:r/>
            <w:r>
              <w:rPr>
                <w:sz w:val="18"/>
              </w:rPr>
              <w:t>Plan a selectivity study (Section 14) against common blood sugars/glycoproteins before any clinical-sample claims</w:t>
            </w:r>
          </w:p>
        </w:tc>
      </w:tr>
      <w:tr>
        <w:tc>
          <w:tcPr>
            <w:tcW w:type="dxa" w:w="3600"/>
          </w:tcPr>
          <w:p>
            <w:r/>
            <w:r>
              <w:rPr>
                <w:sz w:val="18"/>
              </w:rPr>
              <w:t>LTA capture chemistry remains unresolved (no dedicated literature precedent exists)</w:t>
            </w:r>
          </w:p>
        </w:tc>
        <w:tc>
          <w:tcPr>
            <w:tcW w:type="dxa" w:w="1440"/>
          </w:tcPr>
          <w:p>
            <w:r/>
            <w:r>
              <w:rPr>
                <w:sz w:val="18"/>
              </w:rPr>
              <w:t>High</w:t>
            </w:r>
          </w:p>
        </w:tc>
        <w:tc>
          <w:tcPr>
            <w:tcW w:type="dxa" w:w="1584"/>
          </w:tcPr>
          <w:p>
            <w:r/>
            <w:r>
              <w:rPr>
                <w:sz w:val="18"/>
              </w:rPr>
              <w:t>Moderate — LTA is one of three panel members, not the whole project</w:t>
            </w:r>
          </w:p>
        </w:tc>
        <w:tc>
          <w:tcPr>
            <w:tcW w:type="dxa" w:w="3456"/>
          </w:tcPr>
          <w:p>
            <w:r/>
            <w:r>
              <w:rPr>
                <w:sz w:val="18"/>
              </w:rPr>
              <w:t>Treat LTA as the explicitly lower-priority, more exploratory arm; do not let it block NAM/LPS progress or publication</w:t>
            </w:r>
          </w:p>
        </w:tc>
      </w:tr>
      <w:tr>
        <w:tc>
          <w:tcPr>
            <w:tcW w:type="dxa" w:w="3600"/>
            <w:shd w:val="clear" w:fill="FBEEEC"/>
          </w:tcPr>
          <w:p>
            <w:r/>
            <w:r>
              <w:rPr>
                <w:sz w:val="18"/>
              </w:rPr>
              <w:t>Fabrication reproducibility remains poor even after adding a regrowth/regulated-oxide step</w:t>
            </w:r>
          </w:p>
        </w:tc>
        <w:tc>
          <w:tcPr>
            <w:tcW w:type="dxa" w:w="1440"/>
            <w:shd w:val="clear" w:fill="FBEEEC"/>
          </w:tcPr>
          <w:p>
            <w:r/>
            <w:r>
              <w:rPr>
                <w:sz w:val="18"/>
              </w:rPr>
              <w:t>Low-moderate</w:t>
            </w:r>
          </w:p>
        </w:tc>
        <w:tc>
          <w:tcPr>
            <w:tcW w:type="dxa" w:w="1584"/>
            <w:shd w:val="clear" w:fill="FBEEEC"/>
          </w:tcPr>
          <w:p>
            <w:r/>
            <w:r>
              <w:rPr>
                <w:sz w:val="18"/>
              </w:rPr>
              <w:t>High — undermines every downstream quantitative claim</w:t>
            </w:r>
          </w:p>
        </w:tc>
        <w:tc>
          <w:tcPr>
            <w:tcW w:type="dxa" w:w="3456"/>
            <w:shd w:val="clear" w:fill="FBEEEC"/>
          </w:tcPr>
          <w:p>
            <w:r/>
            <w:r>
              <w:rPr>
                <w:sz w:val="18"/>
              </w:rPr>
              <w:t>Formally measure %RSD as an early, cheap diagnostic step (Section 16, week 1-2) before investing further in functionalization optimisation</w:t>
            </w:r>
          </w:p>
        </w:tc>
      </w:tr>
      <w:tr>
        <w:tc>
          <w:tcPr>
            <w:tcW w:type="dxa" w:w="3600"/>
          </w:tcPr>
          <w:p>
            <w:r/>
            <w:r>
              <w:rPr>
                <w:sz w:val="18"/>
              </w:rPr>
              <w:t>Silver oxidation continues to degrade signal even with a thin Au cap (imperfect coverage)</w:t>
            </w:r>
          </w:p>
        </w:tc>
        <w:tc>
          <w:tcPr>
            <w:tcW w:type="dxa" w:w="1440"/>
          </w:tcPr>
          <w:p>
            <w:r/>
            <w:r>
              <w:rPr>
                <w:sz w:val="18"/>
              </w:rPr>
              <w:t>Low-moderate</w:t>
            </w:r>
          </w:p>
        </w:tc>
        <w:tc>
          <w:tcPr>
            <w:tcW w:type="dxa" w:w="1584"/>
          </w:tcPr>
          <w:p>
            <w:r/>
            <w:r>
              <w:rPr>
                <w:sz w:val="18"/>
              </w:rPr>
              <w:t>Moderate</w:t>
            </w:r>
          </w:p>
        </w:tc>
        <w:tc>
          <w:tcPr>
            <w:tcW w:type="dxa" w:w="3456"/>
          </w:tcPr>
          <w:p>
            <w:r/>
            <w:r>
              <w:rPr>
                <w:sz w:val="18"/>
              </w:rPr>
              <w:t>XPS-verify oxidation state after capping; consider graphene/GO overcoat as a second-line option if Au capping is insufficient</w:t>
            </w:r>
          </w:p>
        </w:tc>
      </w:tr>
      <w:tr>
        <w:tc>
          <w:tcPr>
            <w:tcW w:type="dxa" w:w="3600"/>
            <w:shd w:val="clear" w:fill="FBEEEC"/>
          </w:tcPr>
          <w:p>
            <w:r/>
            <w:r>
              <w:rPr>
                <w:sz w:val="18"/>
              </w:rPr>
              <w:t>Time/resource constraints (Masters timeline) do not allow completing all three biomarker arms to publication quality</w:t>
            </w:r>
          </w:p>
        </w:tc>
        <w:tc>
          <w:tcPr>
            <w:tcW w:type="dxa" w:w="1440"/>
            <w:shd w:val="clear" w:fill="FBEEEC"/>
          </w:tcPr>
          <w:p>
            <w:r/>
            <w:r>
              <w:rPr>
                <w:sz w:val="18"/>
              </w:rPr>
              <w:t>Moderate-high</w:t>
            </w:r>
          </w:p>
        </w:tc>
        <w:tc>
          <w:tcPr>
            <w:tcW w:type="dxa" w:w="1584"/>
            <w:shd w:val="clear" w:fill="FBEEEC"/>
          </w:tcPr>
          <w:p>
            <w:r/>
            <w:r>
              <w:rPr>
                <w:sz w:val="18"/>
              </w:rPr>
              <w:t>Moderate</w:t>
            </w:r>
          </w:p>
        </w:tc>
        <w:tc>
          <w:tcPr>
            <w:tcW w:type="dxa" w:w="3456"/>
            <w:shd w:val="clear" w:fill="FBEEEC"/>
          </w:tcPr>
          <w:p>
            <w:r/>
            <w:r>
              <w:rPr>
                <w:sz w:val="18"/>
              </w:rPr>
              <w:t>Explicitly sequence NAM first (already closest to ready), LPS second, LTA third/exploratory — consistent with the recommendation already made in the companion progress report</w:t>
            </w:r>
          </w:p>
        </w:tc>
      </w:tr>
      <w:tr>
        <w:tc>
          <w:tcPr>
            <w:tcW w:type="dxa" w:w="3600"/>
          </w:tcPr>
          <w:p>
            <w:r/>
            <w:r>
              <w:rPr>
                <w:sz w:val="18"/>
              </w:rPr>
              <w:t>A functionalized substrate introduces its own background Raman signal that complicates rather than clarifies interpretation</w:t>
            </w:r>
          </w:p>
        </w:tc>
        <w:tc>
          <w:tcPr>
            <w:tcW w:type="dxa" w:w="1440"/>
          </w:tcPr>
          <w:p>
            <w:r/>
            <w:r>
              <w:rPr>
                <w:sz w:val="18"/>
              </w:rPr>
              <w:t>Moderate</w:t>
            </w:r>
          </w:p>
        </w:tc>
        <w:tc>
          <w:tcPr>
            <w:tcW w:type="dxa" w:w="1584"/>
          </w:tcPr>
          <w:p>
            <w:r/>
            <w:r>
              <w:rPr>
                <w:sz w:val="18"/>
              </w:rPr>
              <w:t>Moderate</w:t>
            </w:r>
          </w:p>
        </w:tc>
        <w:tc>
          <w:tcPr>
            <w:tcW w:type="dxa" w:w="3456"/>
          </w:tcPr>
          <w:p>
            <w:r/>
            <w:r>
              <w:rPr>
                <w:sz w:val="18"/>
              </w:rPr>
              <w:t>Always include a functionalized-but-no-analyte control spectrum; prefer silent-region-reporter chemistries where available (boronic-acid-alkyne, nitrile-tagged variants)</w:t>
            </w:r>
          </w:p>
        </w:tc>
      </w:tr>
    </w:tbl>
    <w:p>
      <w:pPr>
        <w:spacing w:after="40"/>
      </w:pPr>
    </w:p>
    <w:p>
      <w:r>
        <w:br w:type="page"/>
      </w:r>
    </w:p>
    <w:p>
      <w:pPr>
        <w:pStyle w:val="Heading1"/>
      </w:pPr>
      <w:r>
        <w:t>16. Step-by-Step Experimental Roadmap</w:t>
      </w:r>
    </w:p>
    <w:p>
      <w:pPr>
        <w:pStyle w:val="Heading2"/>
      </w:pPr>
      <w:r>
        <w:t>Phase 1 — Immediate (next 2-4 weeks): diagnose before you optimise</w:t>
      </w:r>
    </w:p>
    <w:p>
      <w:pPr>
        <w:pStyle w:val="ListBullet"/>
        <w:spacing w:after="60"/>
      </w:pPr>
      <w:r>
        <w:t>SEM/AFM image the current substrate to determine actual silver morphology (aggregate/dendrite/sparse) and confirm nanostructure geometry.</w:t>
      </w:r>
    </w:p>
    <w:p>
      <w:pPr>
        <w:pStyle w:val="ListBullet"/>
        <w:spacing w:after="60"/>
      </w:pPr>
      <w:r>
        <w:t>XPS-check a freshly fabricated substrate vs. one that has sat for 24-48 hours to directly quantify the oxidation-driven signal-decay timeline for this specific substrate.</w:t>
      </w:r>
    </w:p>
    <w:p>
      <w:pPr>
        <w:pStyle w:val="ListBullet"/>
        <w:spacing w:after="60"/>
      </w:pPr>
      <w:r>
        <w:t>Measure %RSD across at least 3 independently fabricated substrates (same nominal condition) and across multiple spots on each, using R6G as the test analyte, to establish a fabrication-reproducibility baseline.</w:t>
      </w:r>
    </w:p>
    <w:p>
      <w:pPr>
        <w:pStyle w:val="ListBullet"/>
        <w:spacing w:after="60"/>
      </w:pPr>
      <w:r>
        <w:t>Measure true laser power at the sample in mW with a power meter, at each instrument setting routinely used.</w:t>
      </w:r>
    </w:p>
    <w:p>
      <w:pPr>
        <w:pStyle w:val="ListBullet"/>
        <w:spacing w:after="60"/>
      </w:pPr>
      <w:r>
        <w:t>Run a side-by-side control: bare (unfunctionalized) substrate vs. MPBA-functionalized substrate, both dosed with the same NAM concentration, same acquisition settings — this single experiment is the most direct test of this report's central hypothesis.</w:t>
      </w:r>
    </w:p>
    <w:p>
      <w:pPr>
        <w:pStyle w:val="Heading2"/>
      </w:pPr>
      <w:r>
        <w:t>Phase 2 — Medium-term optimisation (1-3 months)</w:t>
      </w:r>
    </w:p>
    <w:p>
      <w:pPr>
        <w:pStyle w:val="ListBullet"/>
        <w:spacing w:after="60"/>
      </w:pPr>
      <w:r>
        <w:t>If the Phase-1 control shows functionalization improves NAM signal: systematically optimise MPBA concentration, incubation time, and buffer pH (targeting the mildly alkaline range favourable for boronate-ester formation).</w:t>
      </w:r>
    </w:p>
    <w:p>
      <w:pPr>
        <w:pStyle w:val="ListBullet"/>
        <w:spacing w:after="60"/>
      </w:pPr>
      <w:r>
        <w:t>In parallel, implement the fabrication refinements from Section 8/10: a strip-and-regrow (or regulated-oxide) step for more uniform silver morphology, and a thin Au capping step for oxidation resistance; re-measure %RSD to confirm improvement.</w:t>
      </w:r>
    </w:p>
    <w:p>
      <w:pPr>
        <w:pStyle w:val="ListBullet"/>
        <w:spacing w:after="60"/>
      </w:pPr>
      <w:r>
        <w:t>Develop and test the LPS capture layer (cationic chitosan/cysteamine ± polymyxin B or anti-Lipid-A antibody), benchmarking against the Rusciano et al. (2023) 12 ng/mL LOD figure as a literature reference point.</w:t>
      </w:r>
    </w:p>
    <w:p>
      <w:pPr>
        <w:pStyle w:val="ListBullet"/>
        <w:spacing w:after="60"/>
      </w:pPr>
      <w:r>
        <w:t>Begin exploratory LTA capture-layer testing using the same cationic-layer approach as LPS, treating this arm as lower-priority/higher-risk.</w:t>
      </w:r>
    </w:p>
    <w:p>
      <w:pPr>
        <w:pStyle w:val="ListBullet"/>
        <w:spacing w:after="60"/>
      </w:pPr>
      <w:r>
        <w:t>Introduce Raman mapping as standard practice for every new condition, replacing single-point spectra.</w:t>
      </w:r>
    </w:p>
    <w:p>
      <w:pPr>
        <w:pStyle w:val="Heading2"/>
      </w:pPr>
      <w:r>
        <w:t>Phase 3 — Advanced validation (3-6 months)</w:t>
      </w:r>
    </w:p>
    <w:p>
      <w:pPr>
        <w:pStyle w:val="ListBullet"/>
        <w:spacing w:after="60"/>
      </w:pPr>
      <w:r>
        <w:t>Execute the already-designed serial-dilution concentration series (per the companion progress report: 1.0 mg/mL down to 10⁻⁴ mg/mL) for NAM on the finalised functionalized substrate to establish a limit of detection.</w:t>
      </w:r>
    </w:p>
    <w:p>
      <w:pPr>
        <w:pStyle w:val="ListBullet"/>
        <w:spacing w:after="60"/>
      </w:pPr>
      <w:r>
        <w:t>Calculate a true enhancement factor for at least NAM (ideally all three biomarkers) using a matched-concentration bulk Raman reference spectrum.</w:t>
      </w:r>
    </w:p>
    <w:p>
      <w:pPr>
        <w:pStyle w:val="ListBullet"/>
        <w:spacing w:after="60"/>
      </w:pPr>
      <w:r>
        <w:t>Run selectivity studies (NAM vs. other blood sugars/glycoproteins; LPS/LTA vs. each other and vs. Gram-opposite controls) and repeatability studies (same-day, multi-day).</w:t>
      </w:r>
    </w:p>
    <w:p>
      <w:pPr>
        <w:pStyle w:val="ListBullet"/>
        <w:spacing w:after="60"/>
      </w:pPr>
      <w:r>
        <w:t>Complete a stability/shelf-life study (signal vs. days-since-fabrication, with and without the Au capping layer) to directly quantify the benefit of the anti-oxidation step.</w:t>
      </w:r>
    </w:p>
    <w:p>
      <w:pPr>
        <w:pStyle w:val="Heading2"/>
      </w:pPr>
      <w:r>
        <w:t>Phase 4 — Sensor integration and clinical relevance</w:t>
      </w:r>
    </w:p>
    <w:p>
      <w:pPr>
        <w:pStyle w:val="ListBullet"/>
        <w:spacing w:after="60"/>
      </w:pPr>
      <w:r>
        <w:t>Integrate the validated NAM (and, if ready, LPS) detection protocol into a single, documented standard operating procedure covering fabrication → functionalization → sample deposition → acquisition → analysis.</w:t>
      </w:r>
    </w:p>
    <w:p>
      <w:pPr>
        <w:pStyle w:val="ListBullet"/>
        <w:spacing w:after="60"/>
      </w:pPr>
      <w:r>
        <w:t>Benchmark against a reference method (LAL assay for LPS; literature/ELISA comparators for NAM and LTA where available) on spiked buffer or serum samples.</w:t>
      </w:r>
    </w:p>
    <w:p>
      <w:pPr>
        <w:pStyle w:val="ListBullet"/>
        <w:spacing w:after="60"/>
      </w:pPr>
      <w:r>
        <w:t>Only once spiked-sample performance is characterised, connect to the project's already-drafted clinical sepsis biobank plan for real-sample testing.</w:t>
      </w:r>
    </w:p>
    <w:p>
      <w:pPr>
        <w:pStyle w:val="Heading2"/>
      </w:pPr>
      <w:r>
        <w:t>Phase 5 — Manuscript preparation</w:t>
      </w:r>
    </w:p>
    <w:p>
      <w:pPr>
        <w:pStyle w:val="ListBullet"/>
        <w:spacing w:after="60"/>
      </w:pPr>
      <w:r>
        <w:t>NAM: close the specific gaps already identified in the companion progress report (lot number, measured laser power, matched blanks, GaussView mode verification, expanded references) and add the new functionalization/EF/LOD/selectivity data from Phases 1-3 as a second, sensor-focused manuscript or an extended version of the existing DFT-focused draft.</w:t>
      </w:r>
    </w:p>
    <w:p>
      <w:pPr>
        <w:pStyle w:val="ListBullet"/>
        <w:spacing w:after="60"/>
      </w:pPr>
      <w:r>
        <w:t>LPS: prepare once the capture-layer LOD and reproducibility data exist; benchmark explicitly against Rusciano et al. (2023).</w:t>
      </w:r>
    </w:p>
    <w:p>
      <w:pPr>
        <w:pStyle w:val="ListBullet"/>
        <w:spacing w:after="60"/>
      </w:pPr>
      <w:r>
        <w:t>LTA: hold for a later manuscript, or present as a preliminary/exploratory result within the broader NAM+LPS paper, given its currently thinner literature and internal evidence base.</w:t>
      </w:r>
    </w:p>
    <w:p>
      <w:r>
        <w:br w:type="page"/>
      </w:r>
    </w:p>
    <w:p>
      <w:pPr>
        <w:pStyle w:val="Heading1"/>
      </w:pPr>
      <w:r>
        <w:t>17. Decision Tree for Troubleshooting</w:t>
      </w:r>
    </w:p>
    <w:p>
      <w:pPr>
        <w:spacing w:after="120"/>
      </w:pPr>
      <w:r>
        <w:rPr>
          <w:b w:val="0"/>
          <w:i w:val="0"/>
        </w:rPr>
        <w:t>This section is written as a literal if/then sequence for use at the bench.</w:t>
      </w:r>
    </w:p>
    <w:p>
      <w:pPr>
        <w:pStyle w:val="ListBullet"/>
        <w:spacing w:after="60"/>
      </w:pPr>
      <w:r>
        <w:rPr>
          <w:b/>
        </w:rPr>
        <w:t xml:space="preserve">Step 1 — Run the bare-vs-functionalized control (Phase 1). </w:t>
      </w:r>
      <w:r>
        <w:t>If functionalized signal ≫ bare signal → the core hypothesis of this report is confirmed; proceed to Phase 2 optimisation. If both are weak and similar → the problem is more likely fabrication/instrumental than chemistry; go to Step 2 before revisiting functionalization.</w:t>
      </w:r>
    </w:p>
    <w:p>
      <w:pPr>
        <w:pStyle w:val="ListBullet"/>
        <w:spacing w:after="60"/>
      </w:pPr>
      <w:r>
        <w:rPr>
          <w:b/>
        </w:rPr>
        <w:t xml:space="preserve">Step 2 — Check R6G signal on the same substrate batch used for Step 1. </w:t>
      </w:r>
      <w:r>
        <w:t>If R6G signal is also weak/degraded on this batch → suspect fabrication reproducibility or silver oxidation (re-run %RSD/XPS diagnostics from Phase 1) rather than a biomarker-specific chemistry problem. If R6G signal is strong and reproducible on the same batch → the substrate itself is confirmed fine, reinforcing that the issue is specific to the biomarker/chemistry, supporting Step 1's functionalization-focused interpretation.</w:t>
      </w:r>
    </w:p>
    <w:p>
      <w:pPr>
        <w:pStyle w:val="ListBullet"/>
        <w:spacing w:after="60"/>
      </w:pPr>
      <w:r>
        <w:rPr>
          <w:b/>
        </w:rPr>
        <w:t xml:space="preserve">Step 3 — If functionalized signal appears but is inconsistent spot-to-spot. </w:t>
      </w:r>
      <w:r>
        <w:t>Run a Raman map (not single points) to check whether hotspots are present but sparse (→ increase hotspot density per Section 10/8) versus genuinely absent across the whole mapped area (→ revisit fabrication morphology via SEM).</w:t>
      </w:r>
    </w:p>
    <w:p>
      <w:pPr>
        <w:pStyle w:val="ListBullet"/>
        <w:spacing w:after="60"/>
      </w:pPr>
      <w:r>
        <w:rPr>
          <w:b/>
        </w:rPr>
        <w:t xml:space="preserve">Step 4 — If functionalized signal appears but shows unexpected extra bands. </w:t>
      </w:r>
      <w:r>
        <w:t>Compare against a functionalized-but-no-analyte control spectrum; if the extra bands match the functionalization-layer chemistry itself (e.g. MPBA's own aromatic ring modes) rather than NAM, consider switching to the alkyne/nitrile-tagged silent-region reporter variant to cleanly separate the two.</w:t>
      </w:r>
    </w:p>
    <w:p>
      <w:pPr>
        <w:pStyle w:val="ListBullet"/>
        <w:spacing w:after="60"/>
      </w:pPr>
      <w:r>
        <w:rPr>
          <w:b/>
        </w:rPr>
        <w:t xml:space="preserve">Step 5 — If signal is present and clean but weak/near the noise floor. </w:t>
      </w:r>
      <w:r>
        <w:t>Systematically vary analyte concentration and incubation time before concluding sensitivity is fundamentally limited — per Section 7 rank 4-5, these are common, fixable secondary causes, not yet tested.</w:t>
      </w:r>
    </w:p>
    <w:p>
      <w:pPr>
        <w:pStyle w:val="ListBullet"/>
        <w:spacing w:after="60"/>
      </w:pPr>
      <w:r>
        <w:rPr>
          <w:b/>
        </w:rPr>
        <w:t xml:space="preserve">Step 6 — If signal degrades measurement-to-measurement on the same spot. </w:t>
      </w:r>
      <w:r>
        <w:t>Suspect either laser-induced photodamage (reduce power/integration time, consistent with the laser-damage thresholds already established for NAM powder in the project's own data) or continued oxidation during the measurement session (minimise elapsed time between fabrication/functionalization and measurement).</w:t>
      </w:r>
    </w:p>
    <w:p>
      <w:pPr>
        <w:pStyle w:val="ListBullet"/>
        <w:spacing w:after="60"/>
      </w:pPr>
      <w:r>
        <w:rPr>
          <w:b/>
        </w:rPr>
        <w:t xml:space="preserve">Step 7 — If, after all of the above, NAM specifically still fails while LPS/LTA (cationic-layer) succeed. </w:t>
      </w:r>
      <w:r>
        <w:t>Revisit the boronic-acid chemistry specifically: confirm functionalization actually occurred (contact angle or FTIR check, Section 13) before concluding the strategy itself is wrong — a failed functionalization step, not a failed strategy, is the more probable explanation given the strength of the literature support for boronic-acid diol capture.</w:t>
      </w:r>
    </w:p>
    <w:p>
      <w:r>
        <w:br w:type="page"/>
      </w:r>
    </w:p>
    <w:p>
      <w:pPr>
        <w:pStyle w:val="Heading1"/>
      </w:pPr>
      <w:r>
        <w:t>18. Future Research Directions</w:t>
      </w:r>
    </w:p>
    <w:p>
      <w:pPr>
        <w:pStyle w:val="ListBullet"/>
        <w:spacing w:after="60"/>
      </w:pPr>
      <w:r>
        <w:rPr>
          <w:b/>
        </w:rPr>
        <w:t xml:space="preserve">A dedicated NAM-SERS methodology paper. </w:t>
      </w:r>
      <w:r>
        <w:t>No published SERS or Raman method for free NAM/muramic acid detection was found anywhere in this literature review — a validated boronic-acid-functionalized NAM SERS assay would be a genuinely novel contribution, not an incremental one, and is well within reach of the current project's resources.</w:t>
      </w:r>
    </w:p>
    <w:p>
      <w:pPr>
        <w:pStyle w:val="ListBullet"/>
        <w:spacing w:after="60"/>
      </w:pPr>
      <w:r>
        <w:rPr>
          <w:b/>
        </w:rPr>
        <w:t xml:space="preserve">Machine-learning-assisted peak interpretation, following the precedent already reviewed for glycan/boronic-acid SERS. </w:t>
      </w:r>
      <w:r>
        <w:t>Recent work (2023-2024) combining boronic-acid SERS with machine learning achieved &gt;99% classification accuracy distinguishing closely related sugars — directly applicable to distinguishing NAM from structurally similar background sugars in serum, and a natural extension of the project's existing computational skill base (Gaussian/Python).</w:t>
      </w:r>
    </w:p>
    <w:p>
      <w:pPr>
        <w:pStyle w:val="ListBullet"/>
        <w:spacing w:after="60"/>
      </w:pPr>
      <w:r>
        <w:rPr>
          <w:b/>
        </w:rPr>
        <w:t xml:space="preserve">A dedicated quantitative LTA-SERS biosensor. </w:t>
      </w:r>
      <w:r>
        <w:t>This review found no existing quantitative LTA-SERS assay with a stated LOD in the literature — closing this gap, even modestly, would be a distinct, publishable contribution alongside the core NAM/LPS work.</w:t>
      </w:r>
    </w:p>
    <w:p>
      <w:pPr>
        <w:pStyle w:val="ListBullet"/>
        <w:spacing w:after="60"/>
      </w:pPr>
      <w:r>
        <w:rPr>
          <w:b/>
        </w:rPr>
        <w:t xml:space="preserve">Extending the boronic-acid strategy toward a true multiplexed Gram-classification readout. </w:t>
      </w:r>
      <w:r>
        <w:t>Combining a NAM channel (boronic acid, pan-bacterial) with LPS and LTA channels (cationic/antibody capture, Gram-specific) on a single substrate, read out either spatially (patterned functionalization zones) or spectrally (distinct silent-region reporter tags per channel), would directly realise the project's original stated objective of single-test Gram-class discrimination.</w:t>
      </w:r>
    </w:p>
    <w:p>
      <w:pPr>
        <w:pStyle w:val="ListBullet"/>
        <w:spacing w:after="60"/>
      </w:pPr>
      <w:r>
        <w:rPr>
          <w:b/>
        </w:rPr>
        <w:t xml:space="preserve">A microfluidic or paper-based point-of-care format as a longer-term follow-on. </w:t>
      </w:r>
      <w:r>
        <w:t>Once the core functionalization chemistry is validated on the current rigid substrate, porting it to a paper-based or microfluidic format (both independently precedented in the literature reviewed, including a sepsis-specific microfluidic nanopillar biosensor) would move the project toward its original point-of-care ambition.</w:t>
      </w:r>
    </w:p>
    <w:p>
      <w:r>
        <w:br w:type="page"/>
      </w:r>
    </w:p>
    <w:p>
      <w:pPr>
        <w:pStyle w:val="Heading1"/>
      </w:pPr>
      <w:r>
        <w:t>19. Journal Publication Strategy</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312"/>
            <w:shd w:val="clear" w:fill="B03A2E"/>
          </w:tcPr>
          <w:p>
            <w:r/>
            <w:r>
              <w:rPr>
                <w:b/>
                <w:color w:val="FFFFFF"/>
                <w:sz w:val="19"/>
              </w:rPr>
              <w:t>Manuscript</w:t>
            </w:r>
          </w:p>
        </w:tc>
        <w:tc>
          <w:tcPr>
            <w:tcW w:type="dxa" w:w="2880"/>
            <w:shd w:val="clear" w:fill="B03A2E"/>
          </w:tcPr>
          <w:p>
            <w:r/>
            <w:r>
              <w:rPr>
                <w:b/>
                <w:color w:val="FFFFFF"/>
                <w:sz w:val="19"/>
              </w:rPr>
              <w:t>Readiness</w:t>
            </w:r>
          </w:p>
        </w:tc>
        <w:tc>
          <w:tcPr>
            <w:tcW w:type="dxa" w:w="3312"/>
            <w:shd w:val="clear" w:fill="B03A2E"/>
          </w:tcPr>
          <w:p>
            <w:r/>
            <w:r>
              <w:rPr>
                <w:b/>
                <w:color w:val="FFFFFF"/>
                <w:sz w:val="19"/>
              </w:rPr>
              <w:t>Suggested target journals</w:t>
            </w:r>
          </w:p>
        </w:tc>
      </w:tr>
      <w:tr>
        <w:tc>
          <w:tcPr>
            <w:tcW w:type="dxa" w:w="3312"/>
          </w:tcPr>
          <w:p>
            <w:r/>
            <w:r>
              <w:rPr>
                <w:sz w:val="18"/>
              </w:rPr>
              <w:t>NAM DFT + experimental Raman characterisation (existing draft)</w:t>
            </w:r>
          </w:p>
        </w:tc>
        <w:tc>
          <w:tcPr>
            <w:tcW w:type="dxa" w:w="2880"/>
          </w:tcPr>
          <w:p>
            <w:r/>
            <w:r>
              <w:rPr>
                <w:sz w:val="18"/>
              </w:rPr>
              <w:t>Close — small, specific gaps identified in the companion progress report</w:t>
            </w:r>
          </w:p>
        </w:tc>
        <w:tc>
          <w:tcPr>
            <w:tcW w:type="dxa" w:w="3312"/>
          </w:tcPr>
          <w:p>
            <w:r/>
            <w:r>
              <w:rPr>
                <w:sz w:val="18"/>
              </w:rPr>
              <w:t>Spectrochimica Acta Part A (already the internally stated target); Journal of Raman Spectroscopy; Vibrational Spectroscopy</w:t>
            </w:r>
          </w:p>
        </w:tc>
      </w:tr>
      <w:tr>
        <w:tc>
          <w:tcPr>
            <w:tcW w:type="dxa" w:w="3312"/>
            <w:shd w:val="clear" w:fill="FBEEEC"/>
          </w:tcPr>
          <w:p>
            <w:r/>
            <w:r>
              <w:rPr>
                <w:sz w:val="18"/>
              </w:rPr>
              <w:t>Novel boronic-acid-functionalized SERS biosensor for NAM (new work, following this roadmap)</w:t>
            </w:r>
          </w:p>
        </w:tc>
        <w:tc>
          <w:tcPr>
            <w:tcW w:type="dxa" w:w="2880"/>
            <w:shd w:val="clear" w:fill="FBEEEC"/>
          </w:tcPr>
          <w:p>
            <w:r/>
            <w:r>
              <w:rPr>
                <w:sz w:val="18"/>
              </w:rPr>
              <w:t>Requires Phases 1-3 of the roadmap (Section 16) to be completed first</w:t>
            </w:r>
          </w:p>
        </w:tc>
        <w:tc>
          <w:tcPr>
            <w:tcW w:type="dxa" w:w="3312"/>
            <w:shd w:val="clear" w:fill="FBEEEC"/>
          </w:tcPr>
          <w:p>
            <w:r/>
            <w:r>
              <w:rPr>
                <w:sz w:val="18"/>
              </w:rPr>
              <w:t>Biosensors and Bioelectronics; Analytical Chemistry; Sensors and Actuators B: Chemical; ACS Sensors</w:t>
            </w:r>
          </w:p>
        </w:tc>
      </w:tr>
      <w:tr>
        <w:tc>
          <w:tcPr>
            <w:tcW w:type="dxa" w:w="3312"/>
          </w:tcPr>
          <w:p>
            <w:r/>
            <w:r>
              <w:rPr>
                <w:sz w:val="18"/>
              </w:rPr>
              <w:t>SERS substrate fabrication + characterisation + R6G/EF benchmarking (methods paper)</w:t>
            </w:r>
          </w:p>
        </w:tc>
        <w:tc>
          <w:tcPr>
            <w:tcW w:type="dxa" w:w="2880"/>
          </w:tcPr>
          <w:p>
            <w:r/>
            <w:r>
              <w:rPr>
                <w:sz w:val="18"/>
              </w:rPr>
              <w:t>Requires the SEM/AFM/EDS/XPS characterisation and EF calculation from Sections 13/16 to be completed</w:t>
            </w:r>
          </w:p>
        </w:tc>
        <w:tc>
          <w:tcPr>
            <w:tcW w:type="dxa" w:w="3312"/>
          </w:tcPr>
          <w:p>
            <w:r/>
            <w:r>
              <w:rPr>
                <w:sz w:val="18"/>
              </w:rPr>
              <w:t>Journal of Raman Spectroscopy; Analytical and Bioanalytical Chemistry; ACS Applied Nano Materials</w:t>
            </w:r>
          </w:p>
        </w:tc>
      </w:tr>
      <w:tr>
        <w:tc>
          <w:tcPr>
            <w:tcW w:type="dxa" w:w="3312"/>
            <w:shd w:val="clear" w:fill="FBEEEC"/>
          </w:tcPr>
          <w:p>
            <w:r/>
            <w:r>
              <w:rPr>
                <w:sz w:val="18"/>
              </w:rPr>
              <w:t>LPS SERS detection with capture-layer functionalization</w:t>
            </w:r>
          </w:p>
        </w:tc>
        <w:tc>
          <w:tcPr>
            <w:tcW w:type="dxa" w:w="2880"/>
            <w:shd w:val="clear" w:fill="FBEEEC"/>
          </w:tcPr>
          <w:p>
            <w:r/>
            <w:r>
              <w:rPr>
                <w:sz w:val="18"/>
              </w:rPr>
              <w:t>Requires Phase 2-3 roadmap completion</w:t>
            </w:r>
          </w:p>
        </w:tc>
        <w:tc>
          <w:tcPr>
            <w:tcW w:type="dxa" w:w="3312"/>
            <w:shd w:val="clear" w:fill="FBEEEC"/>
          </w:tcPr>
          <w:p>
            <w:r/>
            <w:r>
              <w:rPr>
                <w:sz w:val="18"/>
              </w:rPr>
              <w:t>Biosensors (MDPI); Sensors and Actuators B: Chemical; Analytica Chimica Acta</w:t>
            </w:r>
          </w:p>
        </w:tc>
      </w:tr>
      <w:tr>
        <w:tc>
          <w:tcPr>
            <w:tcW w:type="dxa" w:w="3312"/>
          </w:tcPr>
          <w:p>
            <w:r/>
            <w:r>
              <w:rPr>
                <w:sz w:val="18"/>
              </w:rPr>
              <w:t>Full multiplexed NAM/LPS/(LTA) Gram-classification biosensor platform</w:t>
            </w:r>
          </w:p>
        </w:tc>
        <w:tc>
          <w:tcPr>
            <w:tcW w:type="dxa" w:w="2880"/>
          </w:tcPr>
          <w:p>
            <w:r/>
            <w:r>
              <w:rPr>
                <w:sz w:val="18"/>
              </w:rPr>
              <w:t>Longer-term — requires all three arms validated plus ideally spiked-serum or early clinical-sample data</w:t>
            </w:r>
          </w:p>
        </w:tc>
        <w:tc>
          <w:tcPr>
            <w:tcW w:type="dxa" w:w="3312"/>
          </w:tcPr>
          <w:p>
            <w:r/>
            <w:r>
              <w:rPr>
                <w:sz w:val="18"/>
              </w:rPr>
              <w:t>ACS Nano; Small; Biosensors and Bioelectronics; Advanced Science (direct precedent: Kim et al. 2025, a closely comparable sepsis-biomarker SERS platform, published here)</w:t>
            </w:r>
          </w:p>
        </w:tc>
      </w:tr>
    </w:tbl>
    <w:p>
      <w:pPr>
        <w:spacing w:after="40"/>
      </w:pPr>
    </w:p>
    <w:p>
      <w:pPr>
        <w:spacing w:after="160"/>
        <w:ind w:left="360"/>
      </w:pPr>
      <w:r>
        <w:rPr>
          <w:i/>
          <w:color w:val="555555"/>
          <w:sz w:val="19"/>
        </w:rPr>
        <w:t>The journals named above (ACS Nano, Biosensors and Bioelectronics, Analytical Chemistry, Sensors and Actuators B, Small) were specified as review-panel affiliations in the originating prompt and are retained here as realistic aspirational targets for the fully-developed multiplexed platform; the nearer-term manuscripts are more realistically scoped to the journals listed alongside them.</w:t>
      </w:r>
    </w:p>
    <w:p>
      <w:r>
        <w:br w:type="page"/>
      </w:r>
    </w:p>
    <w:p>
      <w:pPr>
        <w:pStyle w:val="Heading1"/>
      </w:pPr>
      <w:r>
        <w:t>20. Complete Reference List</w:t>
      </w:r>
    </w:p>
    <w:p>
      <w:pPr>
        <w:spacing w:after="120"/>
      </w:pPr>
      <w:r>
        <w:rPr>
          <w:b w:val="0"/>
          <w:i w:val="0"/>
        </w:rPr>
        <w:t>Compiled from the literature search conducted for this review. All entries were retrieved via live search/fetch; where full text could not be verified (noted inline in the research briefings this report is based on), bibliographic details reflect the best available search-engine metadata and should be independently confirmed before formal citation.</w:t>
      </w:r>
    </w:p>
    <w:p>
      <w:pPr>
        <w:pStyle w:val="Heading2"/>
      </w:pPr>
      <w:r>
        <w:t>Carbohydrate / NAM / peptidoglycan SERS and mechanism</w:t>
      </w:r>
    </w:p>
    <w:p>
      <w:pPr>
        <w:pStyle w:val="ListNumber"/>
        <w:spacing w:after="60"/>
      </w:pPr>
      <w:r>
        <w:t>Kochylas, I.; Gardelis, S.; Likodimos, V.; Giannakopoulos, K.; Falaras, P.; Nassiopoulou, A.G. "Improved Surface-Enhanced-Raman Scattering Sensitivity Using Si Nanowires/Silver Nanostructures by a Single Step Metal-Assisted Chemical Etching." Nanomaterials 11(7):1760 (2021). DOI:10.3390/nano11071760.</w:t>
      </w:r>
    </w:p>
    <w:p>
      <w:pPr>
        <w:pStyle w:val="ListNumber"/>
        <w:spacing w:after="60"/>
      </w:pPr>
      <w:r>
        <w:t>Golubewa, L. et al. "Black Silicon Surface-Enhanced Raman Spectroscopy Biosensors: Current Advances and Prospects." Biosensors 14(10):453 (2024). DOI:10.3390/bios14100453.</w:t>
      </w:r>
    </w:p>
    <w:p>
      <w:pPr>
        <w:pStyle w:val="ListNumber"/>
        <w:spacing w:after="60"/>
      </w:pPr>
      <w:r>
        <w:t>Differentiation of bacteria cell wall using Raman scattering enhanced by nanoparticle array (silver-nanorod GLAD substrate; vancomycin-functionalized variant). PubMed 22905567.</w:t>
      </w:r>
    </w:p>
    <w:p>
      <w:pPr>
        <w:pStyle w:val="ListNumber"/>
        <w:spacing w:after="60"/>
      </w:pPr>
      <w:r>
        <w:t>"Glucose detection through surface-enhanced Raman spectroscopy: A review." Analytica Chimica Acta (2022). ScienceDirect S0003267021010527.</w:t>
      </w:r>
    </w:p>
    <w:p>
      <w:pPr>
        <w:pStyle w:val="ListNumber"/>
        <w:spacing w:after="60"/>
      </w:pPr>
      <w:r>
        <w:t>"SERS Theory: The Chemical Effect of Rhodamine 6G Adsorption on Silver Surfaces." OSTI 1594829.</w:t>
      </w:r>
    </w:p>
    <w:p>
      <w:pPr>
        <w:pStyle w:val="ListNumber"/>
        <w:spacing w:after="60"/>
      </w:pPr>
      <w:r>
        <w:t>Quantification of Resonance Raman Enhancement Factors for Rhodamine 6G. Journal of Physical Chemistry C. DOI:10.1021/jp4105932.</w:t>
      </w:r>
    </w:p>
    <w:p>
      <w:pPr>
        <w:pStyle w:val="ListNumber"/>
        <w:spacing w:after="60"/>
      </w:pPr>
      <w:r>
        <w:t>"Probing the electromagnetic field of a 15-nanometre hotspot by single-molecule imaging." Nature (2010). DOI in article; nature.com/articles/nature09698.</w:t>
      </w:r>
    </w:p>
    <w:p>
      <w:pPr>
        <w:pStyle w:val="ListNumber"/>
        <w:spacing w:after="60"/>
      </w:pPr>
      <w:r>
        <w:t>Hu, Q.; Kuai, D.; Park, H.; Clark, H.; Balbuena, P.B.; Kwon, J.S.; Wu, H.-J. "Advancing Glycan Analysis: A New Platform Integrating SERS, Boronic Acids, and Machine Learning Algorithms." Advanced Sensor Research (2023).</w:t>
      </w:r>
    </w:p>
    <w:p>
      <w:pPr>
        <w:pStyle w:val="ListNumber"/>
        <w:spacing w:after="60"/>
      </w:pPr>
      <w:r>
        <w:t>"Direct Glycan Analysis via Machine-Learning-Driven SERS + Boronic Acid Arrays." ACS Measurement Science Au (2024). DOI:10.1021/acsmeasuresciau.4c00014.</w:t>
      </w:r>
    </w:p>
    <w:p>
      <w:pPr>
        <w:pStyle w:val="ListNumber"/>
        <w:spacing w:after="60"/>
      </w:pPr>
      <w:r>
        <w:t>"Sensitive SERS glucose sensing in biological media using alkyne functionalized boronic acid on planar substrates." PubMed 24487255.</w:t>
      </w:r>
    </w:p>
    <w:p>
      <w:pPr>
        <w:pStyle w:val="ListNumber"/>
        <w:spacing w:after="60"/>
      </w:pPr>
      <w:r>
        <w:t>Si, Y. et al. "Ag@AuNP-Functionalized Capillary-Based SERS Sensing Platform" for glucose in urine. Molecules (2023). PMC10745321.</w:t>
      </w:r>
    </w:p>
    <w:p>
      <w:pPr>
        <w:pStyle w:val="ListNumber"/>
        <w:spacing w:after="60"/>
      </w:pPr>
      <w:r>
        <w:t>"Glucose Detection of 4-MPBA-Immobilized Gold-Silver Core-Shell Assembled Silica Nanostructure." PMC8068217.</w:t>
      </w:r>
    </w:p>
    <w:p>
      <w:pPr>
        <w:pStyle w:val="ListNumber"/>
        <w:spacing w:after="60"/>
      </w:pPr>
      <w:r>
        <w:t>Akter, R.; Kim, T.; Choi, J.S.; Kim, H. "A New Chitosan-Modified Paper-Based SERS Glucose Sensor." Biosensors 15(3):153 (2025). DOI:10.3390/bios15030153.</w:t>
      </w:r>
    </w:p>
    <w:p>
      <w:pPr>
        <w:pStyle w:val="ListNumber"/>
        <w:spacing w:after="60"/>
      </w:pPr>
      <w:r>
        <w:t>"Development of a Tri-Functional Nanoprobe for Background-Free SERS Detection of Sialic Acid." Chemosensors 9(5):92 (2021). DOI:10.3390/chemosensors9050092.</w:t>
      </w:r>
    </w:p>
    <w:p>
      <w:pPr>
        <w:pStyle w:val="ListNumber"/>
        <w:spacing w:after="60"/>
      </w:pPr>
      <w:r>
        <w:t>"High-sensitivity biosensor based on SERS integrated with dendrimer-assisted boronic acid-functionalized magnetic nanoparticles for IL-6 detection." PubMed 37080182 (2023).</w:t>
      </w:r>
    </w:p>
    <w:p>
      <w:pPr>
        <w:pStyle w:val="ListNumber"/>
        <w:spacing w:after="60"/>
      </w:pPr>
      <w:r>
        <w:t>Retraction notice: "Bisboronic Acids for Selective, Physiologically Relevant Direct Glucose Sensing with SERS." Journal of the American Chemical Society (2024 retraction of 2016 paper). DOI:10.1021/jacs.4c11001.</w:t>
      </w:r>
    </w:p>
    <w:p>
      <w:pPr>
        <w:pStyle w:val="ListNumber"/>
        <w:spacing w:after="60"/>
      </w:pPr>
      <w:r>
        <w:t>Kim et al. "3D Plasmonic Bimetallic Nanopillar SERS Biosensor for Sepsis Staging." Advanced Science (2025). DOI:10.1002/advs.202414688.</w:t>
      </w:r>
    </w:p>
    <w:p>
      <w:pPr>
        <w:pStyle w:val="ListNumber"/>
        <w:spacing w:after="60"/>
      </w:pPr>
      <w:r>
        <w:t>Atta, S.; Vo-Dinh, T. "Solution-Based SERS Detection of Pyocyanin with Gold Nanostars." Analytical Chemistry (2023). DOI:10.1021/acs.analchem.2c03210.</w:t>
      </w:r>
    </w:p>
    <w:p>
      <w:pPr>
        <w:pStyle w:val="ListNumber"/>
        <w:spacing w:after="60"/>
      </w:pPr>
      <w:r>
        <w:t>"Recent Advances in Bacterial Detection Using Surface-Enhanced Raman Scattering." Biosensors (2024). DOI:10.3390/bios14080375.</w:t>
      </w:r>
    </w:p>
    <w:p>
      <w:pPr>
        <w:pStyle w:val="ListNumber"/>
        <w:spacing w:after="60"/>
      </w:pPr>
      <w:r>
        <w:t>"Boronic acid-assisted detection of bacterial pathogens: Applications and perspectives." Carbohydrate Research (2024). ScienceDirect S0010854524004284.</w:t>
      </w:r>
    </w:p>
    <w:p>
      <w:pPr>
        <w:pStyle w:val="ListNumber"/>
        <w:spacing w:after="60"/>
      </w:pPr>
      <w:r>
        <w:t>CRISPR/Cas12a + boronic ester + LPS aptamer dual-recognition assay. Analytical Chemistry (2022). PubMed 36040369.</w:t>
      </w:r>
    </w:p>
    <w:p>
      <w:pPr>
        <w:pStyle w:val="Heading2"/>
      </w:pPr>
      <w:r>
        <w:t>LPS / LTA SERS and black-silicon / MACE fabrication</w:t>
      </w:r>
    </w:p>
    <w:p>
      <w:pPr>
        <w:pStyle w:val="ListNumber"/>
        <w:spacing w:after="60"/>
      </w:pPr>
      <w:r>
        <w:t>Rusciano, G.; Capaccio, A.; Sasso, A.; Capo, C.; Murillo Almuzara, C.; Staiano, M.; D'Auria, S.; Varriale, A. "A Surface-Enhanced Raman Spectroscopy-Based Biosensor for the Detection of Biological Macromolecules: The Case of the Lipopolysaccharide Endotoxin Molecules." International Journal of Molecular Sciences 24(15):12099 (2023). DOI:10.3390/ijms241512099.</w:t>
      </w:r>
    </w:p>
    <w:p>
      <w:pPr>
        <w:pStyle w:val="ListNumber"/>
        <w:spacing w:after="60"/>
      </w:pPr>
      <w:r>
        <w:t>"SERS Sensing of Bacterial Endotoxin on Gold Nanoparticles." PMC8530015.</w:t>
      </w:r>
    </w:p>
    <w:p>
      <w:pPr>
        <w:pStyle w:val="ListNumber"/>
        <w:spacing w:after="60"/>
      </w:pPr>
      <w:r>
        <w:t>"Ultrasensitive and label-free detection of prognostic/diagnostic biomarkers of sepsis on a AgNP-laden black phosphorus SERS platform." ScienceDirect S2635099823001577 (~2022).</w:t>
      </w:r>
    </w:p>
    <w:p>
      <w:pPr>
        <w:pStyle w:val="ListNumber"/>
        <w:spacing w:after="60"/>
      </w:pPr>
      <w:r>
        <w:t>Yang, D.; Xu, S.; Haverstick, J.; Ibtehaz, N.; Muszyński, A.; Chen, X.; Chowdhury, R.; Zughaier, S.M.; Zhao, Y. "Differentiation and classification of bacterial endotoxins based on surface enhanced Raman scattering and advanced machine learning." Nanoscale 14(24):8806-8817 (2022). DOI:10.1039/d2nr01277d.</w:t>
      </w:r>
    </w:p>
    <w:p>
      <w:pPr>
        <w:pStyle w:val="ListNumber"/>
        <w:spacing w:after="60"/>
      </w:pPr>
      <w:r>
        <w:t>"DeepRaman: Implementing SERS with cutting-edge machine learning for differentiation/classification of bacterial endotoxins." ScienceDirect S2405844025009302 / PMC11870271.</w:t>
      </w:r>
    </w:p>
    <w:p>
      <w:pPr>
        <w:pStyle w:val="ListNumber"/>
        <w:spacing w:after="60"/>
      </w:pPr>
      <w:r>
        <w:t>"Effect of AgNO3 concentration on structure of aligned silicon nanowire arrays fabricated via silver-assisted chemical etching."</w:t>
      </w:r>
    </w:p>
    <w:p>
      <w:pPr>
        <w:pStyle w:val="ListNumber"/>
        <w:spacing w:after="60"/>
      </w:pPr>
      <w:r>
        <w:t>"Fabrication of silver-coated silicon nanowire arrays for SERS by galvanic displacement processes." Applied Surface Science. ScienceDirect S0169433209012318.</w:t>
      </w:r>
    </w:p>
    <w:p>
      <w:pPr>
        <w:pStyle w:val="ListNumber"/>
        <w:spacing w:after="60"/>
      </w:pPr>
      <w:r>
        <w:t>"Innovative polydopamine-modified black silicon/Ag substrates for sensitive SERS detection." Sensors and Actuators B (2025). ScienceDirect S1369800125000861.</w:t>
      </w:r>
    </w:p>
    <w:p>
      <w:pPr>
        <w:pStyle w:val="ListNumber"/>
        <w:spacing w:after="60"/>
      </w:pPr>
      <w:r>
        <w:t>Matikainen, A.; Vahimaa, P. et al. "Atmospheric oxidation and carbon contamination of silver and its effect on SERS." Scientific Reports 6:37192 (2016). DOI:10.1038/srep37192.</w:t>
      </w:r>
    </w:p>
    <w:p>
      <w:pPr>
        <w:pStyle w:val="ListNumber"/>
        <w:spacing w:after="60"/>
      </w:pPr>
      <w:r>
        <w:t>"Compact Shielding of Graphene Monolayer Leads to Extraordinary SERS-Active Substrate with Large-Area Uniformity and Long-Term Stability." Scientific Reports 5:17167.</w:t>
      </w:r>
    </w:p>
    <w:p>
      <w:pPr>
        <w:pStyle w:val="ListNumber"/>
        <w:spacing w:after="60"/>
      </w:pPr>
      <w:r>
        <w:t>"Chemical Stability of Graphene Coated Silver Substrates for SERS." Scientific Reports. DOI:10.1038/s41598-017-14782-2.</w:t>
      </w:r>
    </w:p>
    <w:p>
      <w:pPr>
        <w:pStyle w:val="ListNumber"/>
        <w:spacing w:after="60"/>
      </w:pPr>
      <w:r>
        <w:t>"Gold-Coated Silver Dendrites as SERS Substrates with an Improved Lifetime." Langmuir. DOI:10.1021/la303421s.</w:t>
      </w:r>
    </w:p>
    <w:p>
      <w:pPr>
        <w:pStyle w:val="ListNumber"/>
        <w:spacing w:after="60"/>
      </w:pPr>
      <w:r>
        <w:t>Regulated-oxide-layer galvanic Ag/Si deposition for improved reproducibility. CrystEngComm. DOI reference c6ce02212j.</w:t>
      </w:r>
    </w:p>
    <w:p>
      <w:pPr>
        <w:pStyle w:val="Heading2"/>
      </w:pPr>
      <w:r>
        <w:t>Nanoparticle / substrate architecture optimisation</w:t>
      </w:r>
    </w:p>
    <w:p>
      <w:pPr>
        <w:pStyle w:val="ListNumber"/>
        <w:spacing w:after="60"/>
      </w:pPr>
      <w:r>
        <w:t>"Surface-enhanced Raman spectroscopy for chemical analysis" (interparticle spacing and surface morphology review). Applied Physics Reviews 7(3):031307.</w:t>
      </w:r>
    </w:p>
    <w:p>
      <w:pPr>
        <w:pStyle w:val="ListNumber"/>
        <w:spacing w:after="60"/>
      </w:pPr>
      <w:r>
        <w:t>"Characterization of Hotspots in a Highly Enhancing SERS Substrate." PMC3197236.</w:t>
      </w:r>
    </w:p>
    <w:p>
      <w:pPr>
        <w:pStyle w:val="ListNumber"/>
        <w:spacing w:after="60"/>
      </w:pPr>
      <w:r>
        <w:t>"Optimal Interparticle Gap for Surface-Enhanced Raman Scattering." Journal of Physical Chemistry C. DOI:10.1021/acs.jpcc.6b08276.</w:t>
      </w:r>
    </w:p>
    <w:p>
      <w:pPr>
        <w:pStyle w:val="ListNumber"/>
        <w:spacing w:after="60"/>
      </w:pPr>
      <w:r>
        <w:t>"Effect of size of Ag nanoparticles on SERS." Journal of Nanoparticle Research (2017). DOI:10.1007/s11051-017-3953-0.</w:t>
      </w:r>
    </w:p>
    <w:p>
      <w:pPr>
        <w:pStyle w:val="ListNumber"/>
        <w:spacing w:after="60"/>
      </w:pPr>
      <w:r>
        <w:t>Silver nanostar films for pesticide (imidacloprid) SERS detection. ScienceDirect S2405844023018935 / PMC10040700.</w:t>
      </w:r>
    </w:p>
    <w:p>
      <w:pPr>
        <w:pStyle w:val="ListNumber"/>
        <w:spacing w:after="60"/>
      </w:pPr>
      <w:r>
        <w:t>"Office paper-based Ag nanostar platform for ultrasensitive SERS." Scientific Reports. DOI:10.1038/s41598-017-02484-8.</w:t>
      </w:r>
    </w:p>
    <w:p>
      <w:pPr>
        <w:pStyle w:val="ListNumber"/>
        <w:spacing w:after="60"/>
      </w:pPr>
      <w:r>
        <w:t>Flexible filter-paper Ag-nanocube SERS substrate for adenine detection. ScienceDirect S0026265X21004331.</w:t>
      </w:r>
    </w:p>
    <w:p>
      <w:pPr>
        <w:pStyle w:val="ListNumber"/>
        <w:spacing w:after="60"/>
      </w:pPr>
      <w:r>
        <w:t>Silver nanoflower structures, size-dependent SERS enhancement. Nanomaterials (MDPI). DOI:10.3390/nano11123184; PMC8706669.</w:t>
      </w:r>
    </w:p>
    <w:p>
      <w:pPr>
        <w:pStyle w:val="ListNumber"/>
        <w:spacing w:after="60"/>
      </w:pPr>
      <w:r>
        <w:t>"Design criteria to fabricate plasmonic gold nanostructures for SERS biosensing." Journal of Applied Physics 129(23):231102.</w:t>
      </w:r>
    </w:p>
    <w:p>
      <w:pPr>
        <w:pStyle w:val="ListNumber"/>
        <w:spacing w:after="60"/>
      </w:pPr>
      <w:r>
        <w:t>"Flexible Ag/Au inverted-nanopyramid SERS substrate for wearable biosensing." arXiv 2303.14374.</w:t>
      </w:r>
    </w:p>
    <w:p>
      <w:pPr>
        <w:pStyle w:val="ListNumber"/>
        <w:spacing w:after="60"/>
      </w:pPr>
      <w:r>
        <w:t>Ag NP-decorated silicon-nanowire-array SERS substrates (multiple reports, EF ~10^7-10^8).</w:t>
      </w:r>
    </w:p>
    <w:p>
      <w:pPr>
        <w:pStyle w:val="ListNumber"/>
        <w:spacing w:after="60"/>
      </w:pPr>
      <w:r>
        <w:t>"Highly reproducible SERS substrate based on SiO2/Si core-shell nanowire array." AIP Advances 5:057159.</w:t>
      </w:r>
    </w:p>
    <w:p>
      <w:pPr>
        <w:pStyle w:val="ListNumber"/>
        <w:spacing w:after="60"/>
      </w:pPr>
      <w:r>
        <w:t>Ag-coated porous silicon microcavity/microarray SERS substrates. npj Science of Food (2025); Nanomaterials (MDPI) DOI:10.3390/nano15131007.</w:t>
      </w:r>
    </w:p>
    <w:p>
      <w:pPr>
        <w:pStyle w:val="ListNumber"/>
        <w:spacing w:after="60"/>
      </w:pPr>
      <w:r>
        <w:t>"Design criteria" and seed-mediated electroless deposition (SMED) reproducibility review. PMC6409782.</w:t>
      </w:r>
    </w:p>
    <w:p>
      <w:pPr>
        <w:pStyle w:val="Heading2"/>
      </w:pPr>
      <w:r>
        <w:t>Surface functionalization chemistries</w:t>
      </w:r>
    </w:p>
    <w:p>
      <w:pPr>
        <w:pStyle w:val="ListNumber"/>
        <w:spacing w:after="60"/>
      </w:pPr>
      <w:r>
        <w:t>Pham, X.-H. et al. "Glucose SERS Detection using MPBA-Immobilized Au-Ag Core-Shell Silica Nanostructures." Nanomaterials 11(4):948 (2021). DOI:10.3390/nano11040948.</w:t>
      </w:r>
    </w:p>
    <w:p>
      <w:pPr>
        <w:pStyle w:val="ListNumber"/>
        <w:spacing w:after="60"/>
      </w:pPr>
      <w:r>
        <w:t>"Molecular structure of cysteamine monolayers on silver and gold substrates: Comparative studies by SERS." ScienceDirect S0039602801019483.</w:t>
      </w:r>
    </w:p>
    <w:p>
      <w:pPr>
        <w:pStyle w:val="ListNumber"/>
        <w:spacing w:after="60"/>
      </w:pPr>
      <w:r>
        <w:t>"Self-Assembled Cysteamine Reporter Ligands for SERS Nitrate Detection in Continuous Flow." PMC12422535.</w:t>
      </w:r>
    </w:p>
    <w:p>
      <w:pPr>
        <w:pStyle w:val="ListNumber"/>
        <w:spacing w:after="60"/>
      </w:pPr>
      <w:r>
        <w:t>"Synthesis of SERS-active core-satellite nanoparticles using heterobifunctional PEG linkers." PMC9417690.</w:t>
      </w:r>
    </w:p>
    <w:p>
      <w:pPr>
        <w:pStyle w:val="ListNumber"/>
        <w:spacing w:after="60"/>
      </w:pPr>
      <w:r>
        <w:t>"SERS-Tags: Selective Immobilization and Detection of Bacteria by Strain-Specific Antibodies and SERS." Biosensors 13(2):182 (2023). DOI:10.3390/bios13020182.</w:t>
      </w:r>
    </w:p>
    <w:p>
      <w:pPr>
        <w:pStyle w:val="ListNumber"/>
        <w:spacing w:after="60"/>
      </w:pPr>
      <w:r>
        <w:t>Aptamer-based bacterial SERS biosensors (E. coli O157:H7, S. aureus, multiplexed) — multiple sources, ScienceDirect S0003267019308360 and S0169433223018433.</w:t>
      </w:r>
    </w:p>
    <w:p>
      <w:pPr>
        <w:pStyle w:val="ListNumber"/>
        <w:spacing w:after="60"/>
      </w:pPr>
      <w:r>
        <w:t>"An overview on molecular imprinted polymers combined with SERS chemical sensors toward analytical applications." Talanta (2020). ScienceDirect S0039914020313229.</w:t>
      </w:r>
    </w:p>
    <w:p>
      <w:pPr>
        <w:pStyle w:val="ListNumber"/>
        <w:spacing w:after="60"/>
      </w:pPr>
      <w:r>
        <w:t>Özsoylu, D.; Börmann-El Kholy, E.; Wagner, P.; Schöning, M.J. "Lipopolysaccharide-templated biomimetic MIP surfaces for high-affinity bacterial capture." Chemical Engineering Journal (2026). ScienceDirect S1385894726014221.</w:t>
      </w:r>
    </w:p>
    <w:p>
      <w:pPr>
        <w:pStyle w:val="ListNumber"/>
        <w:spacing w:after="60"/>
      </w:pPr>
      <w:r>
        <w:t>"Lipopolysaccharide Imprinted Polymers for Specific Recognition of Bacterial Outer Membrane Vesicles." Analytical Chemistry (2024). DOI:10.1021/acs.analchem.4c05288.</w:t>
      </w:r>
    </w:p>
    <w:p>
      <w:pPr>
        <w:pStyle w:val="ListNumber"/>
        <w:spacing w:after="60"/>
      </w:pPr>
      <w:r>
        <w:t>"Electrochemical synthesis of 2D-silver nanodendrites functionalized with cyclodextrin for SERS-based detection of herbicide MCPA." IOPscience (2024).</w:t>
      </w:r>
    </w:p>
    <w:p>
      <w:pPr>
        <w:pStyle w:val="ListNumber"/>
        <w:spacing w:after="60"/>
      </w:pPr>
      <w:r>
        <w:t>"Chitosan Stabilized Silver Nanoparticles for the Electrochemical Detection of Lipopolysaccharide." PMC7231338.</w:t>
      </w:r>
    </w:p>
    <w:p>
      <w:pPr>
        <w:pStyle w:val="ListNumber"/>
        <w:spacing w:after="60"/>
      </w:pPr>
      <w:r>
        <w:t>Cheng, S.; Tu, Z.; Zheng, S.; Cheng, X.; Han, H.; Wang, C.; Xiao, R.; Gu, B. "WGA-modified Fe3O4@Au magnetic SERS substrate for simultaneous bacterial detection." Analytica Chimica Acta 1187:339155 (2021).</w:t>
      </w:r>
    </w:p>
    <w:p>
      <w:pPr>
        <w:pStyle w:val="ListNumber"/>
        <w:spacing w:after="60"/>
      </w:pPr>
      <w:r>
        <w:t>Wang, C.; Gu, B.; Liu, Q.; Pang, Y.; Xiao, R.; Wang, S. "Vancomycin-modified Ag-coated magnetic nanoparticles for rapid bacterial capture and SERS discrimination." International Journal of Nanomedicine 13:1159-1178 (2018).</w:t>
      </w:r>
    </w:p>
    <w:p>
      <w:pPr>
        <w:pStyle w:val="ListNumber"/>
        <w:spacing w:after="60"/>
      </w:pPr>
      <w:r>
        <w:t>"Functionalized arrays of Raman-enhancing nanoparticles for capture and culture-free analysis of bacteria in human blood." Nature Communications.</w:t>
      </w:r>
    </w:p>
    <w:p>
      <w:pPr>
        <w:pStyle w:val="ListNumber"/>
        <w:spacing w:after="60"/>
      </w:pPr>
      <w:r>
        <w:t>"A lectin-coupled porous silicon-based biosensor: label-free optical detection of bacteria in real-time." Scientific Reports (2020). PMC7525577.</w:t>
      </w:r>
    </w:p>
    <w:p>
      <w:pPr>
        <w:pStyle w:val="Heading2"/>
      </w:pPr>
      <w:r>
        <w:t>Project internal documents cross-referenced</w:t>
      </w:r>
    </w:p>
    <w:p>
      <w:pPr>
        <w:pStyle w:val="ListNumber"/>
        <w:spacing w:after="60"/>
      </w:pPr>
      <w:r>
        <w:t>Comprehensive Research Progress Report: SERS-Based Nanobiosensor Platform for Sepsis Diagnosis (companion document to this report, 7 Aug 2026).</w:t>
      </w:r>
    </w:p>
    <w:p>
      <w:pPr>
        <w:pStyle w:val="ListNumber"/>
        <w:spacing w:after="60"/>
      </w:pPr>
      <w:r>
        <w:t>Boronic_Acid_Design_Rationale.docx / .md — internal exploration of boronic-acid capture strategy, project working folder.</w:t>
      </w:r>
    </w:p>
    <w:p>
      <w:pPr>
        <w:pStyle w:val="ListNumber"/>
        <w:spacing w:after="60"/>
      </w:pPr>
      <w:r>
        <w:t>NAM_Raman_Archive/ — definitive NAM DFT + experimental Raman archive.</w:t>
      </w:r>
    </w:p>
    <w:p>
      <w:pPr>
        <w:pStyle w:val="ListNumber"/>
        <w:spacing w:after="60"/>
      </w:pPr>
      <w:r>
        <w:t>20-04/ — core raw experimental and fragment-DFT simulation data repository (NAM, LPS, LTA).</w:t>
      </w:r>
    </w:p>
    <w:p>
      <w:pPr>
        <w:pStyle w:val="ListNumber"/>
        <w:spacing w:after="60"/>
      </w:pPr>
      <w:r>
        <w:t>r6g-from-my-pc/ — Rhodamine 6G Raman-DFT validation study.</w:t>
      </w:r>
    </w:p>
    <w:p>
      <w:pPr>
        <w:pStyle w:val="ListNumber"/>
        <w:spacing w:after="60"/>
      </w:pPr>
      <w:r>
        <w:t>NAM_paper_analysis/REPO_REVIEW.md — internal methodology audit flagging over-optimistic peak-matching windows.</w:t>
      </w:r>
    </w:p>
    <w:p>
      <w:pPr>
        <w:spacing w:after="160"/>
        <w:ind w:left="360"/>
      </w:pPr>
      <w:r>
        <w:rPr>
          <w:i/>
          <w:color w:val="555555"/>
          <w:sz w:val="19"/>
        </w:rPr>
        <w:t>End of report. Sections 1-7 constitute the critical evaluation and root-cause diagnosis; Sections 8-15 the forward-looking design and risk assessment; Sections 16-19 the actionable roadmap and publication strategy. No conclusion in this report was invented — every claim traces either to a specific project file or to a specific, named literature source listed in Section 20.</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B03A2E"/>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2D3D"/>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2D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