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b/>
          <w:i w:val="0"/>
          <w:color w:val="5B2A86"/>
          <w:sz w:val="26"/>
        </w:rPr>
        <w:t>Document B</w:t>
      </w:r>
    </w:p>
    <w:p>
      <w:pPr>
        <w:spacing w:after="120"/>
        <w:jc w:val="center"/>
      </w:pPr>
      <w:r>
        <w:rPr>
          <w:b/>
          <w:i w:val="0"/>
          <w:sz w:val="40"/>
        </w:rPr>
        <w:t>Scientific Rationale and Experimental Decision Log</w:t>
      </w:r>
    </w:p>
    <w:p>
      <w:pPr>
        <w:spacing w:after="120"/>
        <w:jc w:val="center"/>
      </w:pPr>
      <w:r>
        <w:rPr>
          <w:b w:val="0"/>
          <w:i/>
          <w:sz w:val="25"/>
        </w:rPr>
        <w:t>Why the AgNO₃ Optimization Series Is Designed This Way</w:t>
      </w:r>
    </w:p>
    <w:p>
      <w:pPr>
        <w:jc w:val="center"/>
      </w:pPr>
      <w:r>
        <w:rPr>
          <w:color w:val="5B2A86"/>
        </w:rPr>
        <w:t>____________________________________________________________</w:t>
      </w:r>
    </w:p>
    <w:p/>
    <w:p>
      <w:pPr>
        <w:spacing w:after="120"/>
        <w:jc w:val="center"/>
      </w:pPr>
      <w:r>
        <w:rPr>
          <w:b w:val="0"/>
          <w:i w:val="0"/>
          <w:sz w:val="20"/>
        </w:rPr>
        <w:t>Sukesh P (M24IM1007)  |  IIT Jodhpur &amp; AIIMS Jodhpur Joint IDRP  |  13 August 2026</w:t>
      </w:r>
    </w:p>
    <w:p>
      <w:pPr>
        <w:spacing w:after="120"/>
        <w:jc w:val="center"/>
      </w:pPr>
      <w:r>
        <w:rPr>
          <w:b w:val="0"/>
          <w:i/>
          <w:sz w:val="19"/>
        </w:rPr>
        <w:t>Companion document: Document A — Experimental Execution Plan / SOP</w:t>
      </w:r>
    </w:p>
    <w:p/>
    <w:p>
      <w:pPr>
        <w:spacing w:after="120"/>
        <w:jc w:val="center"/>
      </w:pPr>
      <w:r>
        <w:rPr>
          <w:b w:val="0"/>
          <w:i/>
          <w:sz w:val="20"/>
        </w:rPr>
        <w:t>This document explains reasoning, not procedure. For exact quantities and steps, see Document A.</w:t>
      </w:r>
    </w:p>
    <w:p>
      <w:r>
        <w:br w:type="page"/>
      </w:r>
    </w:p>
    <w:p>
      <w:pPr>
        <w:pStyle w:val="Heading1"/>
      </w:pPr>
      <w:r>
        <w:t>1. Problem</w:t>
      </w:r>
    </w:p>
    <w:p>
      <w:pPr>
        <w:spacing w:after="80"/>
      </w:pPr>
      <w:r>
        <w:rPr>
          <w:b w:val="0"/>
          <w:i w:val="0"/>
        </w:rPr>
        <w:t>On 12 August 2026, R6G produced strong, unambiguous SERS signal on bare Ag/black-Si substrates at three etch times (2, 5, 10 min), confirming both the fabrication process and the Raman system work. NAM, measured on the same substrates under the same conditions, did not — no peak reached the SNR ≥ 3 confidence threshold consistently across spots or conditions. Because MPBA capture chemistry is not yet available, the question this round has to answer with bare Ag alone is: can changing the Ag nanostructure itself (independent of adding a capture layer) make any measurable difference to NAM detectability, or is NAM's poor performance entirely a capture-chemistry problem that no amount of nanostructure tuning will fix?</w:t>
      </w:r>
    </w:p>
    <w:p>
      <w:pPr>
        <w:pStyle w:val="Heading1"/>
      </w:pPr>
      <w:r>
        <w:t>2. Hypothesis: The AgNO₃ → Hotspot → SERS Chain</w:t>
      </w:r>
    </w:p>
    <w:p>
      <w:pPr>
        <w:spacing w:after="80"/>
      </w:pPr>
      <w:r>
        <w:rPr>
          <w:b w:val="0"/>
          <w:i w:val="0"/>
        </w:rPr>
        <w:t>The mechanistic chain being tested:</w:t>
      </w:r>
    </w:p>
    <w:p>
      <w:pPr>
        <w:spacing w:after="80"/>
      </w:pPr>
      <w:r>
        <w:rPr>
          <w:b/>
          <w:i w:val="0"/>
        </w:rPr>
        <w:t>AgNO₃ concentration → Ag⁺ nucleation/reduction rate → Ag nanoparticle morphology (size, density, shape) → interparticle spacing → electromagnetic "hotspots" (regions of locally intensified field at nanogaps) → local electric-field enhancement → SERS enhancement factor → NAM detectability (if NAM molecules are present in the hotspot region).</w:t>
      </w:r>
    </w:p>
    <w:p>
      <w:pPr>
        <w:pStyle w:val="Heading2"/>
      </w:pPr>
      <w:r>
        <w:t>2.1  Step-by-step mechanism</w:t>
      </w:r>
    </w:p>
    <w:p>
      <w:pPr>
        <w:pStyle w:val="ListBullet"/>
        <w:spacing w:after="60"/>
      </w:pPr>
      <w:r>
        <w:rPr>
          <w:b/>
        </w:rPr>
        <w:t xml:space="preserve">AgNO₃ concentration → nucleation rate. </w:t>
      </w:r>
      <w:r>
        <w:t>In one-step MACE, Ag⁺ ions are reduced onto the Si surface (galvanic exchange) at sites that also catalyze local Si oxidation/dissolution. Higher Ag⁺ concentration in solution drives a higher nucleation rate — more nucleation sites form per unit area, per unit time.</w:t>
      </w:r>
    </w:p>
    <w:p>
      <w:pPr>
        <w:pStyle w:val="ListBullet"/>
        <w:spacing w:after="60"/>
      </w:pPr>
      <w:r>
        <w:rPr>
          <w:b/>
        </w:rPr>
        <w:t xml:space="preserve">Nucleation rate → particle size/density. </w:t>
      </w:r>
      <w:r>
        <w:t>More nucleation sites competing for the same finite Ag⁺ supply and etch time generally yields smaller, more numerous particles (each grows less before the etch is stopped). Fewer nucleation sites (lower AgNO3) yields fewer, larger particles that each accumulate more Ag before the etch ends.</w:t>
      </w:r>
    </w:p>
    <w:p>
      <w:pPr>
        <w:pStyle w:val="ListBullet"/>
        <w:spacing w:after="60"/>
      </w:pPr>
      <w:r>
        <w:rPr>
          <w:b/>
        </w:rPr>
        <w:t xml:space="preserve">Particle size/density → interparticle spacing. </w:t>
      </w:r>
      <w:r>
        <w:t>Denser, smaller particles mean, on average, smaller gaps between neighbors — up to the point where particles start touching or coalescing (in which case gaps close entirely and the geometry that makes a "hotspot" is lost).</w:t>
      </w:r>
    </w:p>
    <w:p>
      <w:pPr>
        <w:pStyle w:val="ListBullet"/>
        <w:spacing w:after="60"/>
      </w:pPr>
      <w:r>
        <w:rPr>
          <w:b/>
        </w:rPr>
        <w:t xml:space="preserve">Spacing → hotspots → field enhancement. </w:t>
      </w:r>
      <w:r>
        <w:t>SERS's dominant enhancement mechanism is electromagnetic: the field in a gap of a few nanometers between two closely spaced metal nanostructures can be many times more intense than the incident field, scaling roughly with the fourth power of the field enhancement (the well-known |E|⁴ relationship). Gaps in roughly the 1-5 nm range are frequently cited as the most effective regime; both much larger gaps (weak coupling) and touching/fused particles (no gap at all) reduce hotspot quality.</w:t>
      </w:r>
    </w:p>
    <w:p>
      <w:pPr>
        <w:pStyle w:val="ListBullet"/>
        <w:spacing w:after="60"/>
      </w:pPr>
      <w:r>
        <w:rPr>
          <w:b/>
        </w:rPr>
        <w:t xml:space="preserve">Field enhancement → SERS signal → NAM detectability, CONDITIONAL. </w:t>
      </w:r>
      <w:r>
        <w:t>A stronger hotspot only helps NAM detection if NAM molecules are actually located within that enhanced-field region at the time of measurement. This is the critical caveat explored in Section 3.</w:t>
      </w:r>
    </w:p>
    <w:tbl>
      <w:tblPr>
        <w:tblStyle w:val="TableGrid"/>
        <w:tblW w:type="auto" w:w="0"/>
        <w:tblLook w:firstColumn="1" w:firstRow="1" w:lastColumn="0" w:lastRow="0" w:noHBand="0" w:noVBand="1" w:val="04A0"/>
      </w:tblPr>
      <w:tblGrid>
        <w:gridCol w:w="9893"/>
      </w:tblGrid>
      <w:tr>
        <w:tc>
          <w:tcPr>
            <w:tcW w:type="dxa" w:w="9893"/>
            <w:shd w:val="clear" w:fill="FBE2E2"/>
          </w:tcPr>
          <w:p>
            <w:r/>
            <w:r>
              <w:rPr>
                <w:b/>
                <w:color w:val="8A0000"/>
                <w:sz w:val="19"/>
              </w:rPr>
              <w:t>CAUTION — Every arrow above is a hypothesis about YOUR system, informed by literature on structurally similar one-step Ag/HF MACE systems (Section 6) — not a proven fact for your exact substrate. Treat AgNO3-driven morphology predictions in Document A (Section 10 expected outcomes) as testable predictions, not guaranteed results.</w:t>
            </w:r>
          </w:p>
        </w:tc>
      </w:tr>
    </w:tbl>
    <w:p>
      <w:pPr>
        <w:spacing w:after="80"/>
      </w:pPr>
    </w:p>
    <w:p>
      <w:r>
        <w:br w:type="page"/>
      </w:r>
    </w:p>
    <w:p>
      <w:pPr>
        <w:pStyle w:val="Heading1"/>
      </w:pPr>
      <w:r>
        <w:t>3. Why "Strong R6G SERS" Does Not Imply "Strong NAM SERS"</w:t>
      </w:r>
    </w:p>
    <w:p>
      <w:pPr>
        <w:spacing w:after="80"/>
      </w:pPr>
      <w:r>
        <w:rPr>
          <w:b w:val="0"/>
          <w:i w:val="0"/>
        </w:rPr>
        <w:t>This is the single most important conceptual point behind the whole plan. Five independent reasons, each sufficient on its own to decouple the two results:</w:t>
      </w:r>
    </w:p>
    <w:p>
      <w:pPr>
        <w:pStyle w:val="ListBullet"/>
        <w:spacing w:after="60"/>
      </w:pPr>
      <w:r>
        <w:rPr>
          <w:b/>
        </w:rPr>
        <w:t xml:space="preserve">Resonance vs. non-resonance. </w:t>
      </w:r>
      <w:r>
        <w:t>R6G is a dye with strong electronic absorption near the 785 nm excitation — it benefits from resonance/pre-resonance Raman enhancement on top of the purely electromagnetic SERS effect. NAM has no chromophore anywhere near 785 nm; it can only ever benefit from the electromagnetic mechanism, never resonance. This alone can account for orders of magnitude of difference (Section 6, Tzeng &amp; Lin 2020, directly demonstrates exactly this order-of-magnitude gap for a different non-resonant analyte, adenine, on bare Ag).</w:t>
      </w:r>
    </w:p>
    <w:p>
      <w:pPr>
        <w:pStyle w:val="ListBullet"/>
        <w:spacing w:after="60"/>
      </w:pPr>
      <w:r>
        <w:rPr>
          <w:b/>
        </w:rPr>
        <w:t xml:space="preserve">Raman cross-section. </w:t>
      </w:r>
      <w:r>
        <w:t>Independent of SERS, R6G is an intrinsically strong Raman scatterer even in bulk solution; NAM's cross-section is weak and non-resonant. A weaker starting signal needs proportionally more enhancement to reach the same absolute intensity.</w:t>
      </w:r>
    </w:p>
    <w:p>
      <w:pPr>
        <w:pStyle w:val="ListBullet"/>
        <w:spacing w:after="60"/>
      </w:pPr>
      <w:r>
        <w:rPr>
          <w:b/>
        </w:rPr>
        <w:t xml:space="preserve">Surface affinity / adsorption chemistry. </w:t>
      </w:r>
      <w:r>
        <w:t>R6G is a cationic dye that adsorbs readily and strongly to Ag surfaces via electrostatic and physisorptive interactions. NAM has no thiol, no strong Ag-binding functional group, and its amine is blocked as an amide — it has comparatively little chemical reason to sit on the Ag surface at all, let alone concentrate in a hotspot.</w:t>
      </w:r>
    </w:p>
    <w:p>
      <w:pPr>
        <w:pStyle w:val="ListBullet"/>
        <w:spacing w:after="60"/>
      </w:pPr>
      <w:r>
        <w:rPr>
          <w:b/>
        </w:rPr>
        <w:t xml:space="preserve">Distance from the hotspot. </w:t>
      </w:r>
      <w:r>
        <w:t>SERS field enhancement decays extremely rapidly with distance from the metal surface (roughly as the inverse 10th-12th power for the combined excitation+emission enhancement). A molecule adsorbed directly on the surface can see 10-100x more enhancement than one sitting even 1-2 nm further away. If NAM isn't binding, it's more likely to be at a random distance from the nearest hotspot rather than concentrated inside one.</w:t>
      </w:r>
    </w:p>
    <w:p>
      <w:pPr>
        <w:pStyle w:val="ListBullet"/>
        <w:spacing w:after="60"/>
      </w:pPr>
      <w:r>
        <w:rPr>
          <w:b/>
        </w:rPr>
        <w:t xml:space="preserve">Molecular orientation and hotspot accessibility. </w:t>
      </w:r>
      <w:r>
        <w:t>Even a molecule that does approach the surface must be oriented so its polarizable bonds align with the locally enhanced field, and it must physically fit into the (often sub-5-nm) gap that is doing the enhancing. A larger, more flexible molecule without a directing functional group has no guarantee of either.</w:t>
      </w:r>
    </w:p>
    <w:tbl>
      <w:tblPr>
        <w:tblStyle w:val="TableGrid"/>
        <w:tblW w:type="auto" w:w="0"/>
        <w:tblLook w:firstColumn="1" w:firstRow="1" w:lastColumn="0" w:lastRow="0" w:noHBand="0" w:noVBand="1" w:val="04A0"/>
      </w:tblPr>
      <w:tblGrid>
        <w:gridCol w:w="9893"/>
      </w:tblGrid>
      <w:tr>
        <w:tc>
          <w:tcPr>
            <w:tcW w:type="dxa" w:w="9893"/>
            <w:shd w:val="clear" w:fill="EFE6F7"/>
          </w:tcPr>
          <w:p>
            <w:r/>
            <w:r>
              <w:rPr>
                <w:b/>
                <w:color w:val="5B2A86"/>
                <w:sz w:val="19"/>
              </w:rPr>
              <w:t>KEY POINT — None of these five factors are fixed by changing AgNO3 concentration alone — Experiment 1 (Document A) tests only whether a denser/better hotspot distribution increases the ODDS that some NAM molecules happen to be well-placed, not whether NAM starts binding to Ag. That is exactly why a negative result in Experiment 1 would point toward capture chemistry (MPBA) rather than further nanostructure tuning — see Section 7 decision tree.</w:t>
            </w:r>
          </w:p>
        </w:tc>
      </w:tr>
    </w:tbl>
    <w:p>
      <w:pPr>
        <w:spacing w:after="80"/>
      </w:pPr>
    </w:p>
    <w:p>
      <w:r>
        <w:br w:type="page"/>
      </w:r>
    </w:p>
    <w:p>
      <w:pPr>
        <w:pStyle w:val="Heading1"/>
      </w:pPr>
      <w:r>
        <w:t>4. Why Each Choice Was Made</w:t>
      </w:r>
    </w:p>
    <w:p>
      <w:pPr>
        <w:pStyle w:val="Heading3"/>
      </w:pPr>
      <w:r>
        <w:t>1. What problem from the previous experiment are we trying to solve?</w:t>
      </w:r>
    </w:p>
    <w:p>
      <w:pPr>
        <w:spacing w:after="120"/>
      </w:pPr>
      <w:r>
        <w:rPr>
          <w:b w:val="0"/>
          <w:i w:val="0"/>
        </w:rPr>
        <w:t>NAM was not reproducibly detected on any of three etch times, while R6G worked on all three — we don't yet know whether that's fixable by nanostructure alone or requires capture chemistry.</w:t>
      </w:r>
    </w:p>
    <w:p>
      <w:pPr>
        <w:pStyle w:val="Heading3"/>
      </w:pPr>
      <w:r>
        <w:t>2. What hypothesis are we testing?</w:t>
      </w:r>
    </w:p>
    <w:p>
      <w:pPr>
        <w:spacing w:after="120"/>
      </w:pPr>
      <w:r>
        <w:rPr>
          <w:b w:val="0"/>
          <w:i w:val="0"/>
        </w:rPr>
        <w:t>That Ag nanoparticle size/density/spacing (set primarily by AgNO3 concentration) affects NAM SERS signal even without a capture layer, by changing the density and quality of hotspots available to whatever NAM happens to be near the surface.</w:t>
      </w:r>
    </w:p>
    <w:p>
      <w:pPr>
        <w:pStyle w:val="Heading3"/>
      </w:pPr>
      <w:r>
        <w:t>3. Why AgNO3 concentration (over deposition time, cycles, or PDS)?</w:t>
      </w:r>
    </w:p>
    <w:p>
      <w:pPr>
        <w:spacing w:after="120"/>
      </w:pPr>
      <w:r>
        <w:rPr>
          <w:b w:val="0"/>
          <w:i w:val="0"/>
        </w:rPr>
        <w:t>It's the one input with the clearest literature-documented, single-variable relationship to Ag particle size/density in one-step MACE (Section 6), and it's a bath you already know how to make — see Document A Section 3 for the full comparison against the other two options considered.</w:t>
      </w:r>
    </w:p>
    <w:p>
      <w:pPr>
        <w:pStyle w:val="Heading3"/>
      </w:pPr>
      <w:r>
        <w:t>4. Why 5 mM?</w:t>
      </w:r>
    </w:p>
    <w:p>
      <w:pPr>
        <w:spacing w:after="120"/>
      </w:pPr>
      <w:r>
        <w:rPr>
          <w:b w:val="0"/>
          <w:i w:val="0"/>
        </w:rPr>
        <w:t>0.25x the previous baseline — tests the low-density/large-particle extreme. Falls within the low end of literature-reported one-step MACE AgNO3 ranges (2-8 mM reported effective in one closely related study, Section 6) — a genuinely literature-anchored low point, not an arbitrary guess.</w:t>
      </w:r>
    </w:p>
    <w:p>
      <w:pPr>
        <w:pStyle w:val="Heading3"/>
      </w:pPr>
      <w:r>
        <w:t>5. Why 20 mM?</w:t>
      </w:r>
    </w:p>
    <w:p>
      <w:pPr>
        <w:spacing w:after="120"/>
      </w:pPr>
      <w:r>
        <w:rPr>
          <w:b w:val="0"/>
          <w:i w:val="0"/>
        </w:rPr>
        <w:t>This is not a new choice — it's your actual previous baseline (0.170 g in 50 mL, independently verified in Document A Section 2.1), kept as-is so this round also serves as a same-condition repeatability check, which the previous report flagged as still needed.</w:t>
      </w:r>
    </w:p>
    <w:p>
      <w:pPr>
        <w:pStyle w:val="Heading3"/>
      </w:pPr>
      <w:r>
        <w:t>6. Why 40 mM?</w:t>
      </w:r>
    </w:p>
    <w:p>
      <w:pPr>
        <w:spacing w:after="120"/>
      </w:pPr>
      <w:r>
        <w:rPr>
          <w:b w:val="0"/>
          <w:i w:val="0"/>
        </w:rPr>
        <w:t>2x baseline — the medium-high point. No specific literature source was found reporting exactly 40 mM for this exact one-step system; this value is an experimental design point (log-spaced step from baseline), not a value copied from a specific paper.</w:t>
      </w:r>
    </w:p>
    <w:p>
      <w:pPr>
        <w:pStyle w:val="Heading3"/>
      </w:pPr>
      <w:r>
        <w:t>7. Why 80 mM?</w:t>
      </w:r>
    </w:p>
    <w:p>
      <w:pPr>
        <w:spacing w:after="120"/>
      </w:pPr>
      <w:r>
        <w:rPr>
          <w:b w:val="0"/>
          <w:i w:val="0"/>
        </w:rPr>
        <w:t>4x baseline — the high extreme, intended to probe the aggregation/dendritic-growth regime that literature associates with excess AgNO3 (Section 6). Also a design point rather than a literature-matched value — flagged explicitly per your instruction not to overstate literature support.</w:t>
      </w:r>
    </w:p>
    <w:p>
      <w:pPr>
        <w:pStyle w:val="Heading3"/>
      </w:pPr>
      <w:r>
        <w:t>(inserted) Why also 10 mM?</w:t>
      </w:r>
    </w:p>
    <w:p>
      <w:pPr>
        <w:spacing w:after="120"/>
      </w:pPr>
      <w:r>
        <w:rPr>
          <w:b w:val="0"/>
          <w:i w:val="0"/>
        </w:rPr>
        <w:t>The original A(5)/B(20)/C(40)/D(80) series has an uneven first step (4x from A to B) while every later step is 2x. Since your own 5-min-vs-10-min etch-time result was non-monotonic (10 min beat 5 min), a real AgNO3 optimum could plausibly sit inside an under-sampled gap — 10 mM closes that gap and makes the series evenly log2-spaced (5-10-20-40-80). This is a refinement of your proposal, not a rejection of it — see Section 5.</w:t>
      </w:r>
    </w:p>
    <w:p>
      <w:pPr>
        <w:pStyle w:val="Heading3"/>
      </w:pPr>
      <w:r>
        <w:t>8. Why 2-minute etching?</w:t>
      </w:r>
    </w:p>
    <w:p>
      <w:pPr>
        <w:spacing w:after="120"/>
      </w:pPr>
      <w:r>
        <w:rPr>
          <w:b w:val="0"/>
          <w:i w:val="0"/>
        </w:rPr>
        <w:t>Already established as the best-performing condition for R6G SERS in the previous experiment (~48x stronger than 5-min at 1509 cm-1) — changing it again in this round would reopen an already-answered question and break the single-variable design.</w:t>
      </w:r>
    </w:p>
    <w:p>
      <w:pPr>
        <w:pStyle w:val="Heading3"/>
      </w:pPr>
      <w:r>
        <w:t>9. Why keep NAM concentration constant?</w:t>
      </w:r>
    </w:p>
    <w:p>
      <w:pPr>
        <w:spacing w:after="120"/>
      </w:pPr>
      <w:r>
        <w:rPr>
          <w:b w:val="0"/>
          <w:i w:val="0"/>
        </w:rPr>
        <w:t>Changing two variables (AgNO3 and NAM concentration) in the same round means a positive result can't be attributed to either one — see Section 3 discussion and the explicit warning in Document A Section 6.2 equivalent. NAM concentration is only varied afterward, conditionally, on the single best AgNO3 condition.</w:t>
      </w:r>
    </w:p>
    <w:p>
      <w:pPr>
        <w:pStyle w:val="Heading3"/>
      </w:pPr>
      <w:r>
        <w:t>10. Why use R6G at all in this round?</w:t>
      </w:r>
    </w:p>
    <w:p>
      <w:pPr>
        <w:spacing w:after="120"/>
      </w:pPr>
      <w:r>
        <w:rPr>
          <w:b w:val="0"/>
          <w:i w:val="0"/>
        </w:rPr>
        <w:t>As a fast, high-confidence gate: it confirms each newly fabricated AgNO3 condition is actually SERS-active before spending time on the much weaker, slower-to-interpret NAM measurement. It is not being used to draw conclusions about NAM directly (Section 3).</w:t>
      </w:r>
    </w:p>
    <w:p>
      <w:pPr>
        <w:pStyle w:val="Heading3"/>
      </w:pPr>
      <w:r>
        <w:t>11. Why use blanks?</w:t>
      </w:r>
    </w:p>
    <w:p>
      <w:pPr>
        <w:spacing w:after="120"/>
      </w:pPr>
      <w:r>
        <w:rPr>
          <w:b w:val="0"/>
          <w:i w:val="0"/>
        </w:rPr>
        <w:t>To separate real analyte signal from substrate background/fluorescence — the previous report's Section 6 identified exactly this as a weak point (2-min sensor had no blank at all; 5/10-min blanks were from a mismatched earlier session).</w:t>
      </w:r>
    </w:p>
    <w:p>
      <w:pPr>
        <w:pStyle w:val="Heading3"/>
      </w:pPr>
      <w:r>
        <w:t>12. Why multiple spots?</w:t>
      </w:r>
    </w:p>
    <w:p>
      <w:pPr>
        <w:spacing w:after="120"/>
      </w:pPr>
      <w:r>
        <w:rPr>
          <w:b w:val="0"/>
          <w:i w:val="0"/>
        </w:rPr>
        <w:t>A single spot cannot distinguish a real, substrate-wide effect from local roughness/hotspot luck. This directly addresses how the previous report's isolated single-spot SNR≈3 hits were (correctly) not counted as detections.</w:t>
      </w:r>
    </w:p>
    <w:p>
      <w:pPr>
        <w:pStyle w:val="Heading3"/>
      </w:pPr>
      <w:r>
        <w:t>13. What hotspot morphology are we trying to obtain?</w:t>
      </w:r>
    </w:p>
    <w:p>
      <w:pPr>
        <w:spacing w:after="120"/>
      </w:pPr>
      <w:r>
        <w:rPr>
          <w:b w:val="0"/>
          <w:i w:val="0"/>
        </w:rPr>
        <w:t>Smaller, more numerous Ag nanoparticles with gaps in roughly the 1-5 nm range are the working target, per the general SERS hotspot literature — but see the caution in Section 2 that this is a hypothesis for your system, not a guaranteed outcome of any specific AgNO3 value.</w:t>
      </w:r>
    </w:p>
    <w:p>
      <w:pPr>
        <w:pStyle w:val="Heading3"/>
      </w:pPr>
      <w:r>
        <w:t>14. Why could this improve NAM detection?</w:t>
      </w:r>
    </w:p>
    <w:p>
      <w:pPr>
        <w:spacing w:after="120"/>
      </w:pPr>
      <w:r>
        <w:rPr>
          <w:b w:val="0"/>
          <w:i w:val="0"/>
        </w:rPr>
        <w:t>More/better hotspots per unit area increases the probability that a randomly-adsorbed (non-specifically bound) NAM molecule happens to land within enhancement range of one, even without a chemical driving force pulling it there.</w:t>
      </w:r>
    </w:p>
    <w:p>
      <w:pPr>
        <w:pStyle w:val="Heading3"/>
      </w:pPr>
      <w:r>
        <w:t>15. What result would support the hypothesis?</w:t>
      </w:r>
    </w:p>
    <w:p>
      <w:pPr>
        <w:spacing w:after="120"/>
      </w:pPr>
      <w:r>
        <w:rPr>
          <w:b w:val="0"/>
          <w:i w:val="0"/>
        </w:rPr>
        <w:t>Any AgNO3 condition (most likely C or the new A2/B region) showing NAM peaks (930, 871 cm-1 primary) at SNR≥3, reproducible across ≥2 of ≥3 spots, that the 20 mM baseline does not show as clearly.</w:t>
      </w:r>
    </w:p>
    <w:p>
      <w:pPr>
        <w:pStyle w:val="Heading3"/>
      </w:pPr>
      <w:r>
        <w:t>16. What result would reject the hypothesis?</w:t>
      </w:r>
    </w:p>
    <w:p>
      <w:pPr>
        <w:spacing w:after="120"/>
      </w:pPr>
      <w:r>
        <w:rPr>
          <w:b w:val="0"/>
          <w:i w:val="0"/>
        </w:rPr>
        <w:t>All five AgNO3 conditions show equally strong R6G (confirming hotspots exist and vary as expected) but equally absent NAM — this would argue the bottleneck is adsorption/capture chemistry, not hotspot density, regardless of which AgNO3 level is "best" for R6G.</w:t>
      </w:r>
    </w:p>
    <w:p>
      <w:pPr>
        <w:pStyle w:val="Heading3"/>
      </w:pPr>
      <w:r>
        <w:t>17. What experiment comes next?</w:t>
      </w:r>
    </w:p>
    <w:p>
      <w:pPr>
        <w:spacing w:after="120"/>
      </w:pPr>
      <w:r>
        <w:rPr>
          <w:b w:val="0"/>
          <w:i w:val="0"/>
        </w:rPr>
        <w:t>Depends on the outcome — full explicit branches in Section 7 (decision tree) and Section 8 (roadmap).</w:t>
      </w:r>
    </w:p>
    <w:p>
      <w:r>
        <w:br w:type="page"/>
      </w:r>
    </w:p>
    <w:p>
      <w:pPr>
        <w:pStyle w:val="Heading1"/>
      </w:pPr>
      <w:r>
        <w:t>5. Critical Evaluation of the Proposed 5/20/40/80 mM Series</w:t>
      </w:r>
    </w:p>
    <w:tbl>
      <w:tblPr>
        <w:tblStyle w:val="TableGrid"/>
        <w:tblW w:type="auto" w:w="0"/>
        <w:tblLook w:firstColumn="1" w:firstRow="1" w:lastColumn="0" w:lastRow="0" w:noHBand="0" w:noVBand="1" w:val="04A0"/>
      </w:tblPr>
      <w:tblGrid>
        <w:gridCol w:w="9893"/>
      </w:tblGrid>
      <w:tr>
        <w:tc>
          <w:tcPr>
            <w:tcW w:type="dxa" w:w="9893"/>
            <w:shd w:val="clear" w:fill="EFE6F7"/>
          </w:tcPr>
          <w:p>
            <w:r/>
            <w:r>
              <w:rPr>
                <w:b/>
                <w:color w:val="5B2A86"/>
                <w:sz w:val="19"/>
              </w:rPr>
              <w:t>KEY POINT — Verdict: the overall structure (log-spaced steps bracketing a verified baseline) is scientifically sound and should NOT be discarded. One specific refinement is recommended: add a 10 mM point.</w:t>
            </w:r>
          </w:p>
        </w:tc>
      </w:tr>
    </w:tbl>
    <w:p>
      <w:pPr>
        <w:spacing w:after="80"/>
      </w:pPr>
    </w:p>
    <w:p>
      <w:pPr>
        <w:spacing w:after="80"/>
      </w:pPr>
      <w:r>
        <w:rPr>
          <w:b w:val="0"/>
          <w:i w:val="0"/>
        </w:rPr>
        <w:t>What's right about it: it changes exactly one variable, brackets a real, previously-fabricated baseline rather than starting from an arbitrary reference point, and spans a wide enough range (16x, 5 to 80 mM) to plausibly move through more than one morphology regime, consistent with the general direction reported in MACE AgNO3-concentration literature (Section 6).</w:t>
      </w:r>
    </w:p>
    <w:p>
      <w:pPr>
        <w:spacing w:after="80"/>
      </w:pPr>
      <w:r>
        <w:rPr>
          <w:b w:val="0"/>
          <w:i w:val="0"/>
        </w:rPr>
        <w:t>What's incomplete about it: the step sizes are uneven — 5→20 mM is a 4x jump, but 20→40 mM and 40→80 mM are each only 2x. A true geometric (log2) series would be 5-10-20-40-80 mM. This matters here specifically because your own etch-time data (5 min vs. 10 min for R6G) showed a non-monotonic relationship — the "obvious" trend didn't hold across the whole range tested. If AgNO3 concentration behaves similarly (a real optimum somewhere in the middle rather than a monotonic trend), the 4x-wide first gap is exactly where you'd be most likely to miss it.</w:t>
      </w:r>
    </w:p>
    <w:p>
      <w:pPr>
        <w:spacing w:after="80"/>
      </w:pPr>
      <w:r>
        <w:rPr>
          <w:b w:val="0"/>
          <w:i w:val="0"/>
        </w:rPr>
        <w:t>Recommendation: run the 5-point series (5, 10, 20, 40, 80 mM) if reagent/time budget allows. If only 4 points are practical, keep the original A/B/C/D as proposed rather than dropping the baseline or the extremes — but log this as a known gap in coverage, not an oversight.</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No published paper matching your exact bath composition (AgNO3 + 49%-assumed HF, 50 mL, one-step) was found reporting a validated "optimal" AgNO3 concentration for SERS hotspot density specifically. The 5-80 mM (or 5-80 mM+10) range is a reasonable design choice informed by related literature (Section 6), not a value taken directly from a paper describing your exact system.</w:t>
            </w:r>
          </w:p>
        </w:tc>
      </w:tr>
    </w:tbl>
    <w:p>
      <w:pPr>
        <w:spacing w:after="80"/>
      </w:pPr>
    </w:p>
    <w:p>
      <w:r>
        <w:br w:type="page"/>
      </w:r>
    </w:p>
    <w:p>
      <w:pPr>
        <w:pStyle w:val="Heading1"/>
      </w:pPr>
      <w:r>
        <w:t>6. Literature Evidence</w:t>
      </w:r>
    </w:p>
    <w:p>
      <w:pPr>
        <w:spacing w:after="80"/>
      </w:pPr>
      <w:r>
        <w:rPr>
          <w:b w:val="0"/>
          <w:i w:val="0"/>
        </w:rPr>
        <w:t>Evidence tier definitions used throughout: DIRECT = tested the same phenomenon in a closely matching system; RELATED = same general topic/mechanism but a different specific system or molecule; HYPOTHESIS = our own extrapolation, not tested in any cited source.</w:t>
      </w:r>
    </w:p>
    <w:p>
      <w:pPr>
        <w:pStyle w:val="Heading2"/>
      </w:pPr>
      <w:r>
        <w:t>6.1  AgNO₃ concentration → Ag nanostructure morphology (one-step MACE)</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4752"/>
            <w:shd w:val="clear" w:fill="5B2A86"/>
          </w:tcPr>
          <w:p>
            <w:r/>
            <w:r>
              <w:rPr>
                <w:b/>
                <w:color w:val="FFFFFF"/>
                <w:sz w:val="18"/>
              </w:rPr>
              <w:t>Source</w:t>
            </w:r>
          </w:p>
        </w:tc>
        <w:tc>
          <w:tcPr>
            <w:tcW w:type="dxa" w:w="3456"/>
            <w:shd w:val="clear" w:fill="5B2A86"/>
          </w:tcPr>
          <w:p>
            <w:r/>
            <w:r>
              <w:rPr>
                <w:b/>
                <w:color w:val="FFFFFF"/>
                <w:sz w:val="18"/>
              </w:rPr>
              <w:t>What it demonstrated</w:t>
            </w:r>
          </w:p>
        </w:tc>
        <w:tc>
          <w:tcPr>
            <w:tcW w:type="dxa" w:w="1584"/>
            <w:shd w:val="clear" w:fill="5B2A86"/>
          </w:tcPr>
          <w:p>
            <w:r/>
            <w:r>
              <w:rPr>
                <w:b/>
                <w:color w:val="FFFFFF"/>
                <w:sz w:val="18"/>
              </w:rPr>
              <w:t>Tier</w:t>
            </w:r>
          </w:p>
        </w:tc>
        <w:tc>
          <w:tcPr>
            <w:tcW w:type="dxa" w:w="2016"/>
            <w:shd w:val="clear" w:fill="5B2A86"/>
          </w:tcPr>
          <w:p>
            <w:r/>
            <w:r>
              <w:rPr>
                <w:b/>
                <w:color w:val="FFFFFF"/>
                <w:sz w:val="18"/>
              </w:rPr>
              <w:t>Supports</w:t>
            </w:r>
          </w:p>
        </w:tc>
      </w:tr>
      <w:tr>
        <w:tc>
          <w:tcPr>
            <w:tcW w:type="dxa" w:w="4752"/>
          </w:tcPr>
          <w:p>
            <w:r/>
            <w:r>
              <w:rPr>
                <w:sz w:val="15"/>
              </w:rPr>
              <w:t>Kochylas, Gardelis, Likodimos, Giannakopoulos, Falaras, Nassiopoulou (2021). "Improved Surface-Enhanced-Raman Scattering Sensitivity Using Si Nanowires/Silver Nanostructures by a Single Step Metal-Assisted Chemical Etching." Nanomaterials. DOI: 10.3390/nano11071760.</w:t>
            </w:r>
          </w:p>
        </w:tc>
        <w:tc>
          <w:tcPr>
            <w:tcW w:type="dxa" w:w="3456"/>
          </w:tcPr>
          <w:p>
            <w:r/>
            <w:r>
              <w:rPr>
                <w:sz w:val="15"/>
              </w:rPr>
              <w:t>One-step MACE in AgNO3/HF aqueous solution producing SiNW/Ag SERS substrates; reports EF up to ~10^8 and R6G LOD down to 10^-13 M; density of Ag nanostructures controllable via AgNO3 concentration during etching.</w:t>
            </w:r>
          </w:p>
        </w:tc>
        <w:tc>
          <w:tcPr>
            <w:tcW w:type="dxa" w:w="1584"/>
          </w:tcPr>
          <w:p>
            <w:r/>
            <w:r>
              <w:rPr>
                <w:sz w:val="15"/>
              </w:rPr>
              <w:t>DIRECT</w:t>
            </w:r>
          </w:p>
        </w:tc>
        <w:tc>
          <w:tcPr>
            <w:tcW w:type="dxa" w:w="2016"/>
          </w:tcPr>
          <w:p>
            <w:r/>
            <w:r>
              <w:rPr>
                <w:sz w:val="15"/>
              </w:rPr>
              <w:t>Section 2 hypothesis chain; confirms one-step MACE Ag/HF is a validated SERS platform architecture matching yours</w:t>
            </w:r>
          </w:p>
        </w:tc>
      </w:tr>
      <w:tr>
        <w:tc>
          <w:tcPr>
            <w:tcW w:type="dxa" w:w="4752"/>
            <w:shd w:val="clear" w:fill="EFE6F7"/>
          </w:tcPr>
          <w:p>
            <w:r/>
            <w:r>
              <w:rPr>
                <w:sz w:val="15"/>
              </w:rPr>
              <w:t>"Effects of silver catalyst concentration in metal assisted chemical etching of silicon." Materials Science in Semiconductor Processing (ScienceDirect id S0167577X18304178; full author list not confirmed in this search pass — NOTE flagged).</w:t>
            </w:r>
          </w:p>
        </w:tc>
        <w:tc>
          <w:tcPr>
            <w:tcW w:type="dxa" w:w="3456"/>
            <w:shd w:val="clear" w:fill="EFE6F7"/>
          </w:tcPr>
          <w:p>
            <w:r/>
            <w:r>
              <w:rPr>
                <w:sz w:val="15"/>
              </w:rPr>
              <w:t>AgNO3 concentrations of 2, 3, 4, 8 mM tested with HF for p-type Si; lower AgNO3 concentration produced smaller nanostructures (60-140 nm range) with higher surface coverage.</w:t>
            </w:r>
          </w:p>
        </w:tc>
        <w:tc>
          <w:tcPr>
            <w:tcW w:type="dxa" w:w="1584"/>
            <w:shd w:val="clear" w:fill="EFE6F7"/>
          </w:tcPr>
          <w:p>
            <w:r/>
            <w:r>
              <w:rPr>
                <w:sz w:val="15"/>
              </w:rPr>
              <w:t>DIRECT (for the AgNO3→morphology relationship; not SERS-tested itself)</w:t>
            </w:r>
          </w:p>
        </w:tc>
        <w:tc>
          <w:tcPr>
            <w:tcW w:type="dxa" w:w="2016"/>
            <w:shd w:val="clear" w:fill="EFE6F7"/>
          </w:tcPr>
          <w:p>
            <w:r/>
            <w:r>
              <w:rPr>
                <w:sz w:val="15"/>
              </w:rPr>
              <w:t>Section 4, Q4-Q7 — literature-anchored low end of the concentration range; also the source of the caution that our proposed 5-80 mM window sits above this study's tested range</w:t>
            </w:r>
          </w:p>
        </w:tc>
      </w:tr>
      <w:tr>
        <w:tc>
          <w:tcPr>
            <w:tcW w:type="dxa" w:w="4752"/>
          </w:tcPr>
          <w:p>
            <w:r/>
            <w:r>
              <w:rPr>
                <w:sz w:val="15"/>
              </w:rPr>
              <w:t>"(PDF) Effect of AgNO3 concentration on structure of aligned silicon nanowire arrays fabricated via silver-assisted chemical etching." (ResearchGate; full citation metadata not confirmed in this pass).</w:t>
            </w:r>
          </w:p>
        </w:tc>
        <w:tc>
          <w:tcPr>
            <w:tcW w:type="dxa" w:w="3456"/>
          </w:tcPr>
          <w:p>
            <w:r/>
            <w:r>
              <w:rPr>
                <w:sz w:val="15"/>
              </w:rPr>
              <w:t>AgNO3 concentration effects on aligned SiNW array structure via Ag-assisted etching.</w:t>
            </w:r>
          </w:p>
        </w:tc>
        <w:tc>
          <w:tcPr>
            <w:tcW w:type="dxa" w:w="1584"/>
          </w:tcPr>
          <w:p>
            <w:r/>
            <w:r>
              <w:rPr>
                <w:sz w:val="15"/>
              </w:rPr>
              <w:t>RELATED (structure only, not SERS-tested)</w:t>
            </w:r>
          </w:p>
        </w:tc>
        <w:tc>
          <w:tcPr>
            <w:tcW w:type="dxa" w:w="2016"/>
          </w:tcPr>
          <w:p>
            <w:r/>
            <w:r>
              <w:rPr>
                <w:sz w:val="15"/>
              </w:rPr>
              <w:t>Section 2 mechanism chain, general support</w:t>
            </w:r>
          </w:p>
        </w:tc>
      </w:tr>
    </w:tbl>
    <w:p>
      <w:pPr>
        <w:spacing w:after="40"/>
      </w:pPr>
    </w:p>
    <w:p>
      <w:pPr>
        <w:spacing w:after="160"/>
        <w:ind w:left="360"/>
      </w:pPr>
      <w:r>
        <w:rPr>
          <w:i/>
          <w:color w:val="555555"/>
          <w:sz w:val="19"/>
        </w:rPr>
        <w:t>The 2-8 mM range reported in the second source is lower than our proposed 5-80 mM series. This is flagged rather than smoothed over: it means our upper range (40, 80 mM) extends beyond directly-published territory for this specific relationship and should be treated as extrapolation.</w:t>
      </w:r>
    </w:p>
    <w:p>
      <w:pPr>
        <w:pStyle w:val="Heading2"/>
      </w:pPr>
      <w:r>
        <w:t>6.2  Why R6G ≠ NAM: non-resonant small molecule SERS on bare Ag</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4752"/>
            <w:shd w:val="clear" w:fill="5B2A86"/>
          </w:tcPr>
          <w:p>
            <w:r/>
            <w:r>
              <w:rPr>
                <w:b/>
                <w:color w:val="FFFFFF"/>
                <w:sz w:val="18"/>
              </w:rPr>
              <w:t>Source</w:t>
            </w:r>
          </w:p>
        </w:tc>
        <w:tc>
          <w:tcPr>
            <w:tcW w:type="dxa" w:w="3600"/>
            <w:shd w:val="clear" w:fill="5B2A86"/>
          </w:tcPr>
          <w:p>
            <w:r/>
            <w:r>
              <w:rPr>
                <w:b/>
                <w:color w:val="FFFFFF"/>
                <w:sz w:val="18"/>
              </w:rPr>
              <w:t>What it demonstrated</w:t>
            </w:r>
          </w:p>
        </w:tc>
        <w:tc>
          <w:tcPr>
            <w:tcW w:type="dxa" w:w="1440"/>
            <w:shd w:val="clear" w:fill="5B2A86"/>
          </w:tcPr>
          <w:p>
            <w:r/>
            <w:r>
              <w:rPr>
                <w:b/>
                <w:color w:val="FFFFFF"/>
                <w:sz w:val="18"/>
              </w:rPr>
              <w:t>Tier</w:t>
            </w:r>
          </w:p>
        </w:tc>
        <w:tc>
          <w:tcPr>
            <w:tcW w:type="dxa" w:w="2016"/>
            <w:shd w:val="clear" w:fill="5B2A86"/>
          </w:tcPr>
          <w:p>
            <w:r/>
            <w:r>
              <w:rPr>
                <w:b/>
                <w:color w:val="FFFFFF"/>
                <w:sz w:val="18"/>
              </w:rPr>
              <w:t>Supports</w:t>
            </w:r>
          </w:p>
        </w:tc>
      </w:tr>
      <w:tr>
        <w:tc>
          <w:tcPr>
            <w:tcW w:type="dxa" w:w="4752"/>
          </w:tcPr>
          <w:p>
            <w:r/>
            <w:r>
              <w:rPr>
                <w:sz w:val="15"/>
              </w:rPr>
              <w:t>Tzeng, Y. &amp; Lin, B-Y. (2020). "Silver SERS Adenine Sensors with a Very Low Detection Limit." Biosensors 10(5):53. DOI: 10.3390/bios10050053.</w:t>
            </w:r>
          </w:p>
        </w:tc>
        <w:tc>
          <w:tcPr>
            <w:tcW w:type="dxa" w:w="3600"/>
          </w:tcPr>
          <w:p>
            <w:r/>
            <w:r>
              <w:rPr>
                <w:sz w:val="15"/>
              </w:rPr>
              <w:t>Adenine (a non-resonant, weakly-adsorbing small molecule structurally comparable in spirit to NAM) on bare Ag SERS substrates achieves detection limits many orders of magnitude worse than R6G on the same class of sensor, even with closely-packed Ag nanoparticle clusters engineered for high field enhancement.</w:t>
            </w:r>
          </w:p>
        </w:tc>
        <w:tc>
          <w:tcPr>
            <w:tcW w:type="dxa" w:w="1440"/>
          </w:tcPr>
          <w:p>
            <w:r/>
            <w:r>
              <w:rPr>
                <w:sz w:val="15"/>
              </w:rPr>
              <w:t>DIRECT</w:t>
            </w:r>
          </w:p>
        </w:tc>
        <w:tc>
          <w:tcPr>
            <w:tcW w:type="dxa" w:w="2016"/>
          </w:tcPr>
          <w:p>
            <w:r/>
            <w:r>
              <w:rPr>
                <w:sz w:val="15"/>
              </w:rPr>
              <w:t>Section 3 — direct precedent for the R6G-strong/other-analyte-weak pattern seen in our own data</w:t>
            </w:r>
          </w:p>
        </w:tc>
      </w:tr>
      <w:tr>
        <w:tc>
          <w:tcPr>
            <w:tcW w:type="dxa" w:w="4752"/>
            <w:shd w:val="clear" w:fill="EFE6F7"/>
          </w:tcPr>
          <w:p>
            <w:r/>
            <w:r>
              <w:rPr>
                <w:sz w:val="15"/>
              </w:rPr>
              <w:t>Related follow-up: "Silver-Based SERS Pico-Molar Adenine Sensor." Biosensors. DOI: 10.3390/bios10090122.</w:t>
            </w:r>
          </w:p>
        </w:tc>
        <w:tc>
          <w:tcPr>
            <w:tcW w:type="dxa" w:w="3600"/>
            <w:shd w:val="clear" w:fill="EFE6F7"/>
          </w:tcPr>
          <w:p>
            <w:r/>
            <w:r>
              <w:rPr>
                <w:sz w:val="15"/>
              </w:rPr>
              <w:t>Further engineered Ag SERS substrate work pushing adenine LOD down, still requiring substrate engineering beyond what a simple bare-Ag surface provides.</w:t>
            </w:r>
          </w:p>
        </w:tc>
        <w:tc>
          <w:tcPr>
            <w:tcW w:type="dxa" w:w="1440"/>
            <w:shd w:val="clear" w:fill="EFE6F7"/>
          </w:tcPr>
          <w:p>
            <w:r/>
            <w:r>
              <w:rPr>
                <w:sz w:val="15"/>
              </w:rPr>
              <w:t>RELATED</w:t>
            </w:r>
          </w:p>
        </w:tc>
        <w:tc>
          <w:tcPr>
            <w:tcW w:type="dxa" w:w="2016"/>
            <w:shd w:val="clear" w:fill="EFE6F7"/>
          </w:tcPr>
          <w:p>
            <w:r/>
            <w:r>
              <w:rPr>
                <w:sz w:val="15"/>
              </w:rPr>
              <w:t>Reinforces that non-resonant small-molecule detection on bare Ag typically needs substrate optimization or capture chemistry, not just "more Raman"</w:t>
            </w:r>
          </w:p>
        </w:tc>
      </w:tr>
    </w:tbl>
    <w:p>
      <w:pPr>
        <w:spacing w:after="40"/>
      </w:pPr>
    </w:p>
    <w:p>
      <w:pPr>
        <w:pStyle w:val="Heading2"/>
      </w:pPr>
      <w:r>
        <w:t>6.3  NAM/MurNAc-specific SERS literature</w:t>
      </w:r>
    </w:p>
    <w:tbl>
      <w:tblPr>
        <w:tblStyle w:val="TableGrid"/>
        <w:tblW w:type="auto" w:w="0"/>
        <w:tblLook w:firstColumn="1" w:firstRow="1" w:lastColumn="0" w:lastRow="0" w:noHBand="0" w:noVBand="1" w:val="04A0"/>
      </w:tblPr>
      <w:tblGrid>
        <w:gridCol w:w="9893"/>
      </w:tblGrid>
      <w:tr>
        <w:tc>
          <w:tcPr>
            <w:tcW w:type="dxa" w:w="9893"/>
            <w:shd w:val="clear" w:fill="FCEFDD"/>
          </w:tcPr>
          <w:p>
            <w:r/>
            <w:r>
              <w:rPr>
                <w:b/>
                <w:color w:val="B56A0A"/>
                <w:sz w:val="19"/>
              </w:rPr>
              <w:t>NOT CONFIRMED — No published SERS (or even standard Raman) spectrum of isolated, free N-acetylmuramic acid was located in the extensive literature survey conducted earlier in this project (101-paper NAM-SERS literature review, and the 60+ source cross-technology comparison, both completed 8 Aug 2026). This gap is precisely what your own manuscript's reference-spectrum work is addressing — there is no external published NAM Raman/SERS peak list to check our own peak assignments against; the peak list used in this plan (930, 871, 541, 1023, 1347, 1394 cm-1) comes only from your own manuscript's powder Raman reference table.</w:t>
            </w:r>
          </w:p>
        </w:tc>
      </w:tr>
    </w:tbl>
    <w:p>
      <w:pPr>
        <w:spacing w:after="80"/>
      </w:pPr>
    </w:p>
    <w:p>
      <w:pPr>
        <w:pStyle w:val="Heading2"/>
      </w:pPr>
      <w:r>
        <w:t>6.4  Boronic-acid (MPBA) capture chemistry — deferred, evidence collected for later</w:t>
      </w:r>
    </w:p>
    <w:tbl>
      <w:tblPr>
        <w:tblStyle w:val="TableGrid"/>
        <w:tblW w:type="auto" w:w="0"/>
        <w:jc w:val="center"/>
        <w:tblLayout w:type="autofit"/>
        <w:tblLook w:firstColumn="1" w:firstRow="1" w:lastColumn="0" w:lastRow="0" w:noHBand="0" w:noVBand="1" w:val="04A0"/>
      </w:tblPr>
      <w:tblGrid>
        <w:gridCol w:w="2473"/>
        <w:gridCol w:w="2473"/>
        <w:gridCol w:w="2473"/>
        <w:gridCol w:w="2473"/>
      </w:tblGrid>
      <w:tr>
        <w:tc>
          <w:tcPr>
            <w:tcW w:type="dxa" w:w="4752"/>
            <w:shd w:val="clear" w:fill="5B2A86"/>
          </w:tcPr>
          <w:p>
            <w:r/>
            <w:r>
              <w:rPr>
                <w:b/>
                <w:color w:val="FFFFFF"/>
                <w:sz w:val="18"/>
              </w:rPr>
              <w:t>Source</w:t>
            </w:r>
          </w:p>
        </w:tc>
        <w:tc>
          <w:tcPr>
            <w:tcW w:type="dxa" w:w="3600"/>
            <w:shd w:val="clear" w:fill="5B2A86"/>
          </w:tcPr>
          <w:p>
            <w:r/>
            <w:r>
              <w:rPr>
                <w:b/>
                <w:color w:val="FFFFFF"/>
                <w:sz w:val="18"/>
              </w:rPr>
              <w:t>What it demonstrated</w:t>
            </w:r>
          </w:p>
        </w:tc>
        <w:tc>
          <w:tcPr>
            <w:tcW w:type="dxa" w:w="1440"/>
            <w:shd w:val="clear" w:fill="5B2A86"/>
          </w:tcPr>
          <w:p>
            <w:r/>
            <w:r>
              <w:rPr>
                <w:b/>
                <w:color w:val="FFFFFF"/>
                <w:sz w:val="18"/>
              </w:rPr>
              <w:t>Tier</w:t>
            </w:r>
          </w:p>
        </w:tc>
        <w:tc>
          <w:tcPr>
            <w:tcW w:type="dxa" w:w="2016"/>
            <w:shd w:val="clear" w:fill="5B2A86"/>
          </w:tcPr>
          <w:p>
            <w:r/>
            <w:r>
              <w:rPr>
                <w:b/>
                <w:color w:val="FFFFFF"/>
                <w:sz w:val="18"/>
              </w:rPr>
              <w:t>Supports</w:t>
            </w:r>
          </w:p>
        </w:tc>
      </w:tr>
      <w:tr>
        <w:tc>
          <w:tcPr>
            <w:tcW w:type="dxa" w:w="4752"/>
          </w:tcPr>
          <w:p>
            <w:r/>
            <w:r>
              <w:rPr>
                <w:sz w:val="15"/>
              </w:rPr>
              <w:t>Colorimetric/SERS bacterial detection papers using 4-mercaptophenylboronic acid (4-MPBA): e.g. ACS Omega (2023), DOI: 10.1021/acsomega.3c01205; glucose-detection SERS work, PMC8068217.</w:t>
            </w:r>
          </w:p>
        </w:tc>
        <w:tc>
          <w:tcPr>
            <w:tcW w:type="dxa" w:w="3600"/>
          </w:tcPr>
          <w:p>
            <w:r/>
            <w:r>
              <w:rPr>
                <w:sz w:val="15"/>
              </w:rPr>
              <w:t>4-MPBA's thiol group binds Ag/Au surfaces strongly; its boronic acid group forms reversible covalent bonds with cis-diol groups on saccharides/peptidoglycan, demonstrated for bacterial detection and free-sugar (glucose) SERS detection.</w:t>
            </w:r>
          </w:p>
        </w:tc>
        <w:tc>
          <w:tcPr>
            <w:tcW w:type="dxa" w:w="1440"/>
          </w:tcPr>
          <w:p>
            <w:r/>
            <w:r>
              <w:rPr>
                <w:sz w:val="15"/>
              </w:rPr>
              <w:t>RELATED (peptidoglycan/diol recognition demonstrated broadly; not MurNAc-molecule-specific, and mostly on Au rather than Ag)</w:t>
            </w:r>
          </w:p>
        </w:tc>
        <w:tc>
          <w:tcPr>
            <w:tcW w:type="dxa" w:w="2016"/>
          </w:tcPr>
          <w:p>
            <w:r/>
            <w:r>
              <w:rPr>
                <w:sz w:val="15"/>
              </w:rPr>
              <w:t>Confirms the mechanism MPBA is expected to provide once available — cited here for planning purposes only, not used to justify anything in the current bare-Ag round</w:t>
            </w:r>
          </w:p>
        </w:tc>
      </w:tr>
    </w:tbl>
    <w:p>
      <w:pPr>
        <w:spacing w:after="40"/>
      </w:pPr>
    </w:p>
    <w:p>
      <w:pPr>
        <w:spacing w:after="160"/>
        <w:ind w:left="360"/>
      </w:pPr>
      <w:r>
        <w:rPr>
          <w:i/>
          <w:color w:val="555555"/>
          <w:sz w:val="19"/>
        </w:rPr>
        <w:t>Per the constraint at the top of this project, none of the MPBA evidence above is used to justify any action in the current experimental round — it is recorded here so the rationale is ready when MPBA becomes available (Document A Section 13 equivalent / Section 8 roadmap below).</w:t>
      </w:r>
    </w:p>
    <w:p>
      <w:pPr>
        <w:pStyle w:val="Heading2"/>
      </w:pPr>
      <w:r>
        <w:t>6.5  Reagent identity</w:t>
      </w:r>
    </w:p>
    <w:p>
      <w:pPr>
        <w:pStyle w:val="ListBullet"/>
        <w:spacing w:after="60"/>
      </w:pPr>
      <w:r>
        <w:t>N-acetylmuramic acid: PubChem CID 5462244; Sigma-Aldrich product A3007; CAS 10597-89-4; MW 293.27 g/mol, formula C11H19NO8 — cross-checked independently by manual stoichiometric calculation from the muramic-acid/GlcNAc structure (Section 2 of Document A), which reproduced 293.27 g/mol exactly.</w:t>
      </w:r>
    </w:p>
    <w:p>
      <w:r>
        <w:br w:type="page"/>
      </w:r>
    </w:p>
    <w:p>
      <w:pPr>
        <w:pStyle w:val="Heading1"/>
      </w:pPr>
      <w:r>
        <w:t>7. Decision Tree</w:t>
      </w:r>
    </w:p>
    <w:p>
      <w:pPr>
        <w:pStyle w:val="Heading2"/>
      </w:pPr>
      <w:r>
        <w:t>7.1  Based on which AgNO3 condition performs best (for R6G, then checked against NAM)</w:t>
      </w:r>
    </w:p>
    <w:p>
      <w:pPr>
        <w:pStyle w:val="ListBullet"/>
        <w:spacing w:after="60"/>
      </w:pPr>
      <w:r>
        <w:rPr>
          <w:b/>
        </w:rPr>
        <w:t xml:space="preserve">If LOW AgNO3 (5 or 10 mM) performs best: </w:t>
      </w:r>
      <w:r>
        <w:t>suggests larger, more sparsely distributed particles/gaps are favorable in your system — counter to the naive "denser is better" assumption. Next: narrow the series further downward (e.g. 1-5 mM) to find whether an even lower concentration helps more, and re-examine whether gap size (not density) is the operative variable.</w:t>
      </w:r>
    </w:p>
    <w:p>
      <w:pPr>
        <w:pStyle w:val="ListBullet"/>
        <w:spacing w:after="60"/>
      </w:pPr>
      <w:r>
        <w:rPr>
          <w:b/>
        </w:rPr>
        <w:t xml:space="preserve">If MEDIUM AgNO3 (20 mM baseline, or the new 10 mM point) performs best: </w:t>
      </w:r>
      <w:r>
        <w:t>suggests today's original 2-min/20 mM condition was already close to a local optimum for this etch time. Next: hold AgNO3 near this value and explore the OTHER axis not yet tested at 2 min specifically — e.g. finer etch-time steps (1, 1.5, 2, 2.5, 3 min) around the known-good 2-min point.</w:t>
      </w:r>
    </w:p>
    <w:p>
      <w:pPr>
        <w:pStyle w:val="ListBullet"/>
        <w:spacing w:after="60"/>
      </w:pPr>
      <w:r>
        <w:rPr>
          <w:b/>
        </w:rPr>
        <w:t xml:space="preserve">If HIGH AgNO3 (40 or 80 mM) performs best: </w:t>
      </w:r>
      <w:r>
        <w:t>suggests your system tolerates or benefits from higher nucleation density more than literature on other systems would predict (Section 6.1 flags that 40/80 mM exceeds the directly-tested 2-8 mM literature range) — worth an independent repeat before trusting it, and worth extending the series higher (e.g. 120, 160 mM) to find the eventual aggregation ceiling.</w:t>
      </w:r>
    </w:p>
    <w:p>
      <w:pPr>
        <w:pStyle w:val="ListBullet"/>
        <w:spacing w:after="60"/>
      </w:pPr>
      <w:r>
        <w:rPr>
          <w:b/>
        </w:rPr>
        <w:t xml:space="preserve">If all four/five conditions perform similarly (for R6G): </w:t>
      </w:r>
      <w:r>
        <w:t>AgNO3 concentration, across this range, is not the dominant lever for your system's SERS enhancement — the etch time (already known to matter a lot, 2 vs 5 vs 10 min) is doing more work than AgNO3 concentration. Next: prioritize finer etch-time resolution over further AgNO3 exploration.</w:t>
      </w:r>
    </w:p>
    <w:p>
      <w:pPr>
        <w:pStyle w:val="Heading2"/>
      </w:pPr>
      <w:r>
        <w:t>7.2  Based on the NAM result specifically</w:t>
      </w:r>
    </w:p>
    <w:p>
      <w:pPr>
        <w:pStyle w:val="ListBullet"/>
        <w:spacing w:after="60"/>
      </w:pPr>
      <w:r>
        <w:rPr>
          <w:b/>
        </w:rPr>
        <w:t xml:space="preserve">If R6G is strong on a given AgNO3 condition but NAM remains absent there too: </w:t>
      </w:r>
      <w:r>
        <w:t>implies the electromagnetic/hotspot side of the system is fine on that substrate, and the limiter is NAM-specific (adsorption/capture, weak cross-section, or both) rather than a general substrate deficiency — this is the single most informative negative result, and directly supports moving to MPBA once available rather than continuing bare-Ag nanostructure tuning.</w:t>
      </w:r>
    </w:p>
    <w:p>
      <w:pPr>
        <w:pStyle w:val="ListBullet"/>
        <w:spacing w:after="60"/>
      </w:pPr>
      <w:r>
        <w:rPr>
          <w:b/>
        </w:rPr>
        <w:t xml:space="preserve">If NAM appears ONLY at a higher NAM concentration (Section 6.2/Document A conditional Exp. 2), on an otherwise-fixed substrate: </w:t>
      </w:r>
      <w:r>
        <w:t>implies the substrate can produce a NAM signal in principle, just not at the concentration/adsorption efficiency tested — supports that a capture layer (which concentrates NAM at the surface without needing bulk concentration increases) should help substantially once available.</w:t>
      </w:r>
    </w:p>
    <w:p>
      <w:pPr>
        <w:pStyle w:val="ListBullet"/>
        <w:spacing w:after="60"/>
      </w:pPr>
      <w:r>
        <w:rPr>
          <w:b/>
        </w:rPr>
        <w:t xml:space="preserve">If NAM does not appear even at 10x concentration on the best substrate: </w:t>
      </w:r>
      <w:r>
        <w:t>implies adsorption/capture, not raw quantity, is the dominant limiter — strengthens the case that MPBA (or another capture strategy) is necessary, not just helpful, and that further concentration increases alone are not a productive path.</w:t>
      </w:r>
    </w:p>
    <w:p>
      <w:r>
        <w:br w:type="page"/>
      </w:r>
    </w:p>
    <w:p>
      <w:pPr>
        <w:pStyle w:val="Heading1"/>
      </w:pPr>
      <w:r>
        <w:t>8. Full Experiment Roadmap</w:t>
      </w:r>
    </w:p>
    <w:tbl>
      <w:tblPr>
        <w:tblStyle w:val="TableGrid"/>
        <w:tblW w:type="auto" w:w="0"/>
        <w:jc w:val="center"/>
        <w:tblLayout w:type="autofit"/>
        <w:tblLook w:firstColumn="1" w:firstRow="1" w:lastColumn="0" w:lastRow="0" w:noHBand="0" w:noVBand="1" w:val="04A0"/>
      </w:tblPr>
      <w:tblGrid>
        <w:gridCol w:w="4946"/>
        <w:gridCol w:w="4946"/>
      </w:tblGrid>
      <w:tr>
        <w:tc>
          <w:tcPr>
            <w:tcW w:type="dxa" w:w="3744"/>
            <w:shd w:val="clear" w:fill="5B2A86"/>
          </w:tcPr>
          <w:p>
            <w:r/>
            <w:r>
              <w:rPr>
                <w:b/>
                <w:color w:val="FFFFFF"/>
                <w:sz w:val="18"/>
              </w:rPr>
              <w:t>Stage</w:t>
            </w:r>
          </w:p>
        </w:tc>
        <w:tc>
          <w:tcPr>
            <w:tcW w:type="dxa" w:w="6480"/>
            <w:shd w:val="clear" w:fill="5B2A86"/>
          </w:tcPr>
          <w:p>
            <w:r/>
            <w:r>
              <w:rPr>
                <w:b/>
                <w:color w:val="FFFFFF"/>
                <w:sz w:val="18"/>
              </w:rPr>
              <w:t>What happens / what triggers moving to it</w:t>
            </w:r>
          </w:p>
        </w:tc>
      </w:tr>
      <w:tr>
        <w:tc>
          <w:tcPr>
            <w:tcW w:type="dxa" w:w="3744"/>
          </w:tcPr>
          <w:p>
            <w:r/>
            <w:r>
              <w:rPr>
                <w:sz w:val="16"/>
              </w:rPr>
              <w:t>CURRENT RESULT</w:t>
            </w:r>
          </w:p>
        </w:tc>
        <w:tc>
          <w:tcPr>
            <w:tcW w:type="dxa" w:w="6480"/>
          </w:tcPr>
          <w:p>
            <w:r/>
            <w:r>
              <w:rPr>
                <w:sz w:val="16"/>
              </w:rPr>
              <w:t>R6G strong at all 3 etch times (2 min best); NAM not reproducibly detected anywhere. [Done, 12 Aug 2026]</w:t>
            </w:r>
          </w:p>
        </w:tc>
      </w:tr>
      <w:tr>
        <w:tc>
          <w:tcPr>
            <w:tcW w:type="dxa" w:w="3744"/>
            <w:shd w:val="clear" w:fill="EFE6F7"/>
          </w:tcPr>
          <w:p>
            <w:r/>
            <w:r>
              <w:rPr>
                <w:sz w:val="16"/>
              </w:rPr>
              <w:t>↓ triggers →</w:t>
            </w:r>
          </w:p>
        </w:tc>
        <w:tc>
          <w:tcPr>
            <w:tcW w:type="dxa" w:w="6480"/>
            <w:shd w:val="clear" w:fill="EFE6F7"/>
          </w:tcPr>
          <w:p>
            <w:r/>
            <w:r>
              <w:rPr>
                <w:sz w:val="16"/>
              </w:rPr>
              <w:t>Bare-Ag nanostructure optimization is a reasonable next step because the substrate side is validated (R6G) but untested for whether geometry alone affects a non-resonant analyte.</w:t>
            </w:r>
          </w:p>
        </w:tc>
      </w:tr>
      <w:tr>
        <w:tc>
          <w:tcPr>
            <w:tcW w:type="dxa" w:w="3744"/>
          </w:tcPr>
          <w:p>
            <w:r/>
            <w:r>
              <w:rPr>
                <w:sz w:val="16"/>
              </w:rPr>
              <w:t>Experiment 1: AgNO3 series (5/10/20/40/80 mM, 2-min etch)</w:t>
            </w:r>
          </w:p>
        </w:tc>
        <w:tc>
          <w:tcPr>
            <w:tcW w:type="dxa" w:w="6480"/>
          </w:tcPr>
          <w:p>
            <w:r/>
            <w:r>
              <w:rPr>
                <w:sz w:val="16"/>
              </w:rPr>
              <w:t>Document A, Sections 3-9.</w:t>
            </w:r>
          </w:p>
        </w:tc>
      </w:tr>
      <w:tr>
        <w:tc>
          <w:tcPr>
            <w:tcW w:type="dxa" w:w="3744"/>
            <w:shd w:val="clear" w:fill="EFE6F7"/>
          </w:tcPr>
          <w:p>
            <w:r/>
            <w:r>
              <w:rPr>
                <w:sz w:val="16"/>
              </w:rPr>
              <w:t>↓ triggers →</w:t>
            </w:r>
          </w:p>
        </w:tc>
        <w:tc>
          <w:tcPr>
            <w:tcW w:type="dxa" w:w="6480"/>
            <w:shd w:val="clear" w:fill="EFE6F7"/>
          </w:tcPr>
          <w:p>
            <w:r/>
            <w:r>
              <w:rPr>
                <w:sz w:val="16"/>
              </w:rPr>
              <w:t>Completion of Experiment 1 with full blank/R6G/NAM data on all 5 groups.</w:t>
            </w:r>
          </w:p>
        </w:tc>
      </w:tr>
      <w:tr>
        <w:tc>
          <w:tcPr>
            <w:tcW w:type="dxa" w:w="3744"/>
          </w:tcPr>
          <w:p>
            <w:r/>
            <w:r>
              <w:rPr>
                <w:sz w:val="16"/>
              </w:rPr>
              <w:t>Analyze R6G + NAM per group</w:t>
            </w:r>
          </w:p>
        </w:tc>
        <w:tc>
          <w:tcPr>
            <w:tcW w:type="dxa" w:w="6480"/>
          </w:tcPr>
          <w:p>
            <w:r/>
            <w:r>
              <w:rPr>
                <w:sz w:val="16"/>
              </w:rPr>
              <w:t>Apply decision criteria (Document A Section 15) and detection criteria (Document A Section 12.3).</w:t>
            </w:r>
          </w:p>
        </w:tc>
      </w:tr>
      <w:tr>
        <w:tc>
          <w:tcPr>
            <w:tcW w:type="dxa" w:w="3744"/>
            <w:shd w:val="clear" w:fill="EFE6F7"/>
          </w:tcPr>
          <w:p>
            <w:r/>
            <w:r>
              <w:rPr>
                <w:sz w:val="16"/>
              </w:rPr>
              <w:t>↓ triggers →</w:t>
            </w:r>
          </w:p>
        </w:tc>
        <w:tc>
          <w:tcPr>
            <w:tcW w:type="dxa" w:w="6480"/>
            <w:shd w:val="clear" w:fill="EFE6F7"/>
          </w:tcPr>
          <w:p>
            <w:r/>
            <w:r>
              <w:rPr>
                <w:sz w:val="16"/>
              </w:rPr>
              <w:t>A ranked outcome per Section 7.1/7.2 above.</w:t>
            </w:r>
          </w:p>
        </w:tc>
      </w:tr>
      <w:tr>
        <w:tc>
          <w:tcPr>
            <w:tcW w:type="dxa" w:w="3744"/>
          </w:tcPr>
          <w:p>
            <w:r/>
            <w:r>
              <w:rPr>
                <w:sz w:val="16"/>
              </w:rPr>
              <w:t>Decision (Section 7)</w:t>
            </w:r>
          </w:p>
        </w:tc>
        <w:tc>
          <w:tcPr>
            <w:tcW w:type="dxa" w:w="6480"/>
          </w:tcPr>
          <w:p>
            <w:r/>
            <w:r>
              <w:rPr>
                <w:sz w:val="16"/>
              </w:rPr>
              <w:t>Which branch applies determines the next step.</w:t>
            </w:r>
          </w:p>
        </w:tc>
      </w:tr>
      <w:tr>
        <w:tc>
          <w:tcPr>
            <w:tcW w:type="dxa" w:w="3744"/>
            <w:shd w:val="clear" w:fill="EFE6F7"/>
          </w:tcPr>
          <w:p>
            <w:r/>
            <w:r>
              <w:rPr>
                <w:sz w:val="16"/>
              </w:rPr>
              <w:t>↓ triggers →</w:t>
            </w:r>
          </w:p>
        </w:tc>
        <w:tc>
          <w:tcPr>
            <w:tcW w:type="dxa" w:w="6480"/>
            <w:shd w:val="clear" w:fill="EFE6F7"/>
          </w:tcPr>
          <w:p>
            <w:r/>
            <w:r>
              <w:rPr>
                <w:sz w:val="16"/>
              </w:rPr>
              <w:t>If NAM detected on some condition: proceed to reproducibility repeat on that condition. If not: proceed to conditional NAM concentration test.</w:t>
            </w:r>
          </w:p>
        </w:tc>
      </w:tr>
      <w:tr>
        <w:tc>
          <w:tcPr>
            <w:tcW w:type="dxa" w:w="3744"/>
          </w:tcPr>
          <w:p>
            <w:r/>
            <w:r>
              <w:rPr>
                <w:sz w:val="16"/>
              </w:rPr>
              <w:t>Experiment 2: conditional NAM concentration series (1x/5x/10x) on best AgNO3 condition ONLY</w:t>
            </w:r>
          </w:p>
        </w:tc>
        <w:tc>
          <w:tcPr>
            <w:tcW w:type="dxa" w:w="6480"/>
          </w:tcPr>
          <w:p>
            <w:r/>
            <w:r>
              <w:rPr>
                <w:sz w:val="16"/>
              </w:rPr>
              <w:t>Document A Section 8.2 equivalent — only if Experiment 1 is negative.</w:t>
            </w:r>
          </w:p>
        </w:tc>
      </w:tr>
      <w:tr>
        <w:tc>
          <w:tcPr>
            <w:tcW w:type="dxa" w:w="3744"/>
            <w:shd w:val="clear" w:fill="EFE6F7"/>
          </w:tcPr>
          <w:p>
            <w:r/>
            <w:r>
              <w:rPr>
                <w:sz w:val="16"/>
              </w:rPr>
              <w:t>↓ triggers →</w:t>
            </w:r>
          </w:p>
        </w:tc>
        <w:tc>
          <w:tcPr>
            <w:tcW w:type="dxa" w:w="6480"/>
            <w:shd w:val="clear" w:fill="EFE6F7"/>
          </w:tcPr>
          <w:p>
            <w:r/>
            <w:r>
              <w:rPr>
                <w:sz w:val="16"/>
              </w:rPr>
              <w:t>A clear answer to "is it concentration or adsorption" (Section 7.2).</w:t>
            </w:r>
          </w:p>
        </w:tc>
      </w:tr>
      <w:tr>
        <w:tc>
          <w:tcPr>
            <w:tcW w:type="dxa" w:w="3744"/>
          </w:tcPr>
          <w:p>
            <w:r/>
            <w:r>
              <w:rPr>
                <w:sz w:val="16"/>
              </w:rPr>
              <w:t>NAM concentration optimization if justified</w:t>
            </w:r>
          </w:p>
        </w:tc>
        <w:tc>
          <w:tcPr>
            <w:tcW w:type="dxa" w:w="6480"/>
          </w:tcPr>
          <w:p>
            <w:r/>
            <w:r>
              <w:rPr>
                <w:sz w:val="16"/>
              </w:rPr>
              <w:t>Only if Experiment 2 shows concentration-dependence — otherwise skip directly to substrate optimization/MPBA.</w:t>
            </w:r>
          </w:p>
        </w:tc>
      </w:tr>
      <w:tr>
        <w:tc>
          <w:tcPr>
            <w:tcW w:type="dxa" w:w="3744"/>
            <w:shd w:val="clear" w:fill="EFE6F7"/>
          </w:tcPr>
          <w:p>
            <w:r/>
            <w:r>
              <w:rPr>
                <w:sz w:val="16"/>
              </w:rPr>
              <w:t>↓ triggers →</w:t>
            </w:r>
          </w:p>
        </w:tc>
        <w:tc>
          <w:tcPr>
            <w:tcW w:type="dxa" w:w="6480"/>
            <w:shd w:val="clear" w:fill="EFE6F7"/>
          </w:tcPr>
          <w:p>
            <w:r/>
            <w:r>
              <w:rPr>
                <w:sz w:val="16"/>
              </w:rPr>
              <w:t>Either a working bare-Ag condition at some NAM concentration, or confirmation that capture chemistry is required.</w:t>
            </w:r>
          </w:p>
        </w:tc>
      </w:tr>
      <w:tr>
        <w:tc>
          <w:tcPr>
            <w:tcW w:type="dxa" w:w="3744"/>
          </w:tcPr>
          <w:p>
            <w:r/>
            <w:r>
              <w:rPr>
                <w:sz w:val="16"/>
              </w:rPr>
              <w:t>Substrate optimization (2nd-order fabrication variables)</w:t>
            </w:r>
          </w:p>
        </w:tc>
        <w:tc>
          <w:tcPr>
            <w:tcW w:type="dxa" w:w="6480"/>
          </w:tcPr>
          <w:p>
            <w:r/>
            <w:r>
              <w:rPr>
                <w:sz w:val="16"/>
              </w:rPr>
              <w:t>Deposition cycles, reagent addition order — Document A/previous report Section 3B equivalent, only after AgNO3 series is exhausted.</w:t>
            </w:r>
          </w:p>
        </w:tc>
      </w:tr>
      <w:tr>
        <w:tc>
          <w:tcPr>
            <w:tcW w:type="dxa" w:w="3744"/>
            <w:shd w:val="clear" w:fill="EFE6F7"/>
          </w:tcPr>
          <w:p>
            <w:r/>
            <w:r>
              <w:rPr>
                <w:sz w:val="16"/>
              </w:rPr>
              <w:t>↓ triggers →</w:t>
            </w:r>
          </w:p>
        </w:tc>
        <w:tc>
          <w:tcPr>
            <w:tcW w:type="dxa" w:w="6480"/>
            <w:shd w:val="clear" w:fill="EFE6F7"/>
          </w:tcPr>
          <w:p>
            <w:r/>
            <w:r>
              <w:rPr>
                <w:sz w:val="16"/>
              </w:rPr>
              <w:t>MPBA reagent becomes available (external dependency, not a data-driven trigger).</w:t>
            </w:r>
          </w:p>
        </w:tc>
      </w:tr>
      <w:tr>
        <w:tc>
          <w:tcPr>
            <w:tcW w:type="dxa" w:w="3744"/>
          </w:tcPr>
          <w:p>
            <w:r/>
            <w:r>
              <w:rPr>
                <w:sz w:val="16"/>
              </w:rPr>
              <w:t>MPBA functionalization</w:t>
            </w:r>
          </w:p>
        </w:tc>
        <w:tc>
          <w:tcPr>
            <w:tcW w:type="dxa" w:w="6480"/>
          </w:tcPr>
          <w:p>
            <w:r/>
            <w:r>
              <w:rPr>
                <w:sz w:val="16"/>
              </w:rPr>
              <w:t>Apply to the best-performing bare-Ag condition identified above — not starting from scratch.</w:t>
            </w:r>
          </w:p>
        </w:tc>
      </w:tr>
      <w:tr>
        <w:tc>
          <w:tcPr>
            <w:tcW w:type="dxa" w:w="3744"/>
            <w:shd w:val="clear" w:fill="EFE6F7"/>
          </w:tcPr>
          <w:p>
            <w:r/>
            <w:r>
              <w:rPr>
                <w:sz w:val="16"/>
              </w:rPr>
              <w:t>↓ triggers →</w:t>
            </w:r>
          </w:p>
        </w:tc>
        <w:tc>
          <w:tcPr>
            <w:tcW w:type="dxa" w:w="6480"/>
            <w:shd w:val="clear" w:fill="EFE6F7"/>
          </w:tcPr>
          <w:p>
            <w:r/>
            <w:r>
              <w:rPr>
                <w:sz w:val="16"/>
              </w:rPr>
              <w:t>MPBA-functionalized substrate shows reproducible NAM signal in initial spot-checks.</w:t>
            </w:r>
          </w:p>
        </w:tc>
      </w:tr>
      <w:tr>
        <w:tc>
          <w:tcPr>
            <w:tcW w:type="dxa" w:w="3744"/>
          </w:tcPr>
          <w:p>
            <w:r/>
            <w:r>
              <w:rPr>
                <w:sz w:val="16"/>
              </w:rPr>
              <w:t>Capture optimization</w:t>
            </w:r>
          </w:p>
        </w:tc>
        <w:tc>
          <w:tcPr>
            <w:tcW w:type="dxa" w:w="6480"/>
          </w:tcPr>
          <w:p>
            <w:r/>
            <w:r>
              <w:rPr>
                <w:sz w:val="16"/>
              </w:rPr>
              <w:t>MPBA concentration, incubation time, pH (per earlier Boronic_Acid_Design_Rationale document) — not meaningful before this point.</w:t>
            </w:r>
          </w:p>
        </w:tc>
      </w:tr>
      <w:tr>
        <w:tc>
          <w:tcPr>
            <w:tcW w:type="dxa" w:w="3744"/>
            <w:shd w:val="clear" w:fill="EFE6F7"/>
          </w:tcPr>
          <w:p>
            <w:r/>
            <w:r>
              <w:rPr>
                <w:sz w:val="16"/>
              </w:rPr>
              <w:t>↓ triggers →</w:t>
            </w:r>
          </w:p>
        </w:tc>
        <w:tc>
          <w:tcPr>
            <w:tcW w:type="dxa" w:w="6480"/>
            <w:shd w:val="clear" w:fill="EFE6F7"/>
          </w:tcPr>
          <w:p>
            <w:r/>
            <w:r>
              <w:rPr>
                <w:sz w:val="16"/>
              </w:rPr>
              <w:t>A stable, reproducible functionalization protocol.</w:t>
            </w:r>
          </w:p>
        </w:tc>
      </w:tr>
      <w:tr>
        <w:tc>
          <w:tcPr>
            <w:tcW w:type="dxa" w:w="3744"/>
          </w:tcPr>
          <w:p>
            <w:r/>
            <w:r>
              <w:rPr>
                <w:sz w:val="16"/>
              </w:rPr>
              <w:t>NAM calibration curve</w:t>
            </w:r>
          </w:p>
        </w:tc>
        <w:tc>
          <w:tcPr>
            <w:tcW w:type="dxa" w:w="6480"/>
          </w:tcPr>
          <w:p>
            <w:r/>
            <w:r>
              <w:rPr>
                <w:sz w:val="16"/>
              </w:rPr>
              <w:t>Multi-point NAM concentration series on the finalized functionalized substrate.</w:t>
            </w:r>
          </w:p>
        </w:tc>
      </w:tr>
      <w:tr>
        <w:tc>
          <w:tcPr>
            <w:tcW w:type="dxa" w:w="3744"/>
            <w:shd w:val="clear" w:fill="EFE6F7"/>
          </w:tcPr>
          <w:p>
            <w:r/>
            <w:r>
              <w:rPr>
                <w:sz w:val="16"/>
              </w:rPr>
              <w:t>↓ triggers →</w:t>
            </w:r>
          </w:p>
        </w:tc>
        <w:tc>
          <w:tcPr>
            <w:tcW w:type="dxa" w:w="6480"/>
            <w:shd w:val="clear" w:fill="EFE6F7"/>
          </w:tcPr>
          <w:p>
            <w:r/>
            <w:r>
              <w:rPr>
                <w:sz w:val="16"/>
              </w:rPr>
              <w:t>A usable calibration curve with acceptable linearity/reproducibility.</w:t>
            </w:r>
          </w:p>
        </w:tc>
      </w:tr>
      <w:tr>
        <w:tc>
          <w:tcPr>
            <w:tcW w:type="dxa" w:w="3744"/>
          </w:tcPr>
          <w:p>
            <w:r/>
            <w:r>
              <w:rPr>
                <w:sz w:val="16"/>
              </w:rPr>
              <w:t>LOD/LOQ determination</w:t>
            </w:r>
          </w:p>
        </w:tc>
        <w:tc>
          <w:tcPr>
            <w:tcW w:type="dxa" w:w="6480"/>
          </w:tcPr>
          <w:p>
            <w:r/>
            <w:r>
              <w:rPr>
                <w:sz w:val="16"/>
              </w:rPr>
              <w:t>Statistically-grounded limit of detection/quantification, not just "lowest concentration tried."</w:t>
            </w:r>
          </w:p>
        </w:tc>
      </w:tr>
      <w:tr>
        <w:tc>
          <w:tcPr>
            <w:tcW w:type="dxa" w:w="3744"/>
            <w:shd w:val="clear" w:fill="EFE6F7"/>
          </w:tcPr>
          <w:p>
            <w:r/>
            <w:r>
              <w:rPr>
                <w:sz w:val="16"/>
              </w:rPr>
              <w:t>↓ triggers →</w:t>
            </w:r>
          </w:p>
        </w:tc>
        <w:tc>
          <w:tcPr>
            <w:tcW w:type="dxa" w:w="6480"/>
            <w:shd w:val="clear" w:fill="EFE6F7"/>
          </w:tcPr>
          <w:p>
            <w:r/>
            <w:r>
              <w:rPr>
                <w:sz w:val="16"/>
              </w:rPr>
              <w:t>LOD is at or below clinically/biologically relevant NAM concentrations (per the sepsis-biomarker literature already reviewed in earlier project reports).</w:t>
            </w:r>
          </w:p>
        </w:tc>
      </w:tr>
      <w:tr>
        <w:tc>
          <w:tcPr>
            <w:tcW w:type="dxa" w:w="3744"/>
          </w:tcPr>
          <w:p>
            <w:r/>
            <w:r>
              <w:rPr>
                <w:sz w:val="16"/>
              </w:rPr>
              <w:t>Real-sample validation</w:t>
            </w:r>
          </w:p>
        </w:tc>
        <w:tc>
          <w:tcPr>
            <w:tcW w:type="dxa" w:w="6480"/>
          </w:tcPr>
          <w:p>
            <w:r/>
            <w:r>
              <w:rPr>
                <w:sz w:val="16"/>
              </w:rPr>
              <w:t>The eventual translational goal — not started until every step above is in place.</w:t>
            </w:r>
          </w:p>
        </w:tc>
      </w:tr>
    </w:tbl>
    <w:p>
      <w:pPr>
        <w:spacing w:after="40"/>
      </w:pPr>
    </w:p>
    <w:p>
      <w:r>
        <w:br w:type="page"/>
      </w:r>
    </w:p>
    <w:p>
      <w:pPr>
        <w:pStyle w:val="Heading1"/>
      </w:pPr>
      <w:r>
        <w:t>9. Closing Summary</w:t>
      </w:r>
    </w:p>
    <w:p>
      <w:pPr>
        <w:pStyle w:val="Heading2"/>
      </w:pPr>
      <w:r>
        <w:t>WHAT WE KNOW</w:t>
      </w:r>
    </w:p>
    <w:p>
      <w:pPr>
        <w:pStyle w:val="ListBullet"/>
        <w:spacing w:after="60"/>
      </w:pPr>
      <w:r>
        <w:t>Bare Ag/black-Si substrates are strongly SERS-active for R6G at all three previously-tested etch times, with 2 min clearly best.</w:t>
      </w:r>
    </w:p>
    <w:p>
      <w:pPr>
        <w:pStyle w:val="ListBullet"/>
        <w:spacing w:after="60"/>
      </w:pPr>
      <w:r>
        <w:t>NAM was not reproducibly detected on any of those three etch times.</w:t>
      </w:r>
    </w:p>
    <w:p>
      <w:pPr>
        <w:pStyle w:val="ListBullet"/>
        <w:spacing w:after="60"/>
      </w:pPr>
      <w:r>
        <w:t>Your NAM stock is 1 mg/mL in DI water = 3.41 mM (corrected from an earlier MW error).</w:t>
      </w:r>
    </w:p>
    <w:p>
      <w:pPr>
        <w:pStyle w:val="ListBullet"/>
        <w:spacing w:after="60"/>
      </w:pPr>
      <w:r>
        <w:t>Your baseline AgNO3 bath is 0.170 g in 50 mL = 20.0 mM (independently verified, no assumptions needed).</w:t>
      </w:r>
    </w:p>
    <w:p>
      <w:pPr>
        <w:pStyle w:val="ListBullet"/>
        <w:spacing w:after="60"/>
      </w:pPr>
      <w:r>
        <w:t>No published NAM-specific SERS or Raman peak list exists outside your own manuscript's reference table.</w:t>
      </w:r>
    </w:p>
    <w:p>
      <w:pPr>
        <w:pStyle w:val="Heading2"/>
      </w:pPr>
      <w:r>
        <w:t>WHAT WE ARE TESTING</w:t>
      </w:r>
    </w:p>
    <w:p>
      <w:pPr>
        <w:pStyle w:val="ListBullet"/>
        <w:spacing w:after="60"/>
      </w:pPr>
      <w:r>
        <w:t>Whether Ag nanostructure morphology (via AgNO3 concentration, 5-80 mM, at fixed 2-min etch) affects NAM SERS detectability, independent of capture chemistry.</w:t>
      </w:r>
    </w:p>
    <w:p>
      <w:pPr>
        <w:pStyle w:val="Heading2"/>
      </w:pPr>
      <w:r>
        <w:t>WHAT WE EXPECT</w:t>
      </w:r>
    </w:p>
    <w:p>
      <w:pPr>
        <w:pStyle w:val="ListBullet"/>
        <w:spacing w:after="60"/>
      </w:pPr>
      <w:r>
        <w:t>R6G signal to vary with AgNO3 concentration in a way that's at least partially informative about nanostructure changes (though not necessarily monotonic, per the etch-time precedent).</w:t>
      </w:r>
    </w:p>
    <w:p>
      <w:pPr>
        <w:pStyle w:val="ListBullet"/>
        <w:spacing w:after="60"/>
      </w:pPr>
      <w:r>
        <w:t>NAM to most plausibly remain undetected or marginal across the series, because the literature-supported dominant limiter (Section 3) is adsorption/capture chemistry, which AgNO3 concentration alone does not fix — but this is a testable expectation, not a foregone conclusion, which is why the experiment is still worth running.</w:t>
      </w:r>
    </w:p>
    <w:p>
      <w:pPr>
        <w:pStyle w:val="Heading2"/>
      </w:pPr>
      <w:r>
        <w:t>WHAT WOULD CHANGE OUR MIND</w:t>
      </w:r>
    </w:p>
    <w:p>
      <w:pPr>
        <w:pStyle w:val="ListBullet"/>
        <w:spacing w:after="60"/>
      </w:pPr>
      <w:r>
        <w:t>A reproducible NAM signal (≥2 primary peaks, ≥2 of 3 spots, per Document A Section 12.3) on any AgNO3 condition that the 20 mM baseline does not show — this would mean nanostructure geometry does matter for NAM, at least partially, even without capture chemistry.</w:t>
      </w:r>
    </w:p>
    <w:p>
      <w:pPr>
        <w:pStyle w:val="ListBullet"/>
        <w:spacing w:after="60"/>
      </w:pPr>
      <w:r>
        <w:t>A NAM signal that appears only at higher NAM concentration on a fixed substrate — this would still support the capture-chemistry conclusion but add useful quantitative context (how much concentration is "enough").</w:t>
      </w:r>
    </w:p>
    <w:p>
      <w:pPr>
        <w:pStyle w:val="Heading2"/>
      </w:pPr>
      <w:r>
        <w:t>WHAT WE WILL DO NEXT</w:t>
      </w:r>
    </w:p>
    <w:p>
      <w:pPr>
        <w:pStyle w:val="ListBullet"/>
        <w:spacing w:after="60"/>
      </w:pPr>
      <w:r>
        <w:t>Run Experiment 1 (Document A) as the immediate next lab session.</w:t>
      </w:r>
    </w:p>
    <w:p>
      <w:pPr>
        <w:pStyle w:val="ListBullet"/>
        <w:spacing w:after="60"/>
      </w:pPr>
      <w:r>
        <w:t>Apply the decision tree (Section 7) to the results before deciding between Experiment 2 (NAM concentration) and moving toward MPBA.</w:t>
      </w:r>
    </w:p>
    <w:p>
      <w:pPr>
        <w:pStyle w:val="ListBullet"/>
        <w:spacing w:after="60"/>
      </w:pPr>
      <w:r>
        <w:t>Keep the roadmap (Section 8) as the standing reference for what triggers each subsequent stage, updating it as results come in rather than replacing it.</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Calibri" w:hAnsi="Calibri"/>
      <w:b/>
      <w:bCs/>
      <w:color w:val="5B2A86"/>
      <w:sz w:val="30"/>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Calibri" w:hAnsi="Calibri"/>
      <w:b/>
      <w:bCs/>
      <w:color w:val="1F2D3D"/>
      <w:sz w:val="25"/>
      <w:szCs w:val="26"/>
    </w:rPr>
  </w:style>
  <w:style w:type="paragraph" w:styleId="Heading3">
    <w:name w:val="heading 3"/>
    <w:basedOn w:val="Normal"/>
    <w:next w:val="Normal"/>
    <w:link w:val="Heading3Char"/>
    <w:uiPriority w:val="9"/>
    <w:unhideWhenUsed/>
    <w:qFormat/>
    <w:rsid w:val="00FC693F"/>
    <w:pPr>
      <w:keepNext/>
      <w:keepLines/>
      <w:spacing w:before="240" w:after="100"/>
      <w:outlineLvl w:val="2"/>
    </w:pPr>
    <w:rPr>
      <w:rFonts w:asciiTheme="majorHAnsi" w:eastAsiaTheme="majorEastAsia" w:hAnsiTheme="majorHAnsi" w:cstheme="majorBidi" w:ascii="Calibri" w:hAnsi="Calibri"/>
      <w:b/>
      <w:bCs/>
      <w:color w:val="1F2D3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