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eastAsia="Aptos Display"/>
          <w:b/>
          <w:color w:val="167D8D"/>
          <w:sz w:val="28"/>
        </w:rPr>
        <w:t>JULY 2026 MONTHLY PROGRESS REPORT WORK PLAN</w:t>
      </w:r>
    </w:p>
    <w:p>
      <w:pPr>
        <w:jc w:val="center"/>
      </w:pPr>
      <w:r>
        <w:rPr>
          <w:rFonts w:ascii="Aptos Display" w:hAnsi="Aptos Display" w:eastAsia="Aptos Display"/>
          <w:b/>
          <w:color w:val="123B5D"/>
          <w:sz w:val="48"/>
        </w:rPr>
        <w:t>Rapid Validation of an Ag/Si SERS Substrate</w:t>
        <w:br/>
        <w:t>for NAM Detection</w:t>
      </w:r>
    </w:p>
    <w:p>
      <w:pPr>
        <w:jc w:val="center"/>
      </w:pPr>
      <w:r>
        <w:rPr>
          <w:rFonts w:ascii="Aptos" w:hAnsi="Aptos" w:eastAsia="Aptos"/>
          <w:i/>
          <w:color w:val="5B6770"/>
          <w:sz w:val="24"/>
        </w:rPr>
        <w:t>Five-day execution plan and honest report template</w:t>
      </w:r>
    </w:p>
    <w:p/>
    <w:tbl>
      <w:tblPr>
        <w:tblW w:type="dxa" w:w="93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500"/>
        <w:gridCol w:w="6860"/>
      </w:tblGrid>
      <w:tr>
        <w:tc>
          <w:tcPr>
            <w:tcW w:type="dxa" w:w="2500"/>
            <w:shd w:fill="F3F5F7"/>
            <w:tcMar>
              <w:top w:w="90" w:type="dxa"/>
              <w:start w:w="120" w:type="dxa"/>
              <w:bottom w:w="90" w:type="dxa"/>
              <w:end w:w="120" w:type="dxa"/>
            </w:tcMar>
            <w:vAlign w:val="center"/>
          </w:tcPr>
          <w:p>
            <w:pPr>
              <w:pStyle w:val="TableText"/>
            </w:pPr>
            <w:r>
              <w:rPr>
                <w:rFonts w:ascii="Aptos" w:hAnsi="Aptos" w:eastAsia="Aptos"/>
                <w:b/>
                <w:color w:val="123B5D"/>
                <w:sz w:val="19"/>
              </w:rPr>
              <w:t>Student</w:t>
            </w:r>
          </w:p>
        </w:tc>
        <w:tc>
          <w:tcPr>
            <w:tcW w:type="dxa" w:w="6860"/>
            <w:tcMar>
              <w:top w:w="90" w:type="dxa"/>
              <w:start w:w="120" w:type="dxa"/>
              <w:bottom w:w="90" w:type="dxa"/>
              <w:end w:w="120" w:type="dxa"/>
            </w:tcMar>
            <w:vAlign w:val="center"/>
          </w:tcPr>
          <w:p>
            <w:pPr>
              <w:pStyle w:val="TableText"/>
            </w:pPr>
            <w:r>
              <w:rPr>
                <w:rFonts w:ascii="Aptos" w:hAnsi="Aptos" w:eastAsia="Aptos"/>
                <w:b w:val="0"/>
                <w:color w:val="1F2933"/>
                <w:sz w:val="19"/>
              </w:rPr>
              <w:t>Sukesh P | M24IM1007</w:t>
            </w:r>
          </w:p>
        </w:tc>
      </w:tr>
      <w:tr>
        <w:tc>
          <w:tcPr>
            <w:tcW w:type="dxa" w:w="2500"/>
            <w:shd w:fill="F3F5F7"/>
            <w:tcMar>
              <w:top w:w="90" w:type="dxa"/>
              <w:start w:w="120" w:type="dxa"/>
              <w:bottom w:w="90" w:type="dxa"/>
              <w:end w:w="120" w:type="dxa"/>
            </w:tcMar>
            <w:vAlign w:val="center"/>
          </w:tcPr>
          <w:p>
            <w:pPr>
              <w:pStyle w:val="TableText"/>
            </w:pPr>
            <w:r>
              <w:rPr>
                <w:rFonts w:ascii="Aptos" w:hAnsi="Aptos" w:eastAsia="Aptos"/>
                <w:b/>
                <w:color w:val="123B5D"/>
                <w:sz w:val="19"/>
              </w:rPr>
              <w:t>Project</w:t>
            </w:r>
          </w:p>
        </w:tc>
        <w:tc>
          <w:tcPr>
            <w:tcW w:type="dxa" w:w="6860"/>
            <w:tcMar>
              <w:top w:w="90" w:type="dxa"/>
              <w:start w:w="120" w:type="dxa"/>
              <w:bottom w:w="90" w:type="dxa"/>
              <w:end w:w="120" w:type="dxa"/>
            </w:tcMar>
            <w:vAlign w:val="center"/>
          </w:tcPr>
          <w:p>
            <w:pPr>
              <w:pStyle w:val="TableText"/>
            </w:pPr>
            <w:r>
              <w:rPr>
                <w:rFonts w:ascii="Aptos" w:hAnsi="Aptos" w:eastAsia="Aptos"/>
                <w:b w:val="0"/>
                <w:color w:val="1F2933"/>
                <w:sz w:val="19"/>
              </w:rPr>
              <w:t>Sepsis Biomarkers Analysis Using a SERS-Based Sensor</w:t>
            </w:r>
          </w:p>
        </w:tc>
      </w:tr>
      <w:tr>
        <w:tc>
          <w:tcPr>
            <w:tcW w:type="dxa" w:w="2500"/>
            <w:shd w:fill="F3F5F7"/>
            <w:tcMar>
              <w:top w:w="90" w:type="dxa"/>
              <w:start w:w="120" w:type="dxa"/>
              <w:bottom w:w="90" w:type="dxa"/>
              <w:end w:w="120" w:type="dxa"/>
            </w:tcMar>
            <w:vAlign w:val="center"/>
          </w:tcPr>
          <w:p>
            <w:pPr>
              <w:pStyle w:val="TableText"/>
            </w:pPr>
            <w:r>
              <w:rPr>
                <w:rFonts w:ascii="Aptos" w:hAnsi="Aptos" w:eastAsia="Aptos"/>
                <w:b/>
                <w:color w:val="123B5D"/>
                <w:sz w:val="19"/>
              </w:rPr>
              <w:t>Substrate</w:t>
            </w:r>
          </w:p>
        </w:tc>
        <w:tc>
          <w:tcPr>
            <w:tcW w:type="dxa" w:w="6860"/>
            <w:tcMar>
              <w:top w:w="90" w:type="dxa"/>
              <w:start w:w="120" w:type="dxa"/>
              <w:bottom w:w="90" w:type="dxa"/>
              <w:end w:w="120" w:type="dxa"/>
            </w:tcMar>
            <w:vAlign w:val="center"/>
          </w:tcPr>
          <w:p>
            <w:pPr>
              <w:pStyle w:val="TableText"/>
            </w:pPr>
            <w:r>
              <w:rPr>
                <w:rFonts w:ascii="Aptos" w:hAnsi="Aptos" w:eastAsia="Aptos"/>
                <w:b w:val="0"/>
                <w:color w:val="1F2933"/>
                <w:sz w:val="19"/>
              </w:rPr>
              <w:t>Silver-coated nanostructured silicon (Ag/Si)</w:t>
            </w:r>
          </w:p>
        </w:tc>
      </w:tr>
      <w:tr>
        <w:tc>
          <w:tcPr>
            <w:tcW w:type="dxa" w:w="2500"/>
            <w:shd w:fill="F3F5F7"/>
            <w:tcMar>
              <w:top w:w="90" w:type="dxa"/>
              <w:start w:w="120" w:type="dxa"/>
              <w:bottom w:w="90" w:type="dxa"/>
              <w:end w:w="120" w:type="dxa"/>
            </w:tcMar>
            <w:vAlign w:val="center"/>
          </w:tcPr>
          <w:p>
            <w:pPr>
              <w:pStyle w:val="TableText"/>
            </w:pPr>
            <w:r>
              <w:rPr>
                <w:rFonts w:ascii="Aptos" w:hAnsi="Aptos" w:eastAsia="Aptos"/>
                <w:b/>
                <w:color w:val="123B5D"/>
                <w:sz w:val="19"/>
              </w:rPr>
              <w:t>Reporting month</w:t>
            </w:r>
          </w:p>
        </w:tc>
        <w:tc>
          <w:tcPr>
            <w:tcW w:type="dxa" w:w="6860"/>
            <w:tcMar>
              <w:top w:w="90" w:type="dxa"/>
              <w:start w:w="120" w:type="dxa"/>
              <w:bottom w:w="90" w:type="dxa"/>
              <w:end w:w="120" w:type="dxa"/>
            </w:tcMar>
            <w:vAlign w:val="center"/>
          </w:tcPr>
          <w:p>
            <w:pPr>
              <w:pStyle w:val="TableText"/>
            </w:pPr>
            <w:r>
              <w:rPr>
                <w:rFonts w:ascii="Aptos" w:hAnsi="Aptos" w:eastAsia="Aptos"/>
                <w:b w:val="0"/>
                <w:color w:val="1F2933"/>
                <w:sz w:val="19"/>
              </w:rPr>
              <w:t>July 2026</w:t>
            </w:r>
          </w:p>
        </w:tc>
      </w:tr>
      <w:tr>
        <w:tc>
          <w:tcPr>
            <w:tcW w:type="dxa" w:w="2500"/>
            <w:shd w:fill="F3F5F7"/>
            <w:tcMar>
              <w:top w:w="90" w:type="dxa"/>
              <w:start w:w="120" w:type="dxa"/>
              <w:bottom w:w="90" w:type="dxa"/>
              <w:end w:w="120" w:type="dxa"/>
            </w:tcMar>
            <w:vAlign w:val="center"/>
          </w:tcPr>
          <w:p>
            <w:pPr>
              <w:pStyle w:val="TableText"/>
            </w:pPr>
            <w:r>
              <w:rPr>
                <w:rFonts w:ascii="Aptos" w:hAnsi="Aptos" w:eastAsia="Aptos"/>
                <w:b/>
                <w:color w:val="123B5D"/>
                <w:sz w:val="19"/>
              </w:rPr>
              <w:t>Status</w:t>
            </w:r>
          </w:p>
        </w:tc>
        <w:tc>
          <w:tcPr>
            <w:tcW w:type="dxa" w:w="6860"/>
            <w:tcMar>
              <w:top w:w="90" w:type="dxa"/>
              <w:start w:w="120" w:type="dxa"/>
              <w:bottom w:w="90" w:type="dxa"/>
              <w:end w:w="120" w:type="dxa"/>
            </w:tcMar>
            <w:vAlign w:val="center"/>
          </w:tcPr>
          <w:p>
            <w:pPr>
              <w:pStyle w:val="TableText"/>
            </w:pPr>
            <w:r>
              <w:rPr>
                <w:rFonts w:ascii="Aptos" w:hAnsi="Aptos" w:eastAsia="Aptos"/>
                <w:b w:val="0"/>
                <w:color w:val="1F2933"/>
                <w:sz w:val="19"/>
              </w:rPr>
              <w:t>To be completed using actual measurements before submission</w:t>
            </w:r>
          </w:p>
        </w:tc>
      </w:tr>
    </w:tbl>
    <w:tbl>
      <w:tblPr>
        <w:tblW w:type="dxa" w:w="9360"/>
        <w:jc w:val="left"/>
        <w:tblLayout w:type="fixed"/>
        <w:tblLook w:firstColumn="1" w:firstRow="1" w:lastColumn="0" w:lastRow="0" w:noHBand="0" w:noVBand="1" w:val="04A0"/>
        <w:tblInd w:w="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c>
          <w:tcPr>
            <w:tcW w:type="dxa" w:w="9360"/>
            <w:tcMar>
              <w:top w:w="90" w:type="dxa"/>
              <w:start w:w="120" w:type="dxa"/>
              <w:bottom w:w="90" w:type="dxa"/>
              <w:end w:w="120" w:type="dxa"/>
            </w:tcMar>
            <w:vAlign w:val="center"/>
            <w:shd w:fill="FFF4D6"/>
          </w:tcPr>
          <w:p>
            <w:pPr>
              <w:spacing w:after="0"/>
            </w:pPr>
            <w:r>
              <w:rPr>
                <w:rFonts w:ascii="Aptos" w:hAnsi="Aptos" w:eastAsia="Aptos"/>
                <w:b/>
                <w:color w:val="9A6700"/>
                <w:sz w:val="19"/>
              </w:rPr>
              <w:t xml:space="preserve">Integrity requirement  </w:t>
            </w:r>
            <w:r>
              <w:rPr>
                <w:rFonts w:ascii="Aptos" w:hAnsi="Aptos" w:eastAsia="Aptos"/>
                <w:color w:val="1F2933"/>
                <w:sz w:val="19"/>
              </w:rPr>
              <w:t>This document is a work plan and report template. Do not write an experiment as completed until it has been performed and the actual raw data, processed data, plots, and values have been saved. Use phrases such as 'preliminary validation', 'observed under the tested condition', and 'requires further optimization' where appropriate.</w:t>
            </w:r>
          </w:p>
        </w:tc>
      </w:tr>
    </w:tbl>
    <w:p>
      <w:pPr>
        <w:spacing w:after="20"/>
      </w:pPr>
    </w:p>
    <w:p>
      <w:pPr>
        <w:sectPr>
          <w:headerReference w:type="default" r:id="rId9"/>
          <w:footerReference w:type="default" r:id="rId10"/>
          <w:pgSz w:w="11906" w:h="16838"/>
          <w:pgMar w:top="1134" w:right="1077" w:bottom="1020" w:left="1077" w:header="567" w:footer="510" w:gutter="0"/>
          <w:cols w:space="720"/>
          <w:titlePg/>
          <w:docGrid w:linePitch="360"/>
        </w:sectPr>
      </w:pPr>
    </w:p>
    <w:p>
      <w:pPr>
        <w:pStyle w:val="Heading1"/>
      </w:pPr>
      <w:r>
        <w:t>1. July Objective</w:t>
      </w:r>
    </w:p>
    <w:p>
      <w:pPr>
        <w:spacing w:before="0" w:after="120"/>
      </w:pPr>
      <w:r>
        <w:rPr>
          <w:rFonts w:ascii="Aptos" w:hAnsi="Aptos" w:eastAsia="Aptos"/>
          <w:i w:val="0"/>
          <w:color w:val="1F2933"/>
        </w:rPr>
        <w:t>The July objective is to perform a rapid, controlled validation study of the existing silver-coated nanostructured silicon SERS substrate. R6G will be used as a positive control to verify substrate performance, followed by preliminary NAM measurements to determine whether the substrate produces a reproducible and concentration-dependent bacterial biomarker response.</w:t>
      </w:r>
    </w:p>
    <w:tbl>
      <w:tblPr>
        <w:tblW w:type="dxa" w:w="9360"/>
        <w:jc w:val="left"/>
        <w:tblLayout w:type="fixed"/>
        <w:tblLook w:firstColumn="1" w:firstRow="1" w:lastColumn="0" w:lastRow="0" w:noHBand="0" w:noVBand="1" w:val="04A0"/>
        <w:tblInd w:w="0" w:type="dxa"/>
        <w:tblBorders>
          <w:top w:val="single" w:sz="8" w:space="0" w:color="167D8D"/>
          <w:left w:val="single" w:sz="8" w:space="0" w:color="167D8D"/>
          <w:bottom w:val="single" w:sz="8" w:space="0" w:color="167D8D"/>
          <w:right w:val="single" w:sz="8" w:space="0" w:color="167D8D"/>
          <w:insideH w:val="single" w:sz="8" w:space="0" w:color="167D8D"/>
          <w:insideV w:val="single" w:sz="8" w:space="0" w:color="167D8D"/>
        </w:tblBorders>
      </w:tblPr>
      <w:tblGrid>
        <w:gridCol w:w="9360"/>
      </w:tblGrid>
      <w:tr>
        <w:tc>
          <w:tcPr>
            <w:tcW w:type="dxa" w:w="9360"/>
            <w:tcMar>
              <w:top w:w="90" w:type="dxa"/>
              <w:start w:w="120" w:type="dxa"/>
              <w:bottom w:w="90" w:type="dxa"/>
              <w:end w:w="120" w:type="dxa"/>
            </w:tcMar>
            <w:vAlign w:val="center"/>
            <w:shd w:fill="E9F5F5"/>
          </w:tcPr>
          <w:p>
            <w:pPr>
              <w:spacing w:after="0"/>
            </w:pPr>
            <w:r>
              <w:rPr>
                <w:rFonts w:ascii="Aptos" w:hAnsi="Aptos" w:eastAsia="Aptos"/>
                <w:b/>
                <w:color w:val="167D8D"/>
                <w:sz w:val="19"/>
              </w:rPr>
              <w:t xml:space="preserve">Scope control  </w:t>
            </w:r>
            <w:r>
              <w:rPr>
                <w:rFonts w:ascii="Aptos" w:hAnsi="Aptos" w:eastAsia="Aptos"/>
                <w:color w:val="1F2933"/>
                <w:sz w:val="19"/>
              </w:rPr>
              <w:t>For the five-day period, focus on one substrate, one control molecule, and one biomarker. The priority is a defensible NAM validation result, not a full clinical diagnostic study.</w:t>
            </w:r>
          </w:p>
        </w:tc>
      </w:tr>
    </w:tbl>
    <w:p>
      <w:pPr>
        <w:spacing w:after="20"/>
      </w:pPr>
    </w:p>
    <w:p>
      <w:pPr>
        <w:pStyle w:val="Heading1"/>
      </w:pPr>
      <w:r>
        <w:t>2. Experiments to Perform</w:t>
      </w:r>
    </w:p>
    <w:tbl>
      <w:tblPr>
        <w:tblStyle w:val="TableGrid"/>
        <w:tblW w:type="dxa" w:w="93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450"/>
        <w:gridCol w:w="2450"/>
        <w:gridCol w:w="3100"/>
        <w:gridCol w:w="2360"/>
      </w:tblGrid>
      <w:tr>
        <w:trPr>
          <w:tblHeader w:val="true"/>
        </w:trPr>
        <w:tc>
          <w:tcPr>
            <w:tcW w:type="dxa" w:w="1450"/>
            <w:tcMar>
              <w:top w:w="90" w:type="dxa"/>
              <w:start w:w="120" w:type="dxa"/>
              <w:bottom w:w="90" w:type="dxa"/>
              <w:end w:w="120" w:type="dxa"/>
            </w:tcMar>
            <w:vAlign w:val="center"/>
            <w:shd w:fill="EAF2F8"/>
          </w:tcPr>
          <w:p>
            <w:pPr>
              <w:pStyle w:val="TableText"/>
              <w:jc w:val="left"/>
            </w:pPr>
            <w:r>
              <w:rPr>
                <w:rFonts w:ascii="Aptos" w:hAnsi="Aptos" w:eastAsia="Aptos"/>
                <w:b/>
                <w:color w:val="123B5D"/>
                <w:sz w:val="16"/>
              </w:rPr>
              <w:t>Experiment</w:t>
            </w:r>
          </w:p>
        </w:tc>
        <w:tc>
          <w:tcPr>
            <w:tcW w:type="dxa" w:w="2450"/>
            <w:tcMar>
              <w:top w:w="90" w:type="dxa"/>
              <w:start w:w="120" w:type="dxa"/>
              <w:bottom w:w="90" w:type="dxa"/>
              <w:end w:w="120" w:type="dxa"/>
            </w:tcMar>
            <w:vAlign w:val="center"/>
            <w:shd w:fill="EAF2F8"/>
          </w:tcPr>
          <w:p>
            <w:pPr>
              <w:pStyle w:val="TableText"/>
              <w:jc w:val="left"/>
            </w:pPr>
            <w:r>
              <w:rPr>
                <w:rFonts w:ascii="Aptos" w:hAnsi="Aptos" w:eastAsia="Aptos"/>
                <w:b/>
                <w:color w:val="123B5D"/>
                <w:sz w:val="16"/>
              </w:rPr>
              <w:t>Purpose</w:t>
            </w:r>
          </w:p>
        </w:tc>
        <w:tc>
          <w:tcPr>
            <w:tcW w:type="dxa" w:w="3100"/>
            <w:tcMar>
              <w:top w:w="90" w:type="dxa"/>
              <w:start w:w="120" w:type="dxa"/>
              <w:bottom w:w="90" w:type="dxa"/>
              <w:end w:w="120" w:type="dxa"/>
            </w:tcMar>
            <w:vAlign w:val="center"/>
            <w:shd w:fill="EAF2F8"/>
          </w:tcPr>
          <w:p>
            <w:pPr>
              <w:pStyle w:val="TableText"/>
              <w:jc w:val="left"/>
            </w:pPr>
            <w:r>
              <w:rPr>
                <w:rFonts w:ascii="Aptos" w:hAnsi="Aptos" w:eastAsia="Aptos"/>
                <w:b/>
                <w:color w:val="123B5D"/>
                <w:sz w:val="16"/>
              </w:rPr>
              <w:t>Minimum design</w:t>
            </w:r>
          </w:p>
        </w:tc>
        <w:tc>
          <w:tcPr>
            <w:tcW w:type="dxa" w:w="2360"/>
            <w:tcMar>
              <w:top w:w="90" w:type="dxa"/>
              <w:start w:w="120" w:type="dxa"/>
              <w:bottom w:w="90" w:type="dxa"/>
              <w:end w:w="120" w:type="dxa"/>
            </w:tcMar>
            <w:vAlign w:val="center"/>
            <w:shd w:fill="EAF2F8"/>
          </w:tcPr>
          <w:p>
            <w:pPr>
              <w:pStyle w:val="TableText"/>
              <w:jc w:val="left"/>
            </w:pPr>
            <w:r>
              <w:rPr>
                <w:rFonts w:ascii="Aptos" w:hAnsi="Aptos" w:eastAsia="Aptos"/>
                <w:b/>
                <w:color w:val="123B5D"/>
                <w:sz w:val="16"/>
              </w:rPr>
              <w:t>Primary outputs</w:t>
            </w:r>
          </w:p>
        </w:tc>
      </w:tr>
      <w:tr>
        <w:tc>
          <w:tcPr>
            <w:tcW w:type="dxa" w:w="1450"/>
            <w:tcMar>
              <w:top w:w="90" w:type="dxa"/>
              <w:start w:w="120" w:type="dxa"/>
              <w:bottom w:w="90" w:type="dxa"/>
              <w:end w:w="120" w:type="dxa"/>
            </w:tcMar>
            <w:vAlign w:val="center"/>
          </w:tcPr>
          <w:p>
            <w:pPr>
              <w:pStyle w:val="TableText"/>
              <w:jc w:val="left"/>
            </w:pPr>
            <w:r>
              <w:rPr>
                <w:rFonts w:ascii="Aptos" w:hAnsi="Aptos" w:eastAsia="Aptos"/>
                <w:color w:val="1F2933"/>
                <w:sz w:val="16"/>
              </w:rPr>
              <w:t>E1. R6G substrate QC</w:t>
            </w:r>
          </w:p>
        </w:tc>
        <w:tc>
          <w:tcPr>
            <w:tcW w:type="dxa" w:w="2450"/>
            <w:tcMar>
              <w:top w:w="90" w:type="dxa"/>
              <w:start w:w="120" w:type="dxa"/>
              <w:bottom w:w="90" w:type="dxa"/>
              <w:end w:w="120" w:type="dxa"/>
            </w:tcMar>
            <w:vAlign w:val="center"/>
          </w:tcPr>
          <w:p>
            <w:pPr>
              <w:pStyle w:val="TableText"/>
              <w:jc w:val="left"/>
            </w:pPr>
            <w:r>
              <w:rPr>
                <w:rFonts w:ascii="Aptos" w:hAnsi="Aptos" w:eastAsia="Aptos"/>
                <w:color w:val="1F2933"/>
                <w:sz w:val="16"/>
              </w:rPr>
              <w:t>Confirm that the current Ag/Si substrate is Raman/SERS-active before interpreting NAM.</w:t>
            </w:r>
          </w:p>
        </w:tc>
        <w:tc>
          <w:tcPr>
            <w:tcW w:type="dxa" w:w="3100"/>
            <w:tcMar>
              <w:top w:w="90" w:type="dxa"/>
              <w:start w:w="120" w:type="dxa"/>
              <w:bottom w:w="90" w:type="dxa"/>
              <w:end w:w="120" w:type="dxa"/>
            </w:tcMar>
            <w:vAlign w:val="center"/>
          </w:tcPr>
          <w:p>
            <w:pPr>
              <w:pStyle w:val="TableText"/>
              <w:jc w:val="left"/>
            </w:pPr>
            <w:r>
              <w:rPr>
                <w:rFonts w:ascii="Aptos" w:hAnsi="Aptos" w:eastAsia="Aptos"/>
                <w:color w:val="1F2933"/>
                <w:sz w:val="16"/>
              </w:rPr>
              <w:t>Blank silicon/blank Ag-Si if available + R6G on at least 3 spots; use current starting condition: 785 nm, 10% power, 5 accumulations, 6-minute soaking.</w:t>
            </w:r>
          </w:p>
        </w:tc>
        <w:tc>
          <w:tcPr>
            <w:tcW w:type="dxa" w:w="2360"/>
            <w:tcMar>
              <w:top w:w="90" w:type="dxa"/>
              <w:start w:w="120" w:type="dxa"/>
              <w:bottom w:w="90" w:type="dxa"/>
              <w:end w:w="120" w:type="dxa"/>
            </w:tcMar>
            <w:vAlign w:val="center"/>
          </w:tcPr>
          <w:p>
            <w:pPr>
              <w:pStyle w:val="TableText"/>
              <w:jc w:val="left"/>
            </w:pPr>
            <w:r>
              <w:rPr>
                <w:rFonts w:ascii="Aptos" w:hAnsi="Aptos" w:eastAsia="Aptos"/>
                <w:color w:val="1F2933"/>
                <w:sz w:val="16"/>
              </w:rPr>
              <w:t>R6G spectrum, SNR, peak positions, FWHM, peak matching, spot-to-spot CV/correlation.</w:t>
            </w:r>
          </w:p>
        </w:tc>
      </w:tr>
      <w:tr>
        <w:tc>
          <w:tcPr>
            <w:tcW w:type="dxa" w:w="1450"/>
            <w:tcMar>
              <w:top w:w="90" w:type="dxa"/>
              <w:start w:w="120" w:type="dxa"/>
              <w:bottom w:w="90" w:type="dxa"/>
              <w:end w:w="120" w:type="dxa"/>
            </w:tcMar>
            <w:vAlign w:val="center"/>
          </w:tcPr>
          <w:p>
            <w:pPr>
              <w:pStyle w:val="TableText"/>
              <w:jc w:val="left"/>
            </w:pPr>
            <w:r>
              <w:rPr>
                <w:rFonts w:ascii="Aptos" w:hAnsi="Aptos" w:eastAsia="Aptos"/>
                <w:color w:val="1F2933"/>
                <w:sz w:val="16"/>
              </w:rPr>
              <w:t>E2. NAM blank and reference</w:t>
            </w:r>
          </w:p>
        </w:tc>
        <w:tc>
          <w:tcPr>
            <w:tcW w:type="dxa" w:w="2450"/>
            <w:tcMar>
              <w:top w:w="90" w:type="dxa"/>
              <w:start w:w="120" w:type="dxa"/>
              <w:bottom w:w="90" w:type="dxa"/>
              <w:end w:w="120" w:type="dxa"/>
            </w:tcMar>
            <w:vAlign w:val="center"/>
          </w:tcPr>
          <w:p>
            <w:pPr>
              <w:pStyle w:val="TableText"/>
              <w:jc w:val="left"/>
            </w:pPr>
            <w:r>
              <w:rPr>
                <w:rFonts w:ascii="Aptos" w:hAnsi="Aptos" w:eastAsia="Aptos"/>
                <w:color w:val="1F2933"/>
                <w:sz w:val="16"/>
              </w:rPr>
              <w:t>Separate NAM response from substrate background and solvent background.</w:t>
            </w:r>
          </w:p>
        </w:tc>
        <w:tc>
          <w:tcPr>
            <w:tcW w:type="dxa" w:w="3100"/>
            <w:tcMar>
              <w:top w:w="90" w:type="dxa"/>
              <w:start w:w="120" w:type="dxa"/>
              <w:bottom w:w="90" w:type="dxa"/>
              <w:end w:w="120" w:type="dxa"/>
            </w:tcMar>
            <w:vAlign w:val="center"/>
          </w:tcPr>
          <w:p>
            <w:pPr>
              <w:pStyle w:val="TableText"/>
              <w:jc w:val="left"/>
            </w:pPr>
            <w:r>
              <w:rPr>
                <w:rFonts w:ascii="Aptos" w:hAnsi="Aptos" w:eastAsia="Aptos"/>
                <w:color w:val="1F2933"/>
                <w:sz w:val="16"/>
              </w:rPr>
              <w:t>Ag/Si blank, solvent blank, and NAM at one approved reference concentration; at least 3 spots per condition.</w:t>
            </w:r>
          </w:p>
        </w:tc>
        <w:tc>
          <w:tcPr>
            <w:tcW w:type="dxa" w:w="2360"/>
            <w:tcMar>
              <w:top w:w="90" w:type="dxa"/>
              <w:start w:w="120" w:type="dxa"/>
              <w:bottom w:w="90" w:type="dxa"/>
              <w:end w:w="120" w:type="dxa"/>
            </w:tcMar>
            <w:vAlign w:val="center"/>
          </w:tcPr>
          <w:p>
            <w:pPr>
              <w:pStyle w:val="TableText"/>
              <w:jc w:val="left"/>
            </w:pPr>
            <w:r>
              <w:rPr>
                <w:rFonts w:ascii="Aptos" w:hAnsi="Aptos" w:eastAsia="Aptos"/>
                <w:color w:val="1F2933"/>
                <w:sz w:val="16"/>
              </w:rPr>
              <w:t>Blank-subtracted spectrum, NAM peak list, SNR above blank, repeatability.</w:t>
            </w:r>
          </w:p>
        </w:tc>
      </w:tr>
      <w:tr>
        <w:tc>
          <w:tcPr>
            <w:tcW w:type="dxa" w:w="1450"/>
            <w:tcMar>
              <w:top w:w="90" w:type="dxa"/>
              <w:start w:w="120" w:type="dxa"/>
              <w:bottom w:w="90" w:type="dxa"/>
              <w:end w:w="120" w:type="dxa"/>
            </w:tcMar>
            <w:vAlign w:val="center"/>
          </w:tcPr>
          <w:p>
            <w:pPr>
              <w:pStyle w:val="TableText"/>
              <w:jc w:val="left"/>
            </w:pPr>
            <w:r>
              <w:rPr>
                <w:rFonts w:ascii="Aptos" w:hAnsi="Aptos" w:eastAsia="Aptos"/>
                <w:color w:val="1F2933"/>
                <w:sz w:val="16"/>
              </w:rPr>
              <w:t>E3. NAM concentration response</w:t>
            </w:r>
          </w:p>
        </w:tc>
        <w:tc>
          <w:tcPr>
            <w:tcW w:type="dxa" w:w="2450"/>
            <w:tcMar>
              <w:top w:w="90" w:type="dxa"/>
              <w:start w:w="120" w:type="dxa"/>
              <w:bottom w:w="90" w:type="dxa"/>
              <w:end w:w="120" w:type="dxa"/>
            </w:tcMar>
            <w:vAlign w:val="center"/>
          </w:tcPr>
          <w:p>
            <w:pPr>
              <w:pStyle w:val="TableText"/>
              <w:jc w:val="left"/>
            </w:pPr>
            <w:r>
              <w:rPr>
                <w:rFonts w:ascii="Aptos" w:hAnsi="Aptos" w:eastAsia="Aptos"/>
                <w:color w:val="1F2933"/>
                <w:sz w:val="16"/>
              </w:rPr>
              <w:t>Test whether NAM signal changes systematically with concentration.</w:t>
            </w:r>
          </w:p>
        </w:tc>
        <w:tc>
          <w:tcPr>
            <w:tcW w:type="dxa" w:w="3100"/>
            <w:tcMar>
              <w:top w:w="90" w:type="dxa"/>
              <w:start w:w="120" w:type="dxa"/>
              <w:bottom w:w="90" w:type="dxa"/>
              <w:end w:w="120" w:type="dxa"/>
            </w:tcMar>
            <w:vAlign w:val="center"/>
          </w:tcPr>
          <w:p>
            <w:pPr>
              <w:pStyle w:val="TableText"/>
              <w:jc w:val="left"/>
            </w:pPr>
            <w:r>
              <w:rPr>
                <w:rFonts w:ascii="Aptos" w:hAnsi="Aptos" w:eastAsia="Aptos"/>
                <w:color w:val="1F2933"/>
                <w:sz w:val="16"/>
              </w:rPr>
              <w:t>Blank + low, medium, and high approved NAM concentrations; at least 3 spots per level; keep acquisition settings fixed.</w:t>
            </w:r>
          </w:p>
        </w:tc>
        <w:tc>
          <w:tcPr>
            <w:tcW w:type="dxa" w:w="2360"/>
            <w:tcMar>
              <w:top w:w="90" w:type="dxa"/>
              <w:start w:w="120" w:type="dxa"/>
              <w:bottom w:w="90" w:type="dxa"/>
              <w:end w:w="120" w:type="dxa"/>
            </w:tcMar>
            <w:vAlign w:val="center"/>
          </w:tcPr>
          <w:p>
            <w:pPr>
              <w:pStyle w:val="TableText"/>
              <w:jc w:val="left"/>
            </w:pPr>
            <w:r>
              <w:rPr>
                <w:rFonts w:ascii="Aptos" w:hAnsi="Aptos" w:eastAsia="Aptos"/>
                <w:color w:val="1F2933"/>
                <w:sz w:val="16"/>
              </w:rPr>
              <w:t>Peak area/height versus concentration, SNR versus concentration, preliminary response trend.</w:t>
            </w:r>
          </w:p>
        </w:tc>
      </w:tr>
      <w:tr>
        <w:tc>
          <w:tcPr>
            <w:tcW w:type="dxa" w:w="1450"/>
            <w:tcMar>
              <w:top w:w="90" w:type="dxa"/>
              <w:start w:w="120" w:type="dxa"/>
              <w:bottom w:w="90" w:type="dxa"/>
              <w:end w:w="120" w:type="dxa"/>
            </w:tcMar>
            <w:vAlign w:val="center"/>
          </w:tcPr>
          <w:p>
            <w:pPr>
              <w:pStyle w:val="TableText"/>
              <w:jc w:val="left"/>
            </w:pPr>
            <w:r>
              <w:rPr>
                <w:rFonts w:ascii="Aptos" w:hAnsi="Aptos" w:eastAsia="Aptos"/>
                <w:color w:val="1F2933"/>
                <w:sz w:val="16"/>
              </w:rPr>
              <w:t>E4. NAM deposition/adsorption comparison</w:t>
            </w:r>
          </w:p>
        </w:tc>
        <w:tc>
          <w:tcPr>
            <w:tcW w:type="dxa" w:w="2450"/>
            <w:tcMar>
              <w:top w:w="90" w:type="dxa"/>
              <w:start w:w="120" w:type="dxa"/>
              <w:bottom w:w="90" w:type="dxa"/>
              <w:end w:w="120" w:type="dxa"/>
            </w:tcMar>
            <w:vAlign w:val="center"/>
          </w:tcPr>
          <w:p>
            <w:pPr>
              <w:pStyle w:val="TableText"/>
              <w:jc w:val="left"/>
            </w:pPr>
            <w:r>
              <w:rPr>
                <w:rFonts w:ascii="Aptos" w:hAnsi="Aptos" w:eastAsia="Aptos"/>
                <w:color w:val="1F2933"/>
                <w:sz w:val="16"/>
              </w:rPr>
              <w:t>Identify whether weak signal is caused by poor analyte-surface interaction.</w:t>
            </w:r>
          </w:p>
        </w:tc>
        <w:tc>
          <w:tcPr>
            <w:tcW w:type="dxa" w:w="3100"/>
            <w:tcMar>
              <w:top w:w="90" w:type="dxa"/>
              <w:start w:w="120" w:type="dxa"/>
              <w:bottom w:w="90" w:type="dxa"/>
              <w:end w:w="120" w:type="dxa"/>
            </w:tcMar>
            <w:vAlign w:val="center"/>
          </w:tcPr>
          <w:p>
            <w:pPr>
              <w:pStyle w:val="TableText"/>
              <w:jc w:val="left"/>
            </w:pPr>
            <w:r>
              <w:rPr>
                <w:rFonts w:ascii="Aptos" w:hAnsi="Aptos" w:eastAsia="Aptos"/>
                <w:color w:val="1F2933"/>
                <w:sz w:val="16"/>
              </w:rPr>
              <w:t>Use the same NAM concentration and compare 2-3 approved deposition or adsorption/drying conditions; at least 3 spots per condition.</w:t>
            </w:r>
          </w:p>
        </w:tc>
        <w:tc>
          <w:tcPr>
            <w:tcW w:type="dxa" w:w="2360"/>
            <w:tcMar>
              <w:top w:w="90" w:type="dxa"/>
              <w:start w:w="120" w:type="dxa"/>
              <w:bottom w:w="90" w:type="dxa"/>
              <w:end w:w="120" w:type="dxa"/>
            </w:tcMar>
            <w:vAlign w:val="center"/>
          </w:tcPr>
          <w:p>
            <w:pPr>
              <w:pStyle w:val="TableText"/>
              <w:jc w:val="left"/>
            </w:pPr>
            <w:r>
              <w:rPr>
                <w:rFonts w:ascii="Aptos" w:hAnsi="Aptos" w:eastAsia="Aptos"/>
                <w:color w:val="1F2933"/>
                <w:sz w:val="16"/>
              </w:rPr>
              <w:t>Signal intensity, peak presence, SNR, and reproducibility by preparation condition.</w:t>
            </w:r>
          </w:p>
        </w:tc>
      </w:tr>
      <w:tr>
        <w:tc>
          <w:tcPr>
            <w:tcW w:type="dxa" w:w="1450"/>
            <w:tcMar>
              <w:top w:w="90" w:type="dxa"/>
              <w:start w:w="120" w:type="dxa"/>
              <w:bottom w:w="90" w:type="dxa"/>
              <w:end w:w="120" w:type="dxa"/>
            </w:tcMar>
            <w:vAlign w:val="center"/>
          </w:tcPr>
          <w:p>
            <w:pPr>
              <w:pStyle w:val="TableText"/>
              <w:jc w:val="left"/>
            </w:pPr>
            <w:r>
              <w:rPr>
                <w:rFonts w:ascii="Aptos" w:hAnsi="Aptos" w:eastAsia="Aptos"/>
                <w:color w:val="1F2933"/>
                <w:sz w:val="16"/>
              </w:rPr>
              <w:t>E5. Acquisition check</w:t>
            </w:r>
          </w:p>
        </w:tc>
        <w:tc>
          <w:tcPr>
            <w:tcW w:type="dxa" w:w="2450"/>
            <w:tcMar>
              <w:top w:w="90" w:type="dxa"/>
              <w:start w:w="120" w:type="dxa"/>
              <w:bottom w:w="90" w:type="dxa"/>
              <w:end w:w="120" w:type="dxa"/>
            </w:tcMar>
            <w:vAlign w:val="center"/>
          </w:tcPr>
          <w:p>
            <w:pPr>
              <w:pStyle w:val="TableText"/>
              <w:jc w:val="left"/>
            </w:pPr>
            <w:r>
              <w:rPr>
                <w:rFonts w:ascii="Aptos" w:hAnsi="Aptos" w:eastAsia="Aptos"/>
                <w:color w:val="1F2933"/>
                <w:sz w:val="16"/>
              </w:rPr>
              <w:t>Check whether integration time or accumulations improve NAM without excessive background or damage.</w:t>
            </w:r>
          </w:p>
        </w:tc>
        <w:tc>
          <w:tcPr>
            <w:tcW w:type="dxa" w:w="3100"/>
            <w:tcMar>
              <w:top w:w="90" w:type="dxa"/>
              <w:start w:w="120" w:type="dxa"/>
              <w:bottom w:w="90" w:type="dxa"/>
              <w:end w:w="120" w:type="dxa"/>
            </w:tcMar>
            <w:vAlign w:val="center"/>
          </w:tcPr>
          <w:p>
            <w:pPr>
              <w:pStyle w:val="TableText"/>
              <w:jc w:val="left"/>
            </w:pPr>
            <w:r>
              <w:rPr>
                <w:rFonts w:ascii="Aptos" w:hAnsi="Aptos" w:eastAsia="Aptos"/>
                <w:color w:val="1F2933"/>
                <w:sz w:val="16"/>
              </w:rPr>
              <w:t>Compare two instrument settings only, keeping sample and substrate fixed; include a blank and repeated NAM spot.</w:t>
            </w:r>
          </w:p>
        </w:tc>
        <w:tc>
          <w:tcPr>
            <w:tcW w:type="dxa" w:w="2360"/>
            <w:tcMar>
              <w:top w:w="90" w:type="dxa"/>
              <w:start w:w="120" w:type="dxa"/>
              <w:bottom w:w="90" w:type="dxa"/>
              <w:end w:w="120" w:type="dxa"/>
            </w:tcMar>
            <w:vAlign w:val="center"/>
          </w:tcPr>
          <w:p>
            <w:pPr>
              <w:pStyle w:val="TableText"/>
              <w:jc w:val="left"/>
            </w:pPr>
            <w:r>
              <w:rPr>
                <w:rFonts w:ascii="Aptos" w:hAnsi="Aptos" w:eastAsia="Aptos"/>
                <w:color w:val="1F2933"/>
                <w:sz w:val="16"/>
              </w:rPr>
              <w:t>SNR, baseline stability, peak sharpness, acquisition time, and visual sample condition.</w:t>
            </w:r>
          </w:p>
        </w:tc>
      </w:tr>
      <w:tr>
        <w:tc>
          <w:tcPr>
            <w:tcW w:type="dxa" w:w="1450"/>
            <w:tcMar>
              <w:top w:w="90" w:type="dxa"/>
              <w:start w:w="120" w:type="dxa"/>
              <w:bottom w:w="90" w:type="dxa"/>
              <w:end w:w="120" w:type="dxa"/>
            </w:tcMar>
            <w:vAlign w:val="center"/>
          </w:tcPr>
          <w:p>
            <w:pPr>
              <w:pStyle w:val="TableText"/>
              <w:jc w:val="left"/>
            </w:pPr>
            <w:r>
              <w:rPr>
                <w:rFonts w:ascii="Aptos" w:hAnsi="Aptos" w:eastAsia="Aptos"/>
                <w:color w:val="1F2933"/>
                <w:sz w:val="16"/>
              </w:rPr>
              <w:t>E6. Repeatability check</w:t>
            </w:r>
          </w:p>
        </w:tc>
        <w:tc>
          <w:tcPr>
            <w:tcW w:type="dxa" w:w="2450"/>
            <w:tcMar>
              <w:top w:w="90" w:type="dxa"/>
              <w:start w:w="120" w:type="dxa"/>
              <w:bottom w:w="90" w:type="dxa"/>
              <w:end w:w="120" w:type="dxa"/>
            </w:tcMar>
            <w:vAlign w:val="center"/>
          </w:tcPr>
          <w:p>
            <w:pPr>
              <w:pStyle w:val="TableText"/>
              <w:jc w:val="left"/>
            </w:pPr>
            <w:r>
              <w:rPr>
                <w:rFonts w:ascii="Aptos" w:hAnsi="Aptos" w:eastAsia="Aptos"/>
                <w:color w:val="1F2933"/>
                <w:sz w:val="16"/>
              </w:rPr>
              <w:t>Estimate short-term measurement and substrate variability.</w:t>
            </w:r>
          </w:p>
        </w:tc>
        <w:tc>
          <w:tcPr>
            <w:tcW w:type="dxa" w:w="3100"/>
            <w:tcMar>
              <w:top w:w="90" w:type="dxa"/>
              <w:start w:w="120" w:type="dxa"/>
              <w:bottom w:w="90" w:type="dxa"/>
              <w:end w:w="120" w:type="dxa"/>
            </w:tcMar>
            <w:vAlign w:val="center"/>
          </w:tcPr>
          <w:p>
            <w:pPr>
              <w:pStyle w:val="TableText"/>
              <w:jc w:val="left"/>
            </w:pPr>
            <w:r>
              <w:rPr>
                <w:rFonts w:ascii="Aptos" w:hAnsi="Aptos" w:eastAsia="Aptos"/>
                <w:color w:val="1F2933"/>
                <w:sz w:val="16"/>
              </w:rPr>
              <w:t>Repeat the best condition on 3 spots and, if available, 2-3 substrate pieces or batches.</w:t>
            </w:r>
          </w:p>
        </w:tc>
        <w:tc>
          <w:tcPr>
            <w:tcW w:type="dxa" w:w="2360"/>
            <w:tcMar>
              <w:top w:w="90" w:type="dxa"/>
              <w:start w:w="120" w:type="dxa"/>
              <w:bottom w:w="90" w:type="dxa"/>
              <w:end w:w="120" w:type="dxa"/>
            </w:tcMar>
            <w:vAlign w:val="center"/>
          </w:tcPr>
          <w:p>
            <w:pPr>
              <w:pStyle w:val="TableText"/>
              <w:jc w:val="left"/>
            </w:pPr>
            <w:r>
              <w:rPr>
                <w:rFonts w:ascii="Aptos" w:hAnsi="Aptos" w:eastAsia="Aptos"/>
                <w:color w:val="1F2933"/>
                <w:sz w:val="16"/>
              </w:rPr>
              <w:t>Mean, standard deviation, CV, Pearson correlation, and pass/fail decision.</w:t>
            </w:r>
          </w:p>
        </w:tc>
      </w:tr>
    </w:tbl>
    <w:p>
      <w:pPr>
        <w:spacing w:after="20"/>
      </w:pPr>
    </w:p>
    <w:tbl>
      <w:tblPr>
        <w:tblW w:type="dxa" w:w="9360"/>
        <w:jc w:val="left"/>
        <w:tblLayout w:type="fixed"/>
        <w:tblLook w:firstColumn="1" w:firstRow="1" w:lastColumn="0" w:lastRow="0" w:noHBand="0" w:noVBand="1" w:val="04A0"/>
        <w:tblInd w:w="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90" w:type="dxa"/>
              <w:start w:w="120" w:type="dxa"/>
              <w:bottom w:w="90" w:type="dxa"/>
              <w:end w:w="120" w:type="dxa"/>
            </w:tcMar>
            <w:vAlign w:val="center"/>
            <w:shd w:fill="EAF2F8"/>
          </w:tcPr>
          <w:p>
            <w:pPr>
              <w:spacing w:after="0"/>
            </w:pPr>
            <w:r>
              <w:rPr>
                <w:rFonts w:ascii="Aptos" w:hAnsi="Aptos" w:eastAsia="Aptos"/>
                <w:b/>
                <w:color w:val="2E74B5"/>
                <w:sz w:val="19"/>
              </w:rPr>
              <w:t xml:space="preserve">Priority order  </w:t>
            </w:r>
            <w:r>
              <w:rPr>
                <w:rFonts w:ascii="Aptos" w:hAnsi="Aptos" w:eastAsia="Aptos"/>
                <w:color w:val="1F2933"/>
                <w:sz w:val="19"/>
              </w:rPr>
              <w:t>If instrument time is limited, complete E1, E2, E3, and E6 first. E4 and E5 are secondary optimization experiments and should not replace the blank, concentration, and repeatability measurements.</w:t>
            </w:r>
          </w:p>
        </w:tc>
      </w:tr>
    </w:tbl>
    <w:p>
      <w:pPr>
        <w:spacing w:after="20"/>
      </w:pPr>
    </w:p>
    <w:p>
      <w:pPr>
        <w:pStyle w:val="Heading1"/>
      </w:pPr>
      <w:r>
        <w:t>3. Five-Day Execution Schedule</w:t>
      </w:r>
    </w:p>
    <w:tbl>
      <w:tblPr>
        <w:tblStyle w:val="TableGrid"/>
        <w:tblW w:type="dxa" w:w="93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200"/>
        <w:gridCol w:w="5700"/>
        <w:gridCol w:w="2460"/>
      </w:tblGrid>
      <w:tr>
        <w:trPr>
          <w:tblHeader w:val="true"/>
        </w:trPr>
        <w:tc>
          <w:tcPr>
            <w:tcW w:type="dxa" w:w="12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Day</w:t>
            </w:r>
          </w:p>
        </w:tc>
        <w:tc>
          <w:tcPr>
            <w:tcW w:type="dxa" w:w="57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Work to complete</w:t>
            </w:r>
          </w:p>
        </w:tc>
        <w:tc>
          <w:tcPr>
            <w:tcW w:type="dxa" w:w="24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End-of-day evidence</w:t>
            </w:r>
          </w:p>
        </w:tc>
      </w:tr>
      <w:tr>
        <w:tc>
          <w:tcPr>
            <w:tcW w:type="dxa" w:w="1200"/>
            <w:tcMar>
              <w:top w:w="90" w:type="dxa"/>
              <w:start w:w="120" w:type="dxa"/>
              <w:bottom w:w="90" w:type="dxa"/>
              <w:end w:w="120" w:type="dxa"/>
            </w:tcMar>
            <w:vAlign w:val="center"/>
          </w:tcPr>
          <w:p>
            <w:pPr>
              <w:pStyle w:val="TableText"/>
              <w:jc w:val="left"/>
            </w:pPr>
            <w:r>
              <w:rPr>
                <w:rFonts w:ascii="Aptos" w:hAnsi="Aptos" w:eastAsia="Aptos"/>
                <w:color w:val="1F2933"/>
                <w:sz w:val="17"/>
              </w:rPr>
              <w:t>Day 1</w:t>
            </w:r>
          </w:p>
        </w:tc>
        <w:tc>
          <w:tcPr>
            <w:tcW w:type="dxa" w:w="5700"/>
            <w:tcMar>
              <w:top w:w="90" w:type="dxa"/>
              <w:start w:w="120" w:type="dxa"/>
              <w:bottom w:w="90" w:type="dxa"/>
              <w:end w:w="120" w:type="dxa"/>
            </w:tcMar>
            <w:vAlign w:val="center"/>
          </w:tcPr>
          <w:p>
            <w:pPr>
              <w:pStyle w:val="TableText"/>
              <w:jc w:val="left"/>
            </w:pPr>
            <w:r>
              <w:rPr>
                <w:rFonts w:ascii="Aptos" w:hAnsi="Aptos" w:eastAsia="Aptos"/>
                <w:color w:val="1F2933"/>
                <w:sz w:val="17"/>
              </w:rPr>
              <w:t>Prepare/confirm approved stocks, label substrate pieces, record instrument settings, measure blanks and R6G controls.</w:t>
            </w:r>
          </w:p>
        </w:tc>
        <w:tc>
          <w:tcPr>
            <w:tcW w:type="dxa" w:w="2460"/>
            <w:tcMar>
              <w:top w:w="90" w:type="dxa"/>
              <w:start w:w="120" w:type="dxa"/>
              <w:bottom w:w="90" w:type="dxa"/>
              <w:end w:w="120" w:type="dxa"/>
            </w:tcMar>
            <w:vAlign w:val="center"/>
          </w:tcPr>
          <w:p>
            <w:pPr>
              <w:pStyle w:val="TableText"/>
              <w:jc w:val="left"/>
            </w:pPr>
            <w:r>
              <w:rPr>
                <w:rFonts w:ascii="Aptos" w:hAnsi="Aptos" w:eastAsia="Aptos"/>
                <w:color w:val="1F2933"/>
                <w:sz w:val="17"/>
              </w:rPr>
              <w:t>Sample log, substrate IDs, raw R6G and blank files, first QC plot.</w:t>
            </w:r>
          </w:p>
        </w:tc>
      </w:tr>
      <w:tr>
        <w:tc>
          <w:tcPr>
            <w:tcW w:type="dxa" w:w="1200"/>
            <w:tcMar>
              <w:top w:w="90" w:type="dxa"/>
              <w:start w:w="120" w:type="dxa"/>
              <w:bottom w:w="90" w:type="dxa"/>
              <w:end w:w="120" w:type="dxa"/>
            </w:tcMar>
            <w:vAlign w:val="center"/>
          </w:tcPr>
          <w:p>
            <w:pPr>
              <w:pStyle w:val="TableText"/>
              <w:jc w:val="left"/>
            </w:pPr>
            <w:r>
              <w:rPr>
                <w:rFonts w:ascii="Aptos" w:hAnsi="Aptos" w:eastAsia="Aptos"/>
                <w:color w:val="1F2933"/>
                <w:sz w:val="17"/>
              </w:rPr>
              <w:t>Day 2</w:t>
            </w:r>
          </w:p>
        </w:tc>
        <w:tc>
          <w:tcPr>
            <w:tcW w:type="dxa" w:w="5700"/>
            <w:tcMar>
              <w:top w:w="90" w:type="dxa"/>
              <w:start w:w="120" w:type="dxa"/>
              <w:bottom w:w="90" w:type="dxa"/>
              <w:end w:w="120" w:type="dxa"/>
            </w:tcMar>
            <w:vAlign w:val="center"/>
          </w:tcPr>
          <w:p>
            <w:pPr>
              <w:pStyle w:val="TableText"/>
              <w:jc w:val="left"/>
            </w:pPr>
            <w:r>
              <w:rPr>
                <w:rFonts w:ascii="Aptos" w:hAnsi="Aptos" w:eastAsia="Aptos"/>
                <w:color w:val="1F2933"/>
                <w:sz w:val="17"/>
              </w:rPr>
              <w:t>Measure NAM reference condition and concentration series using fixed acquisition settings.</w:t>
            </w:r>
          </w:p>
        </w:tc>
        <w:tc>
          <w:tcPr>
            <w:tcW w:type="dxa" w:w="2460"/>
            <w:tcMar>
              <w:top w:w="90" w:type="dxa"/>
              <w:start w:w="120" w:type="dxa"/>
              <w:bottom w:w="90" w:type="dxa"/>
              <w:end w:w="120" w:type="dxa"/>
            </w:tcMar>
            <w:vAlign w:val="center"/>
          </w:tcPr>
          <w:p>
            <w:pPr>
              <w:pStyle w:val="TableText"/>
              <w:jc w:val="left"/>
            </w:pPr>
            <w:r>
              <w:rPr>
                <w:rFonts w:ascii="Aptos" w:hAnsi="Aptos" w:eastAsia="Aptos"/>
                <w:color w:val="1F2933"/>
                <w:sz w:val="17"/>
              </w:rPr>
              <w:t>Raw NAM files for blank/low/medium/high levels and acquisition log.</w:t>
            </w:r>
          </w:p>
        </w:tc>
      </w:tr>
      <w:tr>
        <w:tc>
          <w:tcPr>
            <w:tcW w:type="dxa" w:w="1200"/>
            <w:tcMar>
              <w:top w:w="90" w:type="dxa"/>
              <w:start w:w="120" w:type="dxa"/>
              <w:bottom w:w="90" w:type="dxa"/>
              <w:end w:w="120" w:type="dxa"/>
            </w:tcMar>
            <w:vAlign w:val="center"/>
          </w:tcPr>
          <w:p>
            <w:pPr>
              <w:pStyle w:val="TableText"/>
              <w:jc w:val="left"/>
            </w:pPr>
            <w:r>
              <w:rPr>
                <w:rFonts w:ascii="Aptos" w:hAnsi="Aptos" w:eastAsia="Aptos"/>
                <w:color w:val="1F2933"/>
                <w:sz w:val="17"/>
              </w:rPr>
              <w:t>Day 3</w:t>
            </w:r>
          </w:p>
        </w:tc>
        <w:tc>
          <w:tcPr>
            <w:tcW w:type="dxa" w:w="5700"/>
            <w:tcMar>
              <w:top w:w="90" w:type="dxa"/>
              <w:start w:w="120" w:type="dxa"/>
              <w:bottom w:w="90" w:type="dxa"/>
              <w:end w:w="120" w:type="dxa"/>
            </w:tcMar>
            <w:vAlign w:val="center"/>
          </w:tcPr>
          <w:p>
            <w:pPr>
              <w:pStyle w:val="TableText"/>
              <w:jc w:val="left"/>
            </w:pPr>
            <w:r>
              <w:rPr>
                <w:rFonts w:ascii="Aptos" w:hAnsi="Aptos" w:eastAsia="Aptos"/>
                <w:color w:val="1F2933"/>
                <w:sz w:val="17"/>
              </w:rPr>
              <w:t>Repeat the strongest NAM conditions; compare deposition/adsorption or drying conditions if time permits.</w:t>
            </w:r>
          </w:p>
        </w:tc>
        <w:tc>
          <w:tcPr>
            <w:tcW w:type="dxa" w:w="2460"/>
            <w:tcMar>
              <w:top w:w="90" w:type="dxa"/>
              <w:start w:w="120" w:type="dxa"/>
              <w:bottom w:w="90" w:type="dxa"/>
              <w:end w:w="120" w:type="dxa"/>
            </w:tcMar>
            <w:vAlign w:val="center"/>
          </w:tcPr>
          <w:p>
            <w:pPr>
              <w:pStyle w:val="TableText"/>
              <w:jc w:val="left"/>
            </w:pPr>
            <w:r>
              <w:rPr>
                <w:rFonts w:ascii="Aptos" w:hAnsi="Aptos" w:eastAsia="Aptos"/>
                <w:color w:val="1F2933"/>
                <w:sz w:val="17"/>
              </w:rPr>
              <w:t>Replicate spectra, preparation comparison table, preliminary SNR results.</w:t>
            </w:r>
          </w:p>
        </w:tc>
      </w:tr>
      <w:tr>
        <w:tc>
          <w:tcPr>
            <w:tcW w:type="dxa" w:w="1200"/>
            <w:tcMar>
              <w:top w:w="90" w:type="dxa"/>
              <w:start w:w="120" w:type="dxa"/>
              <w:bottom w:w="90" w:type="dxa"/>
              <w:end w:w="120" w:type="dxa"/>
            </w:tcMar>
            <w:vAlign w:val="center"/>
          </w:tcPr>
          <w:p>
            <w:pPr>
              <w:pStyle w:val="TableText"/>
              <w:jc w:val="left"/>
            </w:pPr>
            <w:r>
              <w:rPr>
                <w:rFonts w:ascii="Aptos" w:hAnsi="Aptos" w:eastAsia="Aptos"/>
                <w:color w:val="1F2933"/>
                <w:sz w:val="17"/>
              </w:rPr>
              <w:t>Day 4</w:t>
            </w:r>
          </w:p>
        </w:tc>
        <w:tc>
          <w:tcPr>
            <w:tcW w:type="dxa" w:w="5700"/>
            <w:tcMar>
              <w:top w:w="90" w:type="dxa"/>
              <w:start w:w="120" w:type="dxa"/>
              <w:bottom w:w="90" w:type="dxa"/>
              <w:end w:w="120" w:type="dxa"/>
            </w:tcMar>
            <w:vAlign w:val="center"/>
          </w:tcPr>
          <w:p>
            <w:pPr>
              <w:pStyle w:val="TableText"/>
              <w:jc w:val="left"/>
            </w:pPr>
            <w:r>
              <w:rPr>
                <w:rFonts w:ascii="Aptos" w:hAnsi="Aptos" w:eastAsia="Aptos"/>
                <w:color w:val="1F2933"/>
                <w:sz w:val="17"/>
              </w:rPr>
              <w:t>Complete short-term repeatability and acquisition check; process all data using one locked pipeline.</w:t>
            </w:r>
          </w:p>
        </w:tc>
        <w:tc>
          <w:tcPr>
            <w:tcW w:type="dxa" w:w="2460"/>
            <w:tcMar>
              <w:top w:w="90" w:type="dxa"/>
              <w:start w:w="120" w:type="dxa"/>
              <w:bottom w:w="90" w:type="dxa"/>
              <w:end w:w="120" w:type="dxa"/>
            </w:tcMar>
            <w:vAlign w:val="center"/>
          </w:tcPr>
          <w:p>
            <w:pPr>
              <w:pStyle w:val="TableText"/>
              <w:jc w:val="left"/>
            </w:pPr>
            <w:r>
              <w:rPr>
                <w:rFonts w:ascii="Aptos" w:hAnsi="Aptos" w:eastAsia="Aptos"/>
                <w:color w:val="1F2933"/>
                <w:sz w:val="17"/>
              </w:rPr>
              <w:t>Processed CSVs, peak table, SNR/CV/correlation table, overlay figures.</w:t>
            </w:r>
          </w:p>
        </w:tc>
      </w:tr>
      <w:tr>
        <w:tc>
          <w:tcPr>
            <w:tcW w:type="dxa" w:w="1200"/>
            <w:tcMar>
              <w:top w:w="90" w:type="dxa"/>
              <w:start w:w="120" w:type="dxa"/>
              <w:bottom w:w="90" w:type="dxa"/>
              <w:end w:w="120" w:type="dxa"/>
            </w:tcMar>
            <w:vAlign w:val="center"/>
          </w:tcPr>
          <w:p>
            <w:pPr>
              <w:pStyle w:val="TableText"/>
              <w:jc w:val="left"/>
            </w:pPr>
            <w:r>
              <w:rPr>
                <w:rFonts w:ascii="Aptos" w:hAnsi="Aptos" w:eastAsia="Aptos"/>
                <w:color w:val="1F2933"/>
                <w:sz w:val="17"/>
              </w:rPr>
              <w:t>Day 5</w:t>
            </w:r>
          </w:p>
        </w:tc>
        <w:tc>
          <w:tcPr>
            <w:tcW w:type="dxa" w:w="5700"/>
            <w:tcMar>
              <w:top w:w="90" w:type="dxa"/>
              <w:start w:w="120" w:type="dxa"/>
              <w:bottom w:w="90" w:type="dxa"/>
              <w:end w:w="120" w:type="dxa"/>
            </w:tcMar>
            <w:vAlign w:val="center"/>
          </w:tcPr>
          <w:p>
            <w:pPr>
              <w:pStyle w:val="TableText"/>
              <w:jc w:val="left"/>
            </w:pPr>
            <w:r>
              <w:rPr>
                <w:rFonts w:ascii="Aptos" w:hAnsi="Aptos" w:eastAsia="Aptos"/>
                <w:color w:val="1F2933"/>
                <w:sz w:val="17"/>
              </w:rPr>
              <w:t>Interpret results, document limitations, prepare figures and monthly report, and obtain supervisor review.</w:t>
            </w:r>
          </w:p>
        </w:tc>
        <w:tc>
          <w:tcPr>
            <w:tcW w:type="dxa" w:w="2460"/>
            <w:tcMar>
              <w:top w:w="90" w:type="dxa"/>
              <w:start w:w="120" w:type="dxa"/>
              <w:bottom w:w="90" w:type="dxa"/>
              <w:end w:w="120" w:type="dxa"/>
            </w:tcMar>
            <w:vAlign w:val="center"/>
          </w:tcPr>
          <w:p>
            <w:pPr>
              <w:pStyle w:val="TableText"/>
              <w:jc w:val="left"/>
            </w:pPr>
            <w:r>
              <w:rPr>
                <w:rFonts w:ascii="Aptos" w:hAnsi="Aptos" w:eastAsia="Aptos"/>
                <w:color w:val="1F2933"/>
                <w:sz w:val="17"/>
              </w:rPr>
              <w:t>Final report draft, appendix of raw-file names, conclusion, and next-step decision.</w:t>
            </w:r>
          </w:p>
        </w:tc>
      </w:tr>
    </w:tbl>
    <w:p>
      <w:pPr>
        <w:spacing w:after="20"/>
      </w:pPr>
    </w:p>
    <w:p>
      <w:pPr>
        <w:pStyle w:val="Heading1"/>
      </w:pPr>
      <w:r>
        <w:t>4. Comparison and Validation Strategy</w:t>
      </w:r>
    </w:p>
    <w:p>
      <w:pPr>
        <w:pStyle w:val="Heading2"/>
      </w:pPr>
      <w:r>
        <w:t>4.1 Required comparisons</w:t>
      </w:r>
    </w:p>
    <w:tbl>
      <w:tblPr>
        <w:tblStyle w:val="TableGrid"/>
        <w:tblW w:type="dxa" w:w="93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500"/>
        <w:gridCol w:w="3600"/>
        <w:gridCol w:w="3260"/>
      </w:tblGrid>
      <w:tr>
        <w:trPr>
          <w:tblHeader w:val="true"/>
        </w:trPr>
        <w:tc>
          <w:tcPr>
            <w:tcW w:type="dxa" w:w="25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Comparison</w:t>
            </w:r>
          </w:p>
        </w:tc>
        <w:tc>
          <w:tcPr>
            <w:tcW w:type="dxa" w:w="36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Why it is needed</w:t>
            </w:r>
          </w:p>
        </w:tc>
        <w:tc>
          <w:tcPr>
            <w:tcW w:type="dxa" w:w="32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How to interpret</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R6G on Ag/Si versus blank substrate</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Shows whether the substrate provides enhancement above background.</w:t>
            </w:r>
          </w:p>
        </w:tc>
        <w:tc>
          <w:tcPr>
            <w:tcW w:type="dxa" w:w="3260"/>
            <w:tcMar>
              <w:top w:w="90" w:type="dxa"/>
              <w:start w:w="120" w:type="dxa"/>
              <w:bottom w:w="90" w:type="dxa"/>
              <w:end w:w="120" w:type="dxa"/>
            </w:tcMar>
            <w:vAlign w:val="center"/>
          </w:tcPr>
          <w:p>
            <w:pPr>
              <w:pStyle w:val="TableText"/>
              <w:jc w:val="left"/>
            </w:pPr>
            <w:r>
              <w:rPr>
                <w:rFonts w:ascii="Aptos" w:hAnsi="Aptos" w:eastAsia="Aptos"/>
                <w:color w:val="1F2933"/>
                <w:sz w:val="17"/>
              </w:rPr>
              <w:t>R6G peaks and higher SNR support substrate functionality.</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NAM on Ag/Si versus Ag/Si blank</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Shows whether observed peaks are associated with NAM rather than the substrate.</w:t>
            </w:r>
          </w:p>
        </w:tc>
        <w:tc>
          <w:tcPr>
            <w:tcW w:type="dxa" w:w="3260"/>
            <w:tcMar>
              <w:top w:w="90" w:type="dxa"/>
              <w:start w:w="120" w:type="dxa"/>
              <w:bottom w:w="90" w:type="dxa"/>
              <w:end w:w="120" w:type="dxa"/>
            </w:tcMar>
            <w:vAlign w:val="center"/>
          </w:tcPr>
          <w:p>
            <w:pPr>
              <w:pStyle w:val="TableText"/>
              <w:jc w:val="left"/>
            </w:pPr>
            <w:r>
              <w:rPr>
                <w:rFonts w:ascii="Aptos" w:hAnsi="Aptos" w:eastAsia="Aptos"/>
                <w:color w:val="1F2933"/>
                <w:sz w:val="17"/>
              </w:rPr>
              <w:t>NAM features must exceed the blank and recur across spots.</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NAM concentrations versus blank</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Tests concentration dependence.</w:t>
            </w:r>
          </w:p>
        </w:tc>
        <w:tc>
          <w:tcPr>
            <w:tcW w:type="dxa" w:w="3260"/>
            <w:tcMar>
              <w:top w:w="90" w:type="dxa"/>
              <w:start w:w="120" w:type="dxa"/>
              <w:bottom w:w="90" w:type="dxa"/>
              <w:end w:w="120" w:type="dxa"/>
            </w:tcMar>
            <w:vAlign w:val="center"/>
          </w:tcPr>
          <w:p>
            <w:pPr>
              <w:pStyle w:val="TableText"/>
              <w:jc w:val="left"/>
            </w:pPr>
            <w:r>
              <w:rPr>
                <w:rFonts w:ascii="Aptos" w:hAnsi="Aptos" w:eastAsia="Aptos"/>
                <w:color w:val="1F2933"/>
                <w:sz w:val="17"/>
              </w:rPr>
              <w:t>A monotonic or statistically supported trend supports further LOD work.</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Different deposition/adsorption conditions</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Tests whether surface contact controls the weak NAM response.</w:t>
            </w:r>
          </w:p>
        </w:tc>
        <w:tc>
          <w:tcPr>
            <w:tcW w:type="dxa" w:w="3260"/>
            <w:tcMar>
              <w:top w:w="90" w:type="dxa"/>
              <w:start w:w="120" w:type="dxa"/>
              <w:bottom w:w="90" w:type="dxa"/>
              <w:end w:w="120" w:type="dxa"/>
            </w:tcMar>
            <w:vAlign w:val="center"/>
          </w:tcPr>
          <w:p>
            <w:pPr>
              <w:pStyle w:val="TableText"/>
              <w:jc w:val="left"/>
            </w:pPr>
            <w:r>
              <w:rPr>
                <w:rFonts w:ascii="Aptos" w:hAnsi="Aptos" w:eastAsia="Aptos"/>
                <w:color w:val="1F2933"/>
                <w:sz w:val="17"/>
              </w:rPr>
              <w:t>The best condition is the one with the strongest repeatable blank-subtracted signal.</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Replicate spots/batches</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Tests reproducibility and substrate uniformity.</w:t>
            </w:r>
          </w:p>
        </w:tc>
        <w:tc>
          <w:tcPr>
            <w:tcW w:type="dxa" w:w="3260"/>
            <w:tcMar>
              <w:top w:w="90" w:type="dxa"/>
              <w:start w:w="120" w:type="dxa"/>
              <w:bottom w:w="90" w:type="dxa"/>
              <w:end w:w="120" w:type="dxa"/>
            </w:tcMar>
            <w:vAlign w:val="center"/>
          </w:tcPr>
          <w:p>
            <w:pPr>
              <w:pStyle w:val="TableText"/>
              <w:jc w:val="left"/>
            </w:pPr>
            <w:r>
              <w:rPr>
                <w:rFonts w:ascii="Aptos" w:hAnsi="Aptos" w:eastAsia="Aptos"/>
                <w:color w:val="1F2933"/>
                <w:sz w:val="17"/>
              </w:rPr>
              <w:t>Low variation and high correlation support robustness; high variation indicates substrate or preparation heterogeneity.</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Two acquisition settings</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Separates instrument-limited signal from sample/interface-limited signal.</w:t>
            </w:r>
          </w:p>
        </w:tc>
        <w:tc>
          <w:tcPr>
            <w:tcW w:type="dxa" w:w="3260"/>
            <w:tcMar>
              <w:top w:w="90" w:type="dxa"/>
              <w:start w:w="120" w:type="dxa"/>
              <w:bottom w:w="90" w:type="dxa"/>
              <w:end w:w="120" w:type="dxa"/>
            </w:tcMar>
            <w:vAlign w:val="center"/>
          </w:tcPr>
          <w:p>
            <w:pPr>
              <w:pStyle w:val="TableText"/>
              <w:jc w:val="left"/>
            </w:pPr>
            <w:r>
              <w:rPr>
                <w:rFonts w:ascii="Aptos" w:hAnsi="Aptos" w:eastAsia="Aptos"/>
                <w:color w:val="1F2933"/>
                <w:sz w:val="17"/>
              </w:rPr>
              <w:t>Improved SNR with stable baseline supports an acquisition adjustment; no improvement points to sample/substrate optimization.</w:t>
            </w:r>
          </w:p>
        </w:tc>
      </w:tr>
    </w:tbl>
    <w:p>
      <w:pPr>
        <w:spacing w:after="20"/>
      </w:pPr>
    </w:p>
    <w:p>
      <w:pPr>
        <w:pStyle w:val="Heading2"/>
      </w:pPr>
      <w:r>
        <w:t>4.2 Metrics to calculate</w:t>
      </w:r>
    </w:p>
    <w:p>
      <w:pPr>
        <w:pStyle w:val="ListBullet"/>
        <w:spacing w:after="60" w:line="259" w:lineRule="auto"/>
        <w:ind w:left="461" w:hanging="259"/>
      </w:pPr>
      <w:r>
        <w:rPr>
          <w:rFonts w:ascii="Aptos" w:hAnsi="Aptos" w:eastAsia="Aptos"/>
          <w:color w:val="1F2933"/>
          <w:sz w:val="20"/>
        </w:rPr>
        <w:t>SNR relative to the same blank definition for all conditions.</w:t>
      </w:r>
    </w:p>
    <w:p>
      <w:pPr>
        <w:pStyle w:val="ListBullet"/>
        <w:spacing w:after="60" w:line="259" w:lineRule="auto"/>
        <w:ind w:left="461" w:hanging="259"/>
      </w:pPr>
      <w:r>
        <w:rPr>
          <w:rFonts w:ascii="Aptos" w:hAnsi="Aptos" w:eastAsia="Aptos"/>
          <w:color w:val="1F2933"/>
          <w:sz w:val="20"/>
        </w:rPr>
        <w:t>Peak position and peak intensity/area for the selected NAM fingerprint regions.</w:t>
      </w:r>
    </w:p>
    <w:p>
      <w:pPr>
        <w:pStyle w:val="ListBullet"/>
        <w:spacing w:after="60" w:line="259" w:lineRule="auto"/>
        <w:ind w:left="461" w:hanging="259"/>
      </w:pPr>
      <w:r>
        <w:rPr>
          <w:rFonts w:ascii="Aptos" w:hAnsi="Aptos" w:eastAsia="Aptos"/>
          <w:color w:val="1F2933"/>
          <w:sz w:val="20"/>
        </w:rPr>
        <w:t>FWHM or peak sharpness where the peak is sufficiently defined.</w:t>
      </w:r>
    </w:p>
    <w:p>
      <w:pPr>
        <w:pStyle w:val="ListBullet"/>
        <w:spacing w:after="60" w:line="259" w:lineRule="auto"/>
        <w:ind w:left="461" w:hanging="259"/>
      </w:pPr>
      <w:r>
        <w:rPr>
          <w:rFonts w:ascii="Aptos" w:hAnsi="Aptos" w:eastAsia="Aptos"/>
          <w:color w:val="1F2933"/>
          <w:sz w:val="20"/>
        </w:rPr>
        <w:t>Mean, standard deviation, and coefficient of variation across replicate spots.</w:t>
      </w:r>
    </w:p>
    <w:p>
      <w:pPr>
        <w:pStyle w:val="ListBullet"/>
        <w:spacing w:after="60" w:line="259" w:lineRule="auto"/>
        <w:ind w:left="461" w:hanging="259"/>
      </w:pPr>
      <w:r>
        <w:rPr>
          <w:rFonts w:ascii="Aptos" w:hAnsi="Aptos" w:eastAsia="Aptos"/>
          <w:color w:val="1F2933"/>
          <w:sz w:val="20"/>
        </w:rPr>
        <w:t>Pearson correlation between normalized replicate spectra, with the comparison range stated.</w:t>
      </w:r>
    </w:p>
    <w:p>
      <w:pPr>
        <w:pStyle w:val="ListBullet"/>
        <w:spacing w:after="60" w:line="259" w:lineRule="auto"/>
        <w:ind w:left="461" w:hanging="259"/>
      </w:pPr>
      <w:r>
        <w:rPr>
          <w:rFonts w:ascii="Aptos" w:hAnsi="Aptos" w:eastAsia="Aptos"/>
          <w:color w:val="1F2933"/>
          <w:sz w:val="20"/>
        </w:rPr>
        <w:t>Blank-subtracted peak area or height versus NAM concentration.</w:t>
      </w:r>
    </w:p>
    <w:p>
      <w:pPr>
        <w:pStyle w:val="ListBullet"/>
        <w:spacing w:after="60" w:line="259" w:lineRule="auto"/>
        <w:ind w:left="461" w:hanging="259"/>
      </w:pPr>
      <w:r>
        <w:rPr>
          <w:rFonts w:ascii="Aptos" w:hAnsi="Aptos" w:eastAsia="Aptos"/>
          <w:color w:val="1F2933"/>
          <w:sz w:val="20"/>
        </w:rPr>
        <w:t>Preliminary detection threshold defined from the blank distribution; do not claim a formal LOD unless the required replicate and statistical design has been completed.</w:t>
      </w:r>
    </w:p>
    <w:tbl>
      <w:tblPr>
        <w:tblW w:type="dxa" w:w="9360"/>
        <w:jc w:val="left"/>
        <w:tblLayout w:type="fixed"/>
        <w:tblLook w:firstColumn="1" w:firstRow="1" w:lastColumn="0" w:lastRow="0" w:noHBand="0" w:noVBand="1" w:val="04A0"/>
        <w:tblInd w:w="0" w:type="dxa"/>
        <w:tblBorders>
          <w:top w:val="single" w:sz="8" w:space="0" w:color="A33A3A"/>
          <w:left w:val="single" w:sz="8" w:space="0" w:color="A33A3A"/>
          <w:bottom w:val="single" w:sz="8" w:space="0" w:color="A33A3A"/>
          <w:right w:val="single" w:sz="8" w:space="0" w:color="A33A3A"/>
          <w:insideH w:val="single" w:sz="8" w:space="0" w:color="A33A3A"/>
          <w:insideV w:val="single" w:sz="8" w:space="0" w:color="A33A3A"/>
        </w:tblBorders>
      </w:tblPr>
      <w:tblGrid>
        <w:gridCol w:w="9360"/>
      </w:tblGrid>
      <w:tr>
        <w:tc>
          <w:tcPr>
            <w:tcW w:type="dxa" w:w="9360"/>
            <w:tcMar>
              <w:top w:w="90" w:type="dxa"/>
              <w:start w:w="120" w:type="dxa"/>
              <w:bottom w:w="90" w:type="dxa"/>
              <w:end w:w="120" w:type="dxa"/>
            </w:tcMar>
            <w:vAlign w:val="center"/>
            <w:shd w:fill="FBEAEA"/>
          </w:tcPr>
          <w:p>
            <w:pPr>
              <w:spacing w:after="0"/>
            </w:pPr>
            <w:r>
              <w:rPr>
                <w:rFonts w:ascii="Aptos" w:hAnsi="Aptos" w:eastAsia="Aptos"/>
                <w:b/>
                <w:color w:val="A33A3A"/>
                <w:sz w:val="19"/>
              </w:rPr>
              <w:t xml:space="preserve">Validation language  </w:t>
            </w:r>
            <w:r>
              <w:rPr>
                <w:rFonts w:ascii="Aptos" w:hAnsi="Aptos" w:eastAsia="Aptos"/>
                <w:color w:val="1F2933"/>
                <w:sz w:val="19"/>
              </w:rPr>
              <w:t>A five-day study can support preliminary validation of substrate function, signal detectability, short-term repeatability, and concentration response. It cannot by itself establish clinical sensitivity, specificity, clinical LOD, or diagnostic accuracy.</w:t>
            </w:r>
          </w:p>
        </w:tc>
      </w:tr>
    </w:tbl>
    <w:p>
      <w:pPr>
        <w:spacing w:after="20"/>
      </w:pPr>
    </w:p>
    <w:p>
      <w:pPr>
        <w:pStyle w:val="Heading1"/>
      </w:pPr>
      <w:r>
        <w:t>5. Data Processing Workflow</w:t>
      </w:r>
    </w:p>
    <w:p>
      <w:pPr>
        <w:pStyle w:val="ListNumber"/>
        <w:spacing w:after="60" w:line="259" w:lineRule="auto"/>
        <w:ind w:left="461" w:hanging="259"/>
      </w:pPr>
      <w:r>
        <w:rPr>
          <w:rFonts w:ascii="Aptos" w:hAnsi="Aptos" w:eastAsia="Aptos"/>
          <w:color w:val="1F2933"/>
          <w:sz w:val="20"/>
        </w:rPr>
        <w:t>Create a sample manifest before measurement with substrate ID, sample ID, concentration, deposition condition, spot number, laser power, integration time, accumulations, and file name.</w:t>
      </w:r>
    </w:p>
    <w:p>
      <w:pPr>
        <w:pStyle w:val="ListNumber"/>
        <w:spacing w:after="60" w:line="259" w:lineRule="auto"/>
        <w:ind w:left="461" w:hanging="259"/>
      </w:pPr>
      <w:r>
        <w:rPr>
          <w:rFonts w:ascii="Aptos" w:hAnsi="Aptos" w:eastAsia="Aptos"/>
          <w:color w:val="1F2933"/>
          <w:sz w:val="20"/>
        </w:rPr>
        <w:t>Keep raw files unchanged and save processed outputs in a separate folder.</w:t>
      </w:r>
    </w:p>
    <w:p>
      <w:pPr>
        <w:pStyle w:val="ListNumber"/>
        <w:spacing w:after="60" w:line="259" w:lineRule="auto"/>
        <w:ind w:left="461" w:hanging="259"/>
      </w:pPr>
      <w:r>
        <w:rPr>
          <w:rFonts w:ascii="Aptos" w:hAnsi="Aptos" w:eastAsia="Aptos"/>
          <w:color w:val="1F2933"/>
          <w:sz w:val="20"/>
        </w:rPr>
        <w:t>Apply the same column parsing, Raman range, baseline correction, smoothing, and normalization to every condition.</w:t>
      </w:r>
    </w:p>
    <w:p>
      <w:pPr>
        <w:pStyle w:val="ListNumber"/>
        <w:spacing w:after="60" w:line="259" w:lineRule="auto"/>
        <w:ind w:left="461" w:hanging="259"/>
      </w:pPr>
      <w:r>
        <w:rPr>
          <w:rFonts w:ascii="Aptos" w:hAnsi="Aptos" w:eastAsia="Aptos"/>
          <w:color w:val="1F2933"/>
          <w:sz w:val="20"/>
        </w:rPr>
        <w:t>Use the same blank definition for SNR and blank subtraction throughout the comparison.</w:t>
      </w:r>
    </w:p>
    <w:p>
      <w:pPr>
        <w:pStyle w:val="ListNumber"/>
        <w:spacing w:after="60" w:line="259" w:lineRule="auto"/>
        <w:ind w:left="461" w:hanging="259"/>
      </w:pPr>
      <w:r>
        <w:rPr>
          <w:rFonts w:ascii="Aptos" w:hAnsi="Aptos" w:eastAsia="Aptos"/>
          <w:color w:val="1F2933"/>
          <w:sz w:val="20"/>
        </w:rPr>
        <w:t>Generate overlays for blank versus R6G and blank versus NAM, concentration-response plots, replicate correlation/variation plots, and a summary table.</w:t>
      </w:r>
    </w:p>
    <w:p>
      <w:pPr>
        <w:pStyle w:val="ListNumber"/>
        <w:spacing w:after="60" w:line="259" w:lineRule="auto"/>
        <w:ind w:left="461" w:hanging="259"/>
      </w:pPr>
      <w:r>
        <w:rPr>
          <w:rFonts w:ascii="Aptos" w:hAnsi="Aptos" w:eastAsia="Aptos"/>
          <w:color w:val="1F2933"/>
          <w:sz w:val="20"/>
        </w:rPr>
        <w:t>Record failed measurements and exclude them only with a written reason; do not silently remove unfavorable spectra.</w:t>
      </w:r>
    </w:p>
    <w:tbl>
      <w:tblPr>
        <w:tblStyle w:val="TableGrid"/>
        <w:tblW w:type="dxa" w:w="93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600"/>
        <w:gridCol w:w="6760"/>
      </w:tblGrid>
      <w:tr>
        <w:trPr>
          <w:tblHeader w:val="true"/>
        </w:trPr>
        <w:tc>
          <w:tcPr>
            <w:tcW w:type="dxa" w:w="26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File to save</w:t>
            </w:r>
          </w:p>
        </w:tc>
        <w:tc>
          <w:tcPr>
            <w:tcW w:type="dxa" w:w="67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Required contents</w:t>
            </w:r>
          </w:p>
        </w:tc>
      </w:tr>
      <w:tr>
        <w:tc>
          <w:tcPr>
            <w:tcW w:type="dxa" w:w="2600"/>
            <w:tcMar>
              <w:top w:w="90" w:type="dxa"/>
              <w:start w:w="120" w:type="dxa"/>
              <w:bottom w:w="90" w:type="dxa"/>
              <w:end w:w="120" w:type="dxa"/>
            </w:tcMar>
            <w:vAlign w:val="center"/>
          </w:tcPr>
          <w:p>
            <w:pPr>
              <w:pStyle w:val="TableText"/>
              <w:jc w:val="left"/>
            </w:pPr>
            <w:r>
              <w:rPr>
                <w:rFonts w:ascii="Aptos" w:hAnsi="Aptos" w:eastAsia="Aptos"/>
                <w:color w:val="1F2933"/>
                <w:sz w:val="17"/>
              </w:rPr>
              <w:t>raw_data_manifest.csv</w:t>
            </w:r>
          </w:p>
        </w:tc>
        <w:tc>
          <w:tcPr>
            <w:tcW w:type="dxa" w:w="6760"/>
            <w:tcMar>
              <w:top w:w="90" w:type="dxa"/>
              <w:start w:w="120" w:type="dxa"/>
              <w:bottom w:w="90" w:type="dxa"/>
              <w:end w:w="120" w:type="dxa"/>
            </w:tcMar>
            <w:vAlign w:val="center"/>
          </w:tcPr>
          <w:p>
            <w:pPr>
              <w:pStyle w:val="TableText"/>
              <w:jc w:val="left"/>
            </w:pPr>
            <w:r>
              <w:rPr>
                <w:rFonts w:ascii="Aptos" w:hAnsi="Aptos" w:eastAsia="Aptos"/>
                <w:color w:val="1F2933"/>
                <w:sz w:val="17"/>
              </w:rPr>
              <w:t>Sample ID, substrate ID, condition, spot, acquisition settings, date/time, raw filename.</w:t>
            </w:r>
          </w:p>
        </w:tc>
      </w:tr>
      <w:tr>
        <w:tc>
          <w:tcPr>
            <w:tcW w:type="dxa" w:w="2600"/>
            <w:tcMar>
              <w:top w:w="90" w:type="dxa"/>
              <w:start w:w="120" w:type="dxa"/>
              <w:bottom w:w="90" w:type="dxa"/>
              <w:end w:w="120" w:type="dxa"/>
            </w:tcMar>
            <w:vAlign w:val="center"/>
          </w:tcPr>
          <w:p>
            <w:pPr>
              <w:pStyle w:val="TableText"/>
              <w:jc w:val="left"/>
            </w:pPr>
            <w:r>
              <w:rPr>
                <w:rFonts w:ascii="Aptos" w:hAnsi="Aptos" w:eastAsia="Aptos"/>
                <w:color w:val="1F2933"/>
                <w:sz w:val="17"/>
              </w:rPr>
              <w:t>processed_spectra.csv</w:t>
            </w:r>
          </w:p>
        </w:tc>
        <w:tc>
          <w:tcPr>
            <w:tcW w:type="dxa" w:w="6760"/>
            <w:tcMar>
              <w:top w:w="90" w:type="dxa"/>
              <w:start w:w="120" w:type="dxa"/>
              <w:bottom w:w="90" w:type="dxa"/>
              <w:end w:w="120" w:type="dxa"/>
            </w:tcMar>
            <w:vAlign w:val="center"/>
          </w:tcPr>
          <w:p>
            <w:pPr>
              <w:pStyle w:val="TableText"/>
              <w:jc w:val="left"/>
            </w:pPr>
            <w:r>
              <w:rPr>
                <w:rFonts w:ascii="Aptos" w:hAnsi="Aptos" w:eastAsia="Aptos"/>
                <w:color w:val="1F2933"/>
                <w:sz w:val="17"/>
              </w:rPr>
              <w:t>Raman shift, raw intensity, corrected intensity, smoothed intensity, normalized intensity.</w:t>
            </w:r>
          </w:p>
        </w:tc>
      </w:tr>
      <w:tr>
        <w:tc>
          <w:tcPr>
            <w:tcW w:type="dxa" w:w="2600"/>
            <w:tcMar>
              <w:top w:w="90" w:type="dxa"/>
              <w:start w:w="120" w:type="dxa"/>
              <w:bottom w:w="90" w:type="dxa"/>
              <w:end w:w="120" w:type="dxa"/>
            </w:tcMar>
            <w:vAlign w:val="center"/>
          </w:tcPr>
          <w:p>
            <w:pPr>
              <w:pStyle w:val="TableText"/>
              <w:jc w:val="left"/>
            </w:pPr>
            <w:r>
              <w:rPr>
                <w:rFonts w:ascii="Aptos" w:hAnsi="Aptos" w:eastAsia="Aptos"/>
                <w:color w:val="1F2933"/>
                <w:sz w:val="17"/>
              </w:rPr>
              <w:t>peak_summary.csv</w:t>
            </w:r>
          </w:p>
        </w:tc>
        <w:tc>
          <w:tcPr>
            <w:tcW w:type="dxa" w:w="6760"/>
            <w:tcMar>
              <w:top w:w="90" w:type="dxa"/>
              <w:start w:w="120" w:type="dxa"/>
              <w:bottom w:w="90" w:type="dxa"/>
              <w:end w:w="120" w:type="dxa"/>
            </w:tcMar>
            <w:vAlign w:val="center"/>
          </w:tcPr>
          <w:p>
            <w:pPr>
              <w:pStyle w:val="TableText"/>
              <w:jc w:val="left"/>
            </w:pPr>
            <w:r>
              <w:rPr>
                <w:rFonts w:ascii="Aptos" w:hAnsi="Aptos" w:eastAsia="Aptos"/>
                <w:color w:val="1F2933"/>
                <w:sz w:val="17"/>
              </w:rPr>
              <w:t>Condition, spot, peak position, peak intensity/area, SNR, FWHM, notes.</w:t>
            </w:r>
          </w:p>
        </w:tc>
      </w:tr>
      <w:tr>
        <w:tc>
          <w:tcPr>
            <w:tcW w:type="dxa" w:w="2600"/>
            <w:tcMar>
              <w:top w:w="90" w:type="dxa"/>
              <w:start w:w="120" w:type="dxa"/>
              <w:bottom w:w="90" w:type="dxa"/>
              <w:end w:w="120" w:type="dxa"/>
            </w:tcMar>
            <w:vAlign w:val="center"/>
          </w:tcPr>
          <w:p>
            <w:pPr>
              <w:pStyle w:val="TableText"/>
              <w:jc w:val="left"/>
            </w:pPr>
            <w:r>
              <w:rPr>
                <w:rFonts w:ascii="Aptos" w:hAnsi="Aptos" w:eastAsia="Aptos"/>
                <w:color w:val="1F2933"/>
                <w:sz w:val="17"/>
              </w:rPr>
              <w:t>replicate_statistics.csv</w:t>
            </w:r>
          </w:p>
        </w:tc>
        <w:tc>
          <w:tcPr>
            <w:tcW w:type="dxa" w:w="6760"/>
            <w:tcMar>
              <w:top w:w="90" w:type="dxa"/>
              <w:start w:w="120" w:type="dxa"/>
              <w:bottom w:w="90" w:type="dxa"/>
              <w:end w:w="120" w:type="dxa"/>
            </w:tcMar>
            <w:vAlign w:val="center"/>
          </w:tcPr>
          <w:p>
            <w:pPr>
              <w:pStyle w:val="TableText"/>
              <w:jc w:val="left"/>
            </w:pPr>
            <w:r>
              <w:rPr>
                <w:rFonts w:ascii="Aptos" w:hAnsi="Aptos" w:eastAsia="Aptos"/>
                <w:color w:val="1F2933"/>
                <w:sz w:val="17"/>
              </w:rPr>
              <w:t>Mean, SD, CV, correlation, number of spots, pass/fail status.</w:t>
            </w:r>
          </w:p>
        </w:tc>
      </w:tr>
      <w:tr>
        <w:tc>
          <w:tcPr>
            <w:tcW w:type="dxa" w:w="2600"/>
            <w:tcMar>
              <w:top w:w="90" w:type="dxa"/>
              <w:start w:w="120" w:type="dxa"/>
              <w:bottom w:w="90" w:type="dxa"/>
              <w:end w:w="120" w:type="dxa"/>
            </w:tcMar>
            <w:vAlign w:val="center"/>
          </w:tcPr>
          <w:p>
            <w:pPr>
              <w:pStyle w:val="TableText"/>
              <w:jc w:val="left"/>
            </w:pPr>
            <w:r>
              <w:rPr>
                <w:rFonts w:ascii="Aptos" w:hAnsi="Aptos" w:eastAsia="Aptos"/>
                <w:color w:val="1F2933"/>
                <w:sz w:val="17"/>
              </w:rPr>
              <w:t>figures/</w:t>
            </w:r>
          </w:p>
        </w:tc>
        <w:tc>
          <w:tcPr>
            <w:tcW w:type="dxa" w:w="6760"/>
            <w:tcMar>
              <w:top w:w="90" w:type="dxa"/>
              <w:start w:w="120" w:type="dxa"/>
              <w:bottom w:w="90" w:type="dxa"/>
              <w:end w:w="120" w:type="dxa"/>
            </w:tcMar>
            <w:vAlign w:val="center"/>
          </w:tcPr>
          <w:p>
            <w:pPr>
              <w:pStyle w:val="TableText"/>
              <w:jc w:val="left"/>
            </w:pPr>
            <w:r>
              <w:rPr>
                <w:rFonts w:ascii="Aptos" w:hAnsi="Aptos" w:eastAsia="Aptos"/>
                <w:color w:val="1F2933"/>
                <w:sz w:val="17"/>
              </w:rPr>
              <w:t>Blank/R6G overlay, blank/NAM overlay, concentration trend, replicate overlay, and representative spectra.</w:t>
            </w:r>
          </w:p>
        </w:tc>
      </w:tr>
      <w:tr>
        <w:tc>
          <w:tcPr>
            <w:tcW w:type="dxa" w:w="2600"/>
            <w:tcMar>
              <w:top w:w="90" w:type="dxa"/>
              <w:start w:w="120" w:type="dxa"/>
              <w:bottom w:w="90" w:type="dxa"/>
              <w:end w:w="120" w:type="dxa"/>
            </w:tcMar>
            <w:vAlign w:val="center"/>
          </w:tcPr>
          <w:p>
            <w:pPr>
              <w:pStyle w:val="TableText"/>
              <w:jc w:val="left"/>
            </w:pPr>
            <w:r>
              <w:rPr>
                <w:rFonts w:ascii="Aptos" w:hAnsi="Aptos" w:eastAsia="Aptos"/>
                <w:color w:val="1F2933"/>
                <w:sz w:val="17"/>
              </w:rPr>
              <w:t>experiment_log.docx or .xlsx</w:t>
            </w:r>
          </w:p>
        </w:tc>
        <w:tc>
          <w:tcPr>
            <w:tcW w:type="dxa" w:w="6760"/>
            <w:tcMar>
              <w:top w:w="90" w:type="dxa"/>
              <w:start w:w="120" w:type="dxa"/>
              <w:bottom w:w="90" w:type="dxa"/>
              <w:end w:w="120" w:type="dxa"/>
            </w:tcMar>
            <w:vAlign w:val="center"/>
          </w:tcPr>
          <w:p>
            <w:pPr>
              <w:pStyle w:val="TableText"/>
              <w:jc w:val="left"/>
            </w:pPr>
            <w:r>
              <w:rPr>
                <w:rFonts w:ascii="Aptos" w:hAnsi="Aptos" w:eastAsia="Aptos"/>
                <w:color w:val="1F2933"/>
                <w:sz w:val="17"/>
              </w:rPr>
              <w:t>Sample preparation, deviations, instrument issues, and observations.</w:t>
            </w:r>
          </w:p>
        </w:tc>
      </w:tr>
    </w:tbl>
    <w:p>
      <w:pPr>
        <w:spacing w:after="20"/>
      </w:pPr>
    </w:p>
    <w:p>
      <w:pPr>
        <w:pStyle w:val="Heading1"/>
      </w:pPr>
      <w:r>
        <w:t>6. Expected Outcomes and Decision Table</w:t>
      </w:r>
    </w:p>
    <w:tbl>
      <w:tblPr>
        <w:tblStyle w:val="TableGrid"/>
        <w:tblW w:type="dxa" w:w="93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3500"/>
        <w:gridCol w:w="3900"/>
        <w:gridCol w:w="1960"/>
      </w:tblGrid>
      <w:tr>
        <w:trPr>
          <w:tblHeader w:val="true"/>
        </w:trPr>
        <w:tc>
          <w:tcPr>
            <w:tcW w:type="dxa" w:w="35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Observed result after the experiment</w:t>
            </w:r>
          </w:p>
        </w:tc>
        <w:tc>
          <w:tcPr>
            <w:tcW w:type="dxa" w:w="39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Conclusion to write</w:t>
            </w:r>
          </w:p>
        </w:tc>
        <w:tc>
          <w:tcPr>
            <w:tcW w:type="dxa" w:w="19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Next action</w:t>
            </w:r>
          </w:p>
        </w:tc>
      </w:tr>
      <w:tr>
        <w:tc>
          <w:tcPr>
            <w:tcW w:type="dxa" w:w="3500"/>
            <w:tcMar>
              <w:top w:w="90" w:type="dxa"/>
              <w:start w:w="120" w:type="dxa"/>
              <w:bottom w:w="90" w:type="dxa"/>
              <w:end w:w="120" w:type="dxa"/>
            </w:tcMar>
            <w:vAlign w:val="center"/>
          </w:tcPr>
          <w:p>
            <w:pPr>
              <w:pStyle w:val="TableText"/>
              <w:jc w:val="left"/>
            </w:pPr>
            <w:r>
              <w:rPr>
                <w:rFonts w:ascii="Aptos" w:hAnsi="Aptos" w:eastAsia="Aptos"/>
                <w:color w:val="1F2933"/>
                <w:sz w:val="17"/>
              </w:rPr>
              <w:t>R6G is strong and reproducible; NAM is above blank at several spots.</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The Ag/Si substrate supports preliminary NAM detection under the tested condition.</w:t>
            </w:r>
          </w:p>
        </w:tc>
        <w:tc>
          <w:tcPr>
            <w:tcW w:type="dxa" w:w="1960"/>
            <w:tcMar>
              <w:top w:w="90" w:type="dxa"/>
              <w:start w:w="120" w:type="dxa"/>
              <w:bottom w:w="90" w:type="dxa"/>
              <w:end w:w="120" w:type="dxa"/>
            </w:tcMar>
            <w:vAlign w:val="center"/>
          </w:tcPr>
          <w:p>
            <w:pPr>
              <w:pStyle w:val="TableText"/>
              <w:jc w:val="left"/>
            </w:pPr>
            <w:r>
              <w:rPr>
                <w:rFonts w:ascii="Aptos" w:hAnsi="Aptos" w:eastAsia="Aptos"/>
                <w:color w:val="1F2933"/>
                <w:sz w:val="17"/>
              </w:rPr>
              <w:t>Repeat the best condition, then begin a formal concentration/LOD study.</w:t>
            </w:r>
          </w:p>
        </w:tc>
      </w:tr>
      <w:tr>
        <w:tc>
          <w:tcPr>
            <w:tcW w:type="dxa" w:w="3500"/>
            <w:tcMar>
              <w:top w:w="90" w:type="dxa"/>
              <w:start w:w="120" w:type="dxa"/>
              <w:bottom w:w="90" w:type="dxa"/>
              <w:end w:w="120" w:type="dxa"/>
            </w:tcMar>
            <w:vAlign w:val="center"/>
          </w:tcPr>
          <w:p>
            <w:pPr>
              <w:pStyle w:val="TableText"/>
              <w:jc w:val="left"/>
            </w:pPr>
            <w:r>
              <w:rPr>
                <w:rFonts w:ascii="Aptos" w:hAnsi="Aptos" w:eastAsia="Aptos"/>
                <w:color w:val="1F2933"/>
                <w:sz w:val="17"/>
              </w:rPr>
              <w:t>R6G is strong; NAM is weak but improves with concentration or deposition condition.</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NAM response is preliminary and sample-interface optimization is still required.</w:t>
            </w:r>
          </w:p>
        </w:tc>
        <w:tc>
          <w:tcPr>
            <w:tcW w:type="dxa" w:w="1960"/>
            <w:tcMar>
              <w:top w:w="90" w:type="dxa"/>
              <w:start w:w="120" w:type="dxa"/>
              <w:bottom w:w="90" w:type="dxa"/>
              <w:end w:w="120" w:type="dxa"/>
            </w:tcMar>
            <w:vAlign w:val="center"/>
          </w:tcPr>
          <w:p>
            <w:pPr>
              <w:pStyle w:val="TableText"/>
              <w:jc w:val="left"/>
            </w:pPr>
            <w:r>
              <w:rPr>
                <w:rFonts w:ascii="Aptos" w:hAnsi="Aptos" w:eastAsia="Aptos"/>
                <w:color w:val="1F2933"/>
                <w:sz w:val="17"/>
              </w:rPr>
              <w:t>Optimize the best preparation variable and repeat with more replicates.</w:t>
            </w:r>
          </w:p>
        </w:tc>
      </w:tr>
      <w:tr>
        <w:tc>
          <w:tcPr>
            <w:tcW w:type="dxa" w:w="3500"/>
            <w:tcMar>
              <w:top w:w="90" w:type="dxa"/>
              <w:start w:w="120" w:type="dxa"/>
              <w:bottom w:w="90" w:type="dxa"/>
              <w:end w:w="120" w:type="dxa"/>
            </w:tcMar>
            <w:vAlign w:val="center"/>
          </w:tcPr>
          <w:p>
            <w:pPr>
              <w:pStyle w:val="TableText"/>
              <w:jc w:val="left"/>
            </w:pPr>
            <w:r>
              <w:rPr>
                <w:rFonts w:ascii="Aptos" w:hAnsi="Aptos" w:eastAsia="Aptos"/>
                <w:color w:val="1F2933"/>
                <w:sz w:val="17"/>
              </w:rPr>
              <w:t>R6G is strong; NAM is visible but highly variable between spots.</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The main limitation appears to be spot-to-spot or substrate heterogeneity.</w:t>
            </w:r>
          </w:p>
        </w:tc>
        <w:tc>
          <w:tcPr>
            <w:tcW w:type="dxa" w:w="1960"/>
            <w:tcMar>
              <w:top w:w="90" w:type="dxa"/>
              <w:start w:w="120" w:type="dxa"/>
              <w:bottom w:w="90" w:type="dxa"/>
              <w:end w:w="120" w:type="dxa"/>
            </w:tcMar>
            <w:vAlign w:val="center"/>
          </w:tcPr>
          <w:p>
            <w:pPr>
              <w:pStyle w:val="TableText"/>
              <w:jc w:val="left"/>
            </w:pPr>
            <w:r>
              <w:rPr>
                <w:rFonts w:ascii="Aptos" w:hAnsi="Aptos" w:eastAsia="Aptos"/>
                <w:color w:val="1F2933"/>
                <w:sz w:val="17"/>
              </w:rPr>
              <w:t>Improve substrate uniformity, use more spots/batches, and quantify CV/correlation.</w:t>
            </w:r>
          </w:p>
        </w:tc>
      </w:tr>
      <w:tr>
        <w:tc>
          <w:tcPr>
            <w:tcW w:type="dxa" w:w="3500"/>
            <w:tcMar>
              <w:top w:w="90" w:type="dxa"/>
              <w:start w:w="120" w:type="dxa"/>
              <w:bottom w:w="90" w:type="dxa"/>
              <w:end w:w="120" w:type="dxa"/>
            </w:tcMar>
            <w:vAlign w:val="center"/>
          </w:tcPr>
          <w:p>
            <w:pPr>
              <w:pStyle w:val="TableText"/>
              <w:jc w:val="left"/>
            </w:pPr>
            <w:r>
              <w:rPr>
                <w:rFonts w:ascii="Aptos" w:hAnsi="Aptos" w:eastAsia="Aptos"/>
                <w:color w:val="1F2933"/>
                <w:sz w:val="17"/>
              </w:rPr>
              <w:t>R6G is weak or inconsistent.</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The current substrate/acquisition system did not pass the control check.</w:t>
            </w:r>
          </w:p>
        </w:tc>
        <w:tc>
          <w:tcPr>
            <w:tcW w:type="dxa" w:w="1960"/>
            <w:tcMar>
              <w:top w:w="90" w:type="dxa"/>
              <w:start w:w="120" w:type="dxa"/>
              <w:bottom w:w="90" w:type="dxa"/>
              <w:end w:w="120" w:type="dxa"/>
            </w:tcMar>
            <w:vAlign w:val="center"/>
          </w:tcPr>
          <w:p>
            <w:pPr>
              <w:pStyle w:val="TableText"/>
              <w:jc w:val="left"/>
            </w:pPr>
            <w:r>
              <w:rPr>
                <w:rFonts w:ascii="Aptos" w:hAnsi="Aptos" w:eastAsia="Aptos"/>
                <w:color w:val="1F2933"/>
                <w:sz w:val="17"/>
              </w:rPr>
              <w:t>Do not interpret NAM; troubleshoot substrate preparation and instrument alignment first.</w:t>
            </w:r>
          </w:p>
        </w:tc>
      </w:tr>
      <w:tr>
        <w:tc>
          <w:tcPr>
            <w:tcW w:type="dxa" w:w="3500"/>
            <w:tcMar>
              <w:top w:w="90" w:type="dxa"/>
              <w:start w:w="120" w:type="dxa"/>
              <w:bottom w:w="90" w:type="dxa"/>
              <w:end w:w="120" w:type="dxa"/>
            </w:tcMar>
            <w:vAlign w:val="center"/>
          </w:tcPr>
          <w:p>
            <w:pPr>
              <w:pStyle w:val="TableText"/>
              <w:jc w:val="left"/>
            </w:pPr>
            <w:r>
              <w:rPr>
                <w:rFonts w:ascii="Aptos" w:hAnsi="Aptos" w:eastAsia="Aptos"/>
                <w:color w:val="1F2933"/>
                <w:sz w:val="17"/>
              </w:rPr>
              <w:t>Neither R6G nor NAM is reliable.</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The measurement run was inconclusive and cannot support biomarker validation.</w:t>
            </w:r>
          </w:p>
        </w:tc>
        <w:tc>
          <w:tcPr>
            <w:tcW w:type="dxa" w:w="1960"/>
            <w:tcMar>
              <w:top w:w="90" w:type="dxa"/>
              <w:start w:w="120" w:type="dxa"/>
              <w:bottom w:w="90" w:type="dxa"/>
              <w:end w:w="120" w:type="dxa"/>
            </w:tcMar>
            <w:vAlign w:val="center"/>
          </w:tcPr>
          <w:p>
            <w:pPr>
              <w:pStyle w:val="TableText"/>
              <w:jc w:val="left"/>
            </w:pPr>
            <w:r>
              <w:rPr>
                <w:rFonts w:ascii="Aptos" w:hAnsi="Aptos" w:eastAsia="Aptos"/>
                <w:color w:val="1F2933"/>
                <w:sz w:val="17"/>
              </w:rPr>
              <w:t>Document the failure, review safety and instrument logs, and repeat after supervisor review.</w:t>
            </w:r>
          </w:p>
        </w:tc>
      </w:tr>
    </w:tbl>
    <w:p>
      <w:pPr>
        <w:spacing w:after="20"/>
      </w:pPr>
    </w:p>
    <w:tbl>
      <w:tblPr>
        <w:tblW w:type="dxa" w:w="9360"/>
        <w:jc w:val="left"/>
        <w:tblLayout w:type="fixed"/>
        <w:tblLook w:firstColumn="1" w:firstRow="1" w:lastColumn="0" w:lastRow="0" w:noHBand="0" w:noVBand="1" w:val="04A0"/>
        <w:tblInd w:w="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c>
          <w:tcPr>
            <w:tcW w:type="dxa" w:w="9360"/>
            <w:tcMar>
              <w:top w:w="90" w:type="dxa"/>
              <w:start w:w="120" w:type="dxa"/>
              <w:bottom w:w="90" w:type="dxa"/>
              <w:end w:w="120" w:type="dxa"/>
            </w:tcMar>
            <w:vAlign w:val="center"/>
            <w:shd w:fill="FFF4D6"/>
          </w:tcPr>
          <w:p>
            <w:pPr>
              <w:spacing w:after="0"/>
            </w:pPr>
            <w:r>
              <w:rPr>
                <w:rFonts w:ascii="Aptos" w:hAnsi="Aptos" w:eastAsia="Aptos"/>
                <w:b/>
                <w:color w:val="9A6700"/>
                <w:sz w:val="19"/>
              </w:rPr>
              <w:t xml:space="preserve">Do not force a positive conclusion  </w:t>
            </w:r>
            <w:r>
              <w:rPr>
                <w:rFonts w:ascii="Aptos" w:hAnsi="Aptos" w:eastAsia="Aptos"/>
                <w:color w:val="1F2933"/>
                <w:sz w:val="19"/>
              </w:rPr>
              <w:t>A result showing that NAM remains weak is still useful. It validates the current limitation, identifies the bottleneck, and justifies the next optimization step. Report the actual outcome with the measured numbers.</w:t>
            </w:r>
          </w:p>
        </w:tc>
      </w:tr>
    </w:tbl>
    <w:p>
      <w:pPr>
        <w:spacing w:after="20"/>
      </w:pPr>
    </w:p>
    <w:p>
      <w:pPr>
        <w:pStyle w:val="Heading1"/>
      </w:pPr>
      <w:r>
        <w:t>7. July Report Writing Template</w:t>
      </w:r>
    </w:p>
    <w:p>
      <w:pPr>
        <w:pStyle w:val="Heading2"/>
      </w:pPr>
      <w:r>
        <w:t>7.1 Work completed during July</w:t>
      </w:r>
    </w:p>
    <w:p>
      <w:pPr>
        <w:spacing w:before="0" w:after="120"/>
      </w:pPr>
      <w:r>
        <w:rPr>
          <w:rFonts w:ascii="Aptos" w:hAnsi="Aptos" w:eastAsia="Aptos"/>
          <w:i w:val="0"/>
          <w:color w:val="1F2933"/>
        </w:rPr>
        <w:t>During July 2026, a preliminary validation study was carried out to evaluate the performance of a silver-coated nanostructured silicon SERS substrate for bacterial biomarker analysis. Rhodamine 6G was used as a positive-control molecule, followed by measurements of N-acetylmuramic acid (NAM) under controlled sample and acquisition conditions. The study compared blank substrate response, control-molecule enhancement, NAM signal, concentration dependence, and short-term repeatability.</w:t>
      </w:r>
    </w:p>
    <w:p>
      <w:pPr>
        <w:spacing w:before="0" w:after="120"/>
      </w:pPr>
      <w:r>
        <w:rPr>
          <w:rFonts w:ascii="Aptos" w:hAnsi="Aptos" w:eastAsia="Aptos"/>
          <w:i/>
          <w:color w:val="5B6770"/>
        </w:rPr>
        <w:t>Replace the preceding paragraph only after the corresponding experiments have actually been performed. Add the number of substrate pieces, spots, concentrations, acquisition settings, and dates from the experiment log.</w:t>
      </w:r>
    </w:p>
    <w:p>
      <w:pPr>
        <w:pStyle w:val="Heading2"/>
      </w:pPr>
      <w:r>
        <w:t>7.2 Results table to fill with actual values</w:t>
      </w:r>
    </w:p>
    <w:tbl>
      <w:tblPr>
        <w:tblStyle w:val="TableGrid"/>
        <w:tblW w:type="dxa" w:w="93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700"/>
        <w:gridCol w:w="600"/>
        <w:gridCol w:w="1600"/>
        <w:gridCol w:w="2100"/>
        <w:gridCol w:w="1700"/>
        <w:gridCol w:w="1660"/>
      </w:tblGrid>
      <w:tr>
        <w:trPr>
          <w:tblHeader w:val="true"/>
        </w:trPr>
        <w:tc>
          <w:tcPr>
            <w:tcW w:type="dxa" w:w="1700"/>
            <w:tcMar>
              <w:top w:w="90" w:type="dxa"/>
              <w:start w:w="120" w:type="dxa"/>
              <w:bottom w:w="90" w:type="dxa"/>
              <w:end w:w="120" w:type="dxa"/>
            </w:tcMar>
            <w:vAlign w:val="center"/>
            <w:shd w:fill="EAF2F8"/>
          </w:tcPr>
          <w:p>
            <w:pPr>
              <w:pStyle w:val="TableText"/>
              <w:jc w:val="left"/>
            </w:pPr>
            <w:r>
              <w:rPr>
                <w:rFonts w:ascii="Aptos" w:hAnsi="Aptos" w:eastAsia="Aptos"/>
                <w:b/>
                <w:color w:val="123B5D"/>
                <w:sz w:val="16"/>
              </w:rPr>
              <w:t>Condition</w:t>
            </w:r>
          </w:p>
        </w:tc>
        <w:tc>
          <w:tcPr>
            <w:tcW w:type="dxa" w:w="600"/>
            <w:tcMar>
              <w:top w:w="90" w:type="dxa"/>
              <w:start w:w="120" w:type="dxa"/>
              <w:bottom w:w="90" w:type="dxa"/>
              <w:end w:w="120" w:type="dxa"/>
            </w:tcMar>
            <w:vAlign w:val="center"/>
            <w:shd w:fill="EAF2F8"/>
          </w:tcPr>
          <w:p>
            <w:pPr>
              <w:pStyle w:val="TableText"/>
              <w:jc w:val="left"/>
            </w:pPr>
            <w:r>
              <w:rPr>
                <w:rFonts w:ascii="Aptos" w:hAnsi="Aptos" w:eastAsia="Aptos"/>
                <w:b/>
                <w:color w:val="123B5D"/>
                <w:sz w:val="16"/>
              </w:rPr>
              <w:t>n</w:t>
            </w:r>
          </w:p>
        </w:tc>
        <w:tc>
          <w:tcPr>
            <w:tcW w:type="dxa" w:w="1600"/>
            <w:tcMar>
              <w:top w:w="90" w:type="dxa"/>
              <w:start w:w="120" w:type="dxa"/>
              <w:bottom w:w="90" w:type="dxa"/>
              <w:end w:w="120" w:type="dxa"/>
            </w:tcMar>
            <w:vAlign w:val="center"/>
            <w:shd w:fill="EAF2F8"/>
          </w:tcPr>
          <w:p>
            <w:pPr>
              <w:pStyle w:val="TableText"/>
              <w:jc w:val="left"/>
            </w:pPr>
            <w:r>
              <w:rPr>
                <w:rFonts w:ascii="Aptos" w:hAnsi="Aptos" w:eastAsia="Aptos"/>
                <w:b/>
                <w:color w:val="123B5D"/>
                <w:sz w:val="16"/>
              </w:rPr>
              <w:t>SNR mean +/- SD</w:t>
            </w:r>
          </w:p>
        </w:tc>
        <w:tc>
          <w:tcPr>
            <w:tcW w:type="dxa" w:w="2100"/>
            <w:tcMar>
              <w:top w:w="90" w:type="dxa"/>
              <w:start w:w="120" w:type="dxa"/>
              <w:bottom w:w="90" w:type="dxa"/>
              <w:end w:w="120" w:type="dxa"/>
            </w:tcMar>
            <w:vAlign w:val="center"/>
            <w:shd w:fill="EAF2F8"/>
          </w:tcPr>
          <w:p>
            <w:pPr>
              <w:pStyle w:val="TableText"/>
              <w:jc w:val="left"/>
            </w:pPr>
            <w:r>
              <w:rPr>
                <w:rFonts w:ascii="Aptos" w:hAnsi="Aptos" w:eastAsia="Aptos"/>
                <w:b/>
                <w:color w:val="123B5D"/>
                <w:sz w:val="16"/>
              </w:rPr>
              <w:t>Peak/area result</w:t>
            </w:r>
          </w:p>
        </w:tc>
        <w:tc>
          <w:tcPr>
            <w:tcW w:type="dxa" w:w="1700"/>
            <w:tcMar>
              <w:top w:w="90" w:type="dxa"/>
              <w:start w:w="120" w:type="dxa"/>
              <w:bottom w:w="90" w:type="dxa"/>
              <w:end w:w="120" w:type="dxa"/>
            </w:tcMar>
            <w:vAlign w:val="center"/>
            <w:shd w:fill="EAF2F8"/>
          </w:tcPr>
          <w:p>
            <w:pPr>
              <w:pStyle w:val="TableText"/>
              <w:jc w:val="left"/>
            </w:pPr>
            <w:r>
              <w:rPr>
                <w:rFonts w:ascii="Aptos" w:hAnsi="Aptos" w:eastAsia="Aptos"/>
                <w:b/>
                <w:color w:val="123B5D"/>
                <w:sz w:val="16"/>
              </w:rPr>
              <w:t>CV/correlation</w:t>
            </w:r>
          </w:p>
        </w:tc>
        <w:tc>
          <w:tcPr>
            <w:tcW w:type="dxa" w:w="1660"/>
            <w:tcMar>
              <w:top w:w="90" w:type="dxa"/>
              <w:start w:w="120" w:type="dxa"/>
              <w:bottom w:w="90" w:type="dxa"/>
              <w:end w:w="120" w:type="dxa"/>
            </w:tcMar>
            <w:vAlign w:val="center"/>
            <w:shd w:fill="EAF2F8"/>
          </w:tcPr>
          <w:p>
            <w:pPr>
              <w:pStyle w:val="TableText"/>
              <w:jc w:val="left"/>
            </w:pPr>
            <w:r>
              <w:rPr>
                <w:rFonts w:ascii="Aptos" w:hAnsi="Aptos" w:eastAsia="Aptos"/>
                <w:b/>
                <w:color w:val="123B5D"/>
                <w:sz w:val="16"/>
              </w:rPr>
              <w:t>Interpretation</w:t>
            </w:r>
          </w:p>
        </w:tc>
      </w:tr>
      <w:tr>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Blank silicon</w:t>
            </w:r>
          </w:p>
        </w:tc>
        <w:tc>
          <w:tcPr>
            <w:tcW w:type="dxa" w:w="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21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60"/>
            <w:tcMar>
              <w:top w:w="90" w:type="dxa"/>
              <w:start w:w="120" w:type="dxa"/>
              <w:bottom w:w="90" w:type="dxa"/>
              <w:end w:w="120" w:type="dxa"/>
            </w:tcMar>
            <w:vAlign w:val="center"/>
          </w:tcPr>
          <w:p>
            <w:pPr>
              <w:pStyle w:val="TableText"/>
              <w:jc w:val="left"/>
            </w:pPr>
            <w:r>
              <w:rPr>
                <w:rFonts w:ascii="Aptos" w:hAnsi="Aptos" w:eastAsia="Aptos"/>
                <w:color w:val="1F2933"/>
                <w:sz w:val="16"/>
              </w:rPr>
              <w:t>[ ]</w:t>
            </w:r>
          </w:p>
        </w:tc>
      </w:tr>
      <w:tr>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Blank Ag/Si</w:t>
            </w:r>
          </w:p>
        </w:tc>
        <w:tc>
          <w:tcPr>
            <w:tcW w:type="dxa" w:w="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21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60"/>
            <w:tcMar>
              <w:top w:w="90" w:type="dxa"/>
              <w:start w:w="120" w:type="dxa"/>
              <w:bottom w:w="90" w:type="dxa"/>
              <w:end w:w="120" w:type="dxa"/>
            </w:tcMar>
            <w:vAlign w:val="center"/>
          </w:tcPr>
          <w:p>
            <w:pPr>
              <w:pStyle w:val="TableText"/>
              <w:jc w:val="left"/>
            </w:pPr>
            <w:r>
              <w:rPr>
                <w:rFonts w:ascii="Aptos" w:hAnsi="Aptos" w:eastAsia="Aptos"/>
                <w:color w:val="1F2933"/>
                <w:sz w:val="16"/>
              </w:rPr>
              <w:t>[ ]</w:t>
            </w:r>
          </w:p>
        </w:tc>
      </w:tr>
      <w:tr>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R6G control</w:t>
            </w:r>
          </w:p>
        </w:tc>
        <w:tc>
          <w:tcPr>
            <w:tcW w:type="dxa" w:w="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21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60"/>
            <w:tcMar>
              <w:top w:w="90" w:type="dxa"/>
              <w:start w:w="120" w:type="dxa"/>
              <w:bottom w:w="90" w:type="dxa"/>
              <w:end w:w="120" w:type="dxa"/>
            </w:tcMar>
            <w:vAlign w:val="center"/>
          </w:tcPr>
          <w:p>
            <w:pPr>
              <w:pStyle w:val="TableText"/>
              <w:jc w:val="left"/>
            </w:pPr>
            <w:r>
              <w:rPr>
                <w:rFonts w:ascii="Aptos" w:hAnsi="Aptos" w:eastAsia="Aptos"/>
                <w:color w:val="1F2933"/>
                <w:sz w:val="16"/>
              </w:rPr>
              <w:t>[ ]</w:t>
            </w:r>
          </w:p>
        </w:tc>
      </w:tr>
      <w:tr>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NAM blank/solvent</w:t>
            </w:r>
          </w:p>
        </w:tc>
        <w:tc>
          <w:tcPr>
            <w:tcW w:type="dxa" w:w="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21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60"/>
            <w:tcMar>
              <w:top w:w="90" w:type="dxa"/>
              <w:start w:w="120" w:type="dxa"/>
              <w:bottom w:w="90" w:type="dxa"/>
              <w:end w:w="120" w:type="dxa"/>
            </w:tcMar>
            <w:vAlign w:val="center"/>
          </w:tcPr>
          <w:p>
            <w:pPr>
              <w:pStyle w:val="TableText"/>
              <w:jc w:val="left"/>
            </w:pPr>
            <w:r>
              <w:rPr>
                <w:rFonts w:ascii="Aptos" w:hAnsi="Aptos" w:eastAsia="Aptos"/>
                <w:color w:val="1F2933"/>
                <w:sz w:val="16"/>
              </w:rPr>
              <w:t>[ ]</w:t>
            </w:r>
          </w:p>
        </w:tc>
      </w:tr>
      <w:tr>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NAM low concentration</w:t>
            </w:r>
          </w:p>
        </w:tc>
        <w:tc>
          <w:tcPr>
            <w:tcW w:type="dxa" w:w="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21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60"/>
            <w:tcMar>
              <w:top w:w="90" w:type="dxa"/>
              <w:start w:w="120" w:type="dxa"/>
              <w:bottom w:w="90" w:type="dxa"/>
              <w:end w:w="120" w:type="dxa"/>
            </w:tcMar>
            <w:vAlign w:val="center"/>
          </w:tcPr>
          <w:p>
            <w:pPr>
              <w:pStyle w:val="TableText"/>
              <w:jc w:val="left"/>
            </w:pPr>
            <w:r>
              <w:rPr>
                <w:rFonts w:ascii="Aptos" w:hAnsi="Aptos" w:eastAsia="Aptos"/>
                <w:color w:val="1F2933"/>
                <w:sz w:val="16"/>
              </w:rPr>
              <w:t>[ ]</w:t>
            </w:r>
          </w:p>
        </w:tc>
      </w:tr>
      <w:tr>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NAM medium concentration</w:t>
            </w:r>
          </w:p>
        </w:tc>
        <w:tc>
          <w:tcPr>
            <w:tcW w:type="dxa" w:w="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21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60"/>
            <w:tcMar>
              <w:top w:w="90" w:type="dxa"/>
              <w:start w:w="120" w:type="dxa"/>
              <w:bottom w:w="90" w:type="dxa"/>
              <w:end w:w="120" w:type="dxa"/>
            </w:tcMar>
            <w:vAlign w:val="center"/>
          </w:tcPr>
          <w:p>
            <w:pPr>
              <w:pStyle w:val="TableText"/>
              <w:jc w:val="left"/>
            </w:pPr>
            <w:r>
              <w:rPr>
                <w:rFonts w:ascii="Aptos" w:hAnsi="Aptos" w:eastAsia="Aptos"/>
                <w:color w:val="1F2933"/>
                <w:sz w:val="16"/>
              </w:rPr>
              <w:t>[ ]</w:t>
            </w:r>
          </w:p>
        </w:tc>
      </w:tr>
      <w:tr>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NAM high concentration</w:t>
            </w:r>
          </w:p>
        </w:tc>
        <w:tc>
          <w:tcPr>
            <w:tcW w:type="dxa" w:w="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21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60"/>
            <w:tcMar>
              <w:top w:w="90" w:type="dxa"/>
              <w:start w:w="120" w:type="dxa"/>
              <w:bottom w:w="90" w:type="dxa"/>
              <w:end w:w="120" w:type="dxa"/>
            </w:tcMar>
            <w:vAlign w:val="center"/>
          </w:tcPr>
          <w:p>
            <w:pPr>
              <w:pStyle w:val="TableText"/>
              <w:jc w:val="left"/>
            </w:pPr>
            <w:r>
              <w:rPr>
                <w:rFonts w:ascii="Aptos" w:hAnsi="Aptos" w:eastAsia="Aptos"/>
                <w:color w:val="1F2933"/>
                <w:sz w:val="16"/>
              </w:rPr>
              <w:t>[ ]</w:t>
            </w:r>
          </w:p>
        </w:tc>
      </w:tr>
      <w:tr>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Best repeatability condition</w:t>
            </w:r>
          </w:p>
        </w:tc>
        <w:tc>
          <w:tcPr>
            <w:tcW w:type="dxa" w:w="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21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700"/>
            <w:tcMar>
              <w:top w:w="90" w:type="dxa"/>
              <w:start w:w="120" w:type="dxa"/>
              <w:bottom w:w="90" w:type="dxa"/>
              <w:end w:w="120" w:type="dxa"/>
            </w:tcMar>
            <w:vAlign w:val="center"/>
          </w:tcPr>
          <w:p>
            <w:pPr>
              <w:pStyle w:val="TableText"/>
              <w:jc w:val="left"/>
            </w:pPr>
            <w:r>
              <w:rPr>
                <w:rFonts w:ascii="Aptos" w:hAnsi="Aptos" w:eastAsia="Aptos"/>
                <w:color w:val="1F2933"/>
                <w:sz w:val="16"/>
              </w:rPr>
              <w:t>[ ]</w:t>
            </w:r>
          </w:p>
        </w:tc>
        <w:tc>
          <w:tcPr>
            <w:tcW w:type="dxa" w:w="1660"/>
            <w:tcMar>
              <w:top w:w="90" w:type="dxa"/>
              <w:start w:w="120" w:type="dxa"/>
              <w:bottom w:w="90" w:type="dxa"/>
              <w:end w:w="120" w:type="dxa"/>
            </w:tcMar>
            <w:vAlign w:val="center"/>
          </w:tcPr>
          <w:p>
            <w:pPr>
              <w:pStyle w:val="TableText"/>
              <w:jc w:val="left"/>
            </w:pPr>
            <w:r>
              <w:rPr>
                <w:rFonts w:ascii="Aptos" w:hAnsi="Aptos" w:eastAsia="Aptos"/>
                <w:color w:val="1F2933"/>
                <w:sz w:val="16"/>
              </w:rPr>
              <w:t>[ ]</w:t>
            </w:r>
          </w:p>
        </w:tc>
      </w:tr>
    </w:tbl>
    <w:p>
      <w:pPr>
        <w:spacing w:after="20"/>
      </w:pPr>
    </w:p>
    <w:p>
      <w:pPr>
        <w:pStyle w:val="Heading2"/>
      </w:pPr>
      <w:r>
        <w:t>7.3 Honest conclusion templates</w:t>
      </w:r>
    </w:p>
    <w:p>
      <w:pPr>
        <w:pStyle w:val="ListBullet"/>
        <w:spacing w:after="60" w:line="259" w:lineRule="auto"/>
        <w:ind w:left="461" w:hanging="259"/>
      </w:pPr>
      <w:r>
        <w:rPr>
          <w:rFonts w:ascii="Aptos" w:hAnsi="Aptos" w:eastAsia="Aptos"/>
          <w:color w:val="1F2933"/>
          <w:sz w:val="20"/>
        </w:rPr>
        <w:t>Positive preliminary result: 'Under the tested conditions, the Ag/Si substrate produced a measurable and repeatable NAM-associated response above the blank. The result is preliminary and requires concentration-series expansion and independent batch validation.'</w:t>
      </w:r>
    </w:p>
    <w:p>
      <w:pPr>
        <w:pStyle w:val="ListBullet"/>
        <w:spacing w:after="60" w:line="259" w:lineRule="auto"/>
        <w:ind w:left="461" w:hanging="259"/>
      </w:pPr>
      <w:r>
        <w:rPr>
          <w:rFonts w:ascii="Aptos" w:hAnsi="Aptos" w:eastAsia="Aptos"/>
          <w:color w:val="1F2933"/>
          <w:sz w:val="20"/>
        </w:rPr>
        <w:t>Optimization result: 'The control experiment confirmed substrate activity, while NAM response remained weak/variable. The data indicate that analyte adsorption, deposition, or substrate uniformity remains the limiting factor.'</w:t>
      </w:r>
    </w:p>
    <w:p>
      <w:pPr>
        <w:pStyle w:val="ListBullet"/>
        <w:spacing w:after="60" w:line="259" w:lineRule="auto"/>
        <w:ind w:left="461" w:hanging="259"/>
      </w:pPr>
      <w:r>
        <w:rPr>
          <w:rFonts w:ascii="Aptos" w:hAnsi="Aptos" w:eastAsia="Aptos"/>
          <w:color w:val="1F2933"/>
          <w:sz w:val="20"/>
        </w:rPr>
        <w:t>Inconclusive result: 'The validation run did not provide sufficient evidence for a reproducible NAM response. The control and measurement logs identify the next troubleshooting steps, and the study will be repeated after method review.'</w:t>
      </w:r>
    </w:p>
    <w:p>
      <w:pPr>
        <w:spacing w:before="0" w:after="120"/>
      </w:pPr>
      <w:r>
        <w:rPr>
          <w:rFonts w:ascii="Aptos" w:hAnsi="Aptos" w:eastAsia="Aptos"/>
          <w:i/>
          <w:color w:val="5B6770"/>
        </w:rPr>
        <w:t>Choose only the conclusion supported by the actual data. Do not copy a positive template if the measurements do not support it.</w:t>
      </w:r>
    </w:p>
    <w:p>
      <w:pPr>
        <w:pStyle w:val="Heading1"/>
      </w:pPr>
      <w:r>
        <w:t>8. Safety and Recordkeeping</w:t>
      </w:r>
    </w:p>
    <w:p>
      <w:pPr>
        <w:pStyle w:val="ListBullet"/>
        <w:spacing w:after="60" w:line="259" w:lineRule="auto"/>
        <w:ind w:left="461" w:hanging="259"/>
      </w:pPr>
      <w:r>
        <w:rPr>
          <w:rFonts w:ascii="Aptos" w:hAnsi="Aptos" w:eastAsia="Aptos"/>
          <w:color w:val="1F2933"/>
          <w:sz w:val="20"/>
        </w:rPr>
        <w:t>Use only approved laboratory SOPs and supervisor-authorized conditions for HF etching, silver deposition, Raman operation, and waste disposal.</w:t>
      </w:r>
    </w:p>
    <w:p>
      <w:pPr>
        <w:pStyle w:val="ListBullet"/>
        <w:spacing w:after="60" w:line="259" w:lineRule="auto"/>
        <w:ind w:left="461" w:hanging="259"/>
      </w:pPr>
      <w:r>
        <w:rPr>
          <w:rFonts w:ascii="Aptos" w:hAnsi="Aptos" w:eastAsia="Aptos"/>
          <w:color w:val="1F2933"/>
          <w:sz w:val="20"/>
        </w:rPr>
        <w:t>If existing Ag/Si substrates are available, prioritize measurement and validation rather than starting an unapproved fabrication change during the five-day period.</w:t>
      </w:r>
    </w:p>
    <w:p>
      <w:pPr>
        <w:pStyle w:val="ListBullet"/>
        <w:spacing w:after="60" w:line="259" w:lineRule="auto"/>
        <w:ind w:left="461" w:hanging="259"/>
      </w:pPr>
      <w:r>
        <w:rPr>
          <w:rFonts w:ascii="Aptos" w:hAnsi="Aptos" w:eastAsia="Aptos"/>
          <w:color w:val="1F2933"/>
          <w:sz w:val="20"/>
        </w:rPr>
        <w:t>Record all deviations, failed spots, instrument warnings, sample damage, and discarded measurements.</w:t>
      </w:r>
    </w:p>
    <w:p>
      <w:pPr>
        <w:pStyle w:val="ListBullet"/>
        <w:spacing w:after="60" w:line="259" w:lineRule="auto"/>
        <w:ind w:left="461" w:hanging="259"/>
      </w:pPr>
      <w:r>
        <w:rPr>
          <w:rFonts w:ascii="Aptos" w:hAnsi="Aptos" w:eastAsia="Aptos"/>
          <w:color w:val="1F2933"/>
          <w:sz w:val="20"/>
        </w:rPr>
        <w:t>Keep raw data read-only and preserve the original file names so the July report can be audited.</w:t>
      </w:r>
    </w:p>
    <w:p>
      <w:pPr>
        <w:pStyle w:val="ListBullet"/>
        <w:spacing w:after="60" w:line="259" w:lineRule="auto"/>
        <w:ind w:left="461" w:hanging="259"/>
      </w:pPr>
      <w:r>
        <w:rPr>
          <w:rFonts w:ascii="Aptos" w:hAnsi="Aptos" w:eastAsia="Aptos"/>
          <w:color w:val="1F2933"/>
          <w:sz w:val="20"/>
        </w:rPr>
        <w:t>Do not describe a planned experiment as completed; use 'planned', 'in progress', or 'not completed' where appropriate.</w:t>
      </w:r>
    </w:p>
    <w:p>
      <w:pPr>
        <w:pStyle w:val="Heading1"/>
      </w:pPr>
      <w:r>
        <w:t>9. Immediate Priority</w:t>
      </w:r>
    </w:p>
    <w:p>
      <w:pPr>
        <w:spacing w:before="0" w:after="120"/>
      </w:pPr>
      <w:r>
        <w:rPr>
          <w:rFonts w:ascii="Aptos" w:hAnsi="Aptos" w:eastAsia="Aptos"/>
          <w:i w:val="0"/>
          <w:color w:val="1F2933"/>
        </w:rPr>
        <w:t>The highest-value experiment for this reporting period is a controlled NAM validation on the existing Ag/Si substrate with R6G quality control, blanks, a small concentration series, and replicate spots. The report should show what was tested, what was measured, what failed or succeeded, and what the result implies for the next phase.</w:t>
      </w:r>
    </w:p>
    <w:tbl>
      <w:tblPr>
        <w:tblW w:type="dxa" w:w="9360"/>
        <w:jc w:val="left"/>
        <w:tblLayout w:type="fixed"/>
        <w:tblLook w:firstColumn="1" w:firstRow="1" w:lastColumn="0" w:lastRow="0" w:noHBand="0" w:noVBand="1" w:val="04A0"/>
        <w:tblInd w:w="0" w:type="dxa"/>
        <w:tblBorders>
          <w:top w:val="single" w:sz="8" w:space="0" w:color="167D8D"/>
          <w:left w:val="single" w:sz="8" w:space="0" w:color="167D8D"/>
          <w:bottom w:val="single" w:sz="8" w:space="0" w:color="167D8D"/>
          <w:right w:val="single" w:sz="8" w:space="0" w:color="167D8D"/>
          <w:insideH w:val="single" w:sz="8" w:space="0" w:color="167D8D"/>
          <w:insideV w:val="single" w:sz="8" w:space="0" w:color="167D8D"/>
        </w:tblBorders>
      </w:tblPr>
      <w:tblGrid>
        <w:gridCol w:w="9360"/>
      </w:tblGrid>
      <w:tr>
        <w:tc>
          <w:tcPr>
            <w:tcW w:type="dxa" w:w="9360"/>
            <w:tcMar>
              <w:top w:w="90" w:type="dxa"/>
              <w:start w:w="120" w:type="dxa"/>
              <w:bottom w:w="90" w:type="dxa"/>
              <w:end w:w="120" w:type="dxa"/>
            </w:tcMar>
            <w:vAlign w:val="center"/>
            <w:shd w:fill="E9F5F5"/>
          </w:tcPr>
          <w:p>
            <w:pPr>
              <w:spacing w:after="0"/>
            </w:pPr>
            <w:r>
              <w:rPr>
                <w:rFonts w:ascii="Aptos" w:hAnsi="Aptos" w:eastAsia="Aptos"/>
                <w:b/>
                <w:color w:val="167D8D"/>
                <w:sz w:val="19"/>
              </w:rPr>
              <w:t xml:space="preserve">Five-day target  </w:t>
            </w:r>
            <w:r>
              <w:rPr>
                <w:rFonts w:ascii="Aptos" w:hAnsi="Aptos" w:eastAsia="Aptos"/>
                <w:color w:val="1F2933"/>
                <w:sz w:val="19"/>
              </w:rPr>
              <w:t>Produce one complete, traceable validation package: raw data manifest + processed spectra + quantitative comparison table + four figures + conclusion with limitations + supervisor-reviewed next step.</w:t>
            </w:r>
          </w:p>
        </w:tc>
      </w:tr>
    </w:tbl>
    <w:p>
      <w:pPr>
        <w:spacing w:after="20"/>
      </w:pPr>
    </w:p>
    <w:sectPr w:rsidR="00FC693F" w:rsidRPr="0006063C" w:rsidSect="00034616">
      <w:headerReference w:type="default" r:id="rId11"/>
      <w:footerReference w:type="default" r:id="rId12"/>
      <w:pgSz w:w="11906" w:h="16838"/>
      <w:pgMar w:top="1134" w:right="1077" w:bottom="1020" w:left="1077"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ptos" w:hAnsi="Aptos" w:eastAsia="Aptos"/>
        <w:color w:val="5B6770"/>
        <w:sz w:val="17"/>
      </w:rPr>
      <w:t xml:space="preserve">As of 03 August 2026  |  Page </w:t>
    </w:r>
    <w:r>
      <w:rPr>
        <w:rFonts w:ascii="Aptos" w:hAnsi="Aptos" w:eastAsia="Aptos"/>
        <w:color w:val="5B6770"/>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ptos" w:hAnsi="Aptos" w:eastAsia="Aptos"/>
        <w:color w:val="5B6770"/>
        <w:sz w:val="17"/>
      </w:rPr>
      <w:t xml:space="preserve">As of 03 August 2026  |  Page </w:t>
    </w:r>
    <w:r>
      <w:rPr>
        <w:rFonts w:ascii="Aptos" w:hAnsi="Aptos" w:eastAsia="Aptos"/>
        <w:color w:val="5B67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5" w:space="2" w:color="D9E0E6"/>
      </w:pBdr>
    </w:pPr>
    <w:r>
      <w:rPr>
        <w:rFonts w:ascii="Aptos" w:hAnsi="Aptos" w:eastAsia="Aptos"/>
        <w:b/>
        <w:color w:val="5B6770"/>
        <w:sz w:val="17"/>
      </w:rPr>
      <w:t>SEPSIS BIOMARKERS ANALYSIS  |  SERS PROJECT STATUS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5" w:space="2" w:color="D9E0E6"/>
      </w:pBdr>
    </w:pPr>
    <w:r>
      <w:rPr>
        <w:rFonts w:ascii="Aptos" w:hAnsi="Aptos" w:eastAsia="Aptos"/>
        <w:b/>
        <w:color w:val="5B6770"/>
        <w:sz w:val="17"/>
      </w:rPr>
      <w:t>SEPSIS BIOMARKERS ANALYSIS  |  SERS PROJECT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67D8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Aptos" w:hAnsi="Aptos"/>
      <w:color w:val="1F2933"/>
      <w:sz w:val="18"/>
    </w:rPr>
  </w:style>
  <w:style w:type="paragraph" w:customStyle="1" w:styleId="CaptionCustom">
    <w:name w:val="Caption Custom"/>
    <w:pPr>
      <w:spacing w:before="60" w:after="160"/>
      <w:jc w:val="center"/>
    </w:pPr>
    <w:rPr>
      <w:rFonts w:ascii="Aptos" w:hAnsi="Aptos"/>
      <w:i/>
      <w:color w:val="5B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2026 Rapid SERS Validation Plan and Monthly Report Template</dc:title>
  <dc:subject>Five-day Ag/Si substrate and NAM validation plan</dc:subject>
  <dc:creator>Sukesh P</dc:creator>
  <cp:keywords>July 2026, SERS, Ag/Si, NAM, validation, monthly progress report</cp:keywords>
  <dc:description>Template and execution plan. Complete with actual measured data before submission.</dc:description>
  <cp:lastModifiedBy/>
  <cp:revision>1</cp:revision>
  <dcterms:created xsi:type="dcterms:W3CDTF">2013-12-23T23:15:00Z</dcterms:created>
  <dcterms:modified xsi:type="dcterms:W3CDTF">2013-12-23T23:15:00Z</dcterms:modified>
  <cp:category/>
</cp:coreProperties>
</file>