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Current Lab Resources &amp; Materials Inventory</w:t>
      </w:r>
    </w:p>
    <w:p>
      <w:pPr>
        <w:spacing w:after="200" w:before="0"/>
      </w:pPr>
      <w:r>
        <w:rPr>
          <w:i/>
          <w:iCs/>
        </w:rPr>
        <w:t xml:space="preserve">Instrument, substrate, chemical, and biomarker stock — as evidenced in project files, for use in deciding next steps</w:t>
      </w:r>
    </w:p>
    <w:p>
      <w:pPr>
        <w:spacing w:after="40"/>
      </w:pPr>
      <w:r>
        <w:rPr>
          <w:b/>
          <w:bCs/>
        </w:rPr>
        <w:t xml:space="preserve">Project: </w:t>
      </w:r>
      <w:r>
        <w:t xml:space="preserve">SERS nanobiosensor for rapid bacterial identification in sepsis</w:t>
      </w:r>
    </w:p>
    <w:p>
      <w:pPr>
        <w:spacing w:after="200"/>
      </w:pPr>
      <w:r>
        <w:rPr>
          <w:b/>
          <w:bCs/>
        </w:rPr>
        <w:t xml:space="preserve">Prepared: </w:t>
      </w:r>
      <w:r>
        <w:t xml:space="preserve">14 August 2026</w:t>
      </w:r>
    </w:p>
    <w:p>
      <w:pPr>
        <w:pBdr>
          <w:bottom w:val="single" w:color="999999" w:sz="6" w:space="4"/>
        </w:pBdr>
        <w:spacing w:after="200"/>
      </w:pPr>
    </w:p>
    <w:p>
      <w:pPr>
        <w:spacing w:after="160" w:before="0"/>
      </w:pPr>
      <w:r>
        <w:t xml:space="preserve">This is a single reference sheet for what is actually in hand right now — instrument, substrate, and chemicals — separated clearly from what is planned but not yet available. It is compiled from the project's own prior audits (Comprehensive Research Progress Report, Document A/B, fabrication and measurement logs), not re-derived from scratch, and every figure below traces to one of those files. Where a spec was never confirmed, that is stated explicitly rather than assumed — those gaps are exactly the kind of thing that should be resolved before committing to a specific next experiment.</w:t>
      </w:r>
    </w:p>
    <w:p>
      <w:pPr>
        <w:pStyle w:val="Heading1"/>
        <w:spacing w:after="160" w:before="320"/>
      </w:pPr>
      <w:r>
        <w:t xml:space="preserve">1. Raman / SERS Instrument (the laser)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shd w:fill="2F3B52" w:val="clear"/>
            <w:tcMar>
              <w:top w:type="dxa" w:w="80"/>
              <w:left w:type="dxa" w:w="100"/>
              <w:bottom w:type="dxa" w:w="80"/>
              <w:right w:type="dxa" w:w="100"/>
            </w:tcMar>
          </w:tcPr>
          <w:p>
            <w:r>
              <w:rPr>
                <w:b/>
                <w:bCs/>
                <w:color w:val="FFFFFF"/>
                <w:sz w:val="19"/>
                <w:szCs w:val="19"/>
              </w:rPr>
              <w:t xml:space="preserve">Parameter</w:t>
            </w:r>
          </w:p>
        </w:tc>
        <w:tc>
          <w:tcPr>
            <w:tcW w:type="dxa" w:w="6680"/>
            <w:shd w:fill="2F3B52" w:val="clear"/>
            <w:tcMar>
              <w:top w:type="dxa" w:w="80"/>
              <w:left w:type="dxa" w:w="100"/>
              <w:bottom w:type="dxa" w:w="80"/>
              <w:right w:type="dxa" w:w="100"/>
            </w:tcMar>
          </w:tcPr>
          <w:p>
            <w:r>
              <w:rPr>
                <w:b/>
                <w:bCs/>
                <w:color w:val="FFFFFF"/>
                <w:sz w:val="19"/>
                <w:szCs w:val="19"/>
              </w:rPr>
              <w:t xml:space="preserve">Value</w:t>
            </w:r>
          </w:p>
        </w:tc>
      </w:tr>
      <w:tr>
        <w:tc>
          <w:tcPr>
            <w:tcW w:type="dxa" w:w="3400"/>
            <w:tcMar>
              <w:top w:type="dxa" w:w="80"/>
              <w:left w:type="dxa" w:w="100"/>
              <w:bottom w:type="dxa" w:w="80"/>
              <w:right w:type="dxa" w:w="100"/>
            </w:tcMar>
          </w:tcPr>
          <w:p>
            <w:r>
              <w:rPr>
                <w:b w:val="false"/>
                <w:bCs w:val="false"/>
                <w:sz w:val="19"/>
                <w:szCs w:val="19"/>
              </w:rPr>
              <w:t xml:space="preserve">Model</w:t>
            </w:r>
          </w:p>
        </w:tc>
        <w:tc>
          <w:tcPr>
            <w:tcW w:type="dxa" w:w="6680"/>
            <w:tcMar>
              <w:top w:type="dxa" w:w="80"/>
              <w:left w:type="dxa" w:w="100"/>
              <w:bottom w:type="dxa" w:w="80"/>
              <w:right w:type="dxa" w:w="100"/>
            </w:tcMar>
          </w:tcPr>
          <w:p>
            <w:r>
              <w:rPr>
                <w:b w:val="false"/>
                <w:bCs w:val="false"/>
                <w:sz w:val="19"/>
                <w:szCs w:val="19"/>
              </w:rPr>
              <w:t xml:space="preserve">B&amp;W Tek i-Raman Plus — spectrometer unit BWS465-785H, system model BTC665N-785H-SYS</w:t>
            </w:r>
          </w:p>
        </w:tc>
      </w:tr>
      <w:tr>
        <w:tc>
          <w:tcPr>
            <w:tcW w:type="dxa" w:w="3400"/>
            <w:tcMar>
              <w:top w:type="dxa" w:w="80"/>
              <w:left w:type="dxa" w:w="100"/>
              <w:bottom w:type="dxa" w:w="80"/>
              <w:right w:type="dxa" w:w="100"/>
            </w:tcMar>
          </w:tcPr>
          <w:p>
            <w:r>
              <w:rPr>
                <w:b w:val="false"/>
                <w:bCs w:val="false"/>
                <w:sz w:val="19"/>
                <w:szCs w:val="19"/>
              </w:rPr>
              <w:t xml:space="preserve">Probe / microscope head</w:t>
            </w:r>
          </w:p>
        </w:tc>
        <w:tc>
          <w:tcPr>
            <w:tcW w:type="dxa" w:w="6680"/>
            <w:tcMar>
              <w:top w:type="dxa" w:w="80"/>
              <w:left w:type="dxa" w:w="100"/>
              <w:bottom w:type="dxa" w:w="80"/>
              <w:right w:type="dxa" w:w="100"/>
            </w:tcMar>
          </w:tcPr>
          <w:p>
            <w:r>
              <w:rPr>
                <w:b w:val="false"/>
                <w:bCs w:val="false"/>
                <w:sz w:val="19"/>
                <w:szCs w:val="19"/>
              </w:rPr>
              <w:t xml:space="preserve">BAC102-785E</w:t>
            </w:r>
          </w:p>
        </w:tc>
      </w:tr>
      <w:tr>
        <w:tc>
          <w:tcPr>
            <w:tcW w:type="dxa" w:w="3400"/>
            <w:tcMar>
              <w:top w:type="dxa" w:w="80"/>
              <w:left w:type="dxa" w:w="100"/>
              <w:bottom w:type="dxa" w:w="80"/>
              <w:right w:type="dxa" w:w="100"/>
            </w:tcMar>
          </w:tcPr>
          <w:p>
            <w:r>
              <w:rPr>
                <w:b w:val="false"/>
                <w:bCs w:val="false"/>
                <w:sz w:val="19"/>
                <w:szCs w:val="19"/>
              </w:rPr>
              <w:t xml:space="preserve">Excitation wavelength</w:t>
            </w:r>
          </w:p>
        </w:tc>
        <w:tc>
          <w:tcPr>
            <w:tcW w:type="dxa" w:w="6680"/>
            <w:tcMar>
              <w:top w:type="dxa" w:w="80"/>
              <w:left w:type="dxa" w:w="100"/>
              <w:bottom w:type="dxa" w:w="80"/>
              <w:right w:type="dxa" w:w="100"/>
            </w:tcMar>
          </w:tcPr>
          <w:p>
            <w:r>
              <w:rPr>
                <w:b w:val="false"/>
                <w:bCs w:val="false"/>
                <w:sz w:val="19"/>
                <w:szCs w:val="19"/>
              </w:rPr>
              <w:t xml:space="preserve">785 nm (784.92 nm as reported by the instrument's own calibration)</w:t>
            </w:r>
          </w:p>
        </w:tc>
      </w:tr>
      <w:tr>
        <w:tc>
          <w:tcPr>
            <w:tcW w:type="dxa" w:w="3400"/>
            <w:tcMar>
              <w:top w:type="dxa" w:w="80"/>
              <w:left w:type="dxa" w:w="100"/>
              <w:bottom w:type="dxa" w:w="80"/>
              <w:right w:type="dxa" w:w="100"/>
            </w:tcMar>
          </w:tcPr>
          <w:p>
            <w:r>
              <w:rPr>
                <w:b w:val="false"/>
                <w:bCs w:val="false"/>
                <w:sz w:val="19"/>
                <w:szCs w:val="19"/>
              </w:rPr>
              <w:t xml:space="preserve">Laser class / max power</w:t>
            </w:r>
          </w:p>
        </w:tc>
        <w:tc>
          <w:tcPr>
            <w:tcW w:type="dxa" w:w="6680"/>
            <w:tcMar>
              <w:top w:type="dxa" w:w="80"/>
              <w:left w:type="dxa" w:w="100"/>
              <w:bottom w:type="dxa" w:w="80"/>
              <w:right w:type="dxa" w:w="100"/>
            </w:tcMar>
          </w:tcPr>
          <w:p>
            <w:r>
              <w:rPr>
                <w:b w:val="false"/>
                <w:bCs w:val="false"/>
                <w:sz w:val="19"/>
                <w:szCs w:val="19"/>
              </w:rPr>
              <w:t xml:space="preserve">Class 3B; nominal maximum output 495 mW</w:t>
            </w:r>
          </w:p>
        </w:tc>
      </w:tr>
      <w:tr>
        <w:tc>
          <w:tcPr>
            <w:tcW w:type="dxa" w:w="3400"/>
            <w:tcMar>
              <w:top w:type="dxa" w:w="80"/>
              <w:left w:type="dxa" w:w="100"/>
              <w:bottom w:type="dxa" w:w="80"/>
              <w:right w:type="dxa" w:w="100"/>
            </w:tcMar>
          </w:tcPr>
          <w:p>
            <w:r>
              <w:rPr>
                <w:b w:val="false"/>
                <w:bCs w:val="false"/>
                <w:sz w:val="19"/>
                <w:szCs w:val="19"/>
              </w:rPr>
              <w:t xml:space="preserve">Objective</w:t>
            </w:r>
          </w:p>
        </w:tc>
        <w:tc>
          <w:tcPr>
            <w:tcW w:type="dxa" w:w="6680"/>
            <w:tcMar>
              <w:top w:type="dxa" w:w="80"/>
              <w:left w:type="dxa" w:w="100"/>
              <w:bottom w:type="dxa" w:w="80"/>
              <w:right w:type="dxa" w:w="100"/>
            </w:tcMar>
          </w:tcPr>
          <w:p>
            <w:r>
              <w:rPr>
                <w:b w:val="false"/>
                <w:bCs w:val="false"/>
                <w:sz w:val="19"/>
                <w:szCs w:val="19"/>
              </w:rPr>
              <w:t xml:space="preserve">20× Plan objective (used in all measurements reviewed); 50× LMPlan objective available but unused</w:t>
            </w:r>
          </w:p>
        </w:tc>
      </w:tr>
      <w:tr>
        <w:tc>
          <w:tcPr>
            <w:tcW w:type="dxa" w:w="3400"/>
            <w:tcMar>
              <w:top w:type="dxa" w:w="80"/>
              <w:left w:type="dxa" w:w="100"/>
              <w:bottom w:type="dxa" w:w="80"/>
              <w:right w:type="dxa" w:w="100"/>
            </w:tcMar>
          </w:tcPr>
          <w:p>
            <w:r>
              <w:rPr>
                <w:b w:val="false"/>
                <w:bCs w:val="false"/>
                <w:sz w:val="19"/>
                <w:szCs w:val="19"/>
              </w:rPr>
              <w:t xml:space="preserve">Detector</w:t>
            </w:r>
          </w:p>
        </w:tc>
        <w:tc>
          <w:tcPr>
            <w:tcW w:type="dxa" w:w="6680"/>
            <w:tcMar>
              <w:top w:type="dxa" w:w="80"/>
              <w:left w:type="dxa" w:w="100"/>
              <w:bottom w:type="dxa" w:w="80"/>
              <w:right w:type="dxa" w:w="100"/>
            </w:tcMar>
          </w:tcPr>
          <w:p>
            <w:r>
              <w:rPr>
                <w:b w:val="false"/>
                <w:bCs w:val="false"/>
                <w:sz w:val="19"/>
                <w:szCs w:val="19"/>
              </w:rPr>
              <w:t xml:space="preserve">2048-pixel array</w:t>
            </w:r>
          </w:p>
        </w:tc>
      </w:tr>
      <w:tr>
        <w:tc>
          <w:tcPr>
            <w:tcW w:type="dxa" w:w="3400"/>
            <w:tcMar>
              <w:top w:type="dxa" w:w="80"/>
              <w:left w:type="dxa" w:w="100"/>
              <w:bottom w:type="dxa" w:w="80"/>
              <w:right w:type="dxa" w:w="100"/>
            </w:tcMar>
          </w:tcPr>
          <w:p>
            <w:r>
              <w:rPr>
                <w:b w:val="false"/>
                <w:bCs w:val="false"/>
                <w:sz w:val="19"/>
                <w:szCs w:val="19"/>
              </w:rPr>
              <w:t xml:space="preserve">Spectral range</w:t>
            </w:r>
          </w:p>
        </w:tc>
        <w:tc>
          <w:tcPr>
            <w:tcW w:type="dxa" w:w="6680"/>
            <w:tcMar>
              <w:top w:type="dxa" w:w="80"/>
              <w:left w:type="dxa" w:w="100"/>
              <w:bottom w:type="dxa" w:w="80"/>
              <w:right w:type="dxa" w:w="100"/>
            </w:tcMar>
          </w:tcPr>
          <w:p>
            <w:r>
              <w:rPr>
                <w:b w:val="false"/>
                <w:bCs w:val="false"/>
                <w:sz w:val="19"/>
                <w:szCs w:val="19"/>
              </w:rPr>
              <w:t xml:space="preserve">≈ −46 to 2842 cm⁻¹</w:t>
            </w:r>
          </w:p>
        </w:tc>
      </w:tr>
      <w:tr>
        <w:tc>
          <w:tcPr>
            <w:tcW w:type="dxa" w:w="3400"/>
            <w:tcMar>
              <w:top w:type="dxa" w:w="80"/>
              <w:left w:type="dxa" w:w="100"/>
              <w:bottom w:type="dxa" w:w="80"/>
              <w:right w:type="dxa" w:w="100"/>
            </w:tcMar>
          </w:tcPr>
          <w:p>
            <w:r>
              <w:rPr>
                <w:b w:val="false"/>
                <w:bCs w:val="false"/>
                <w:sz w:val="19"/>
                <w:szCs w:val="19"/>
              </w:rPr>
              <w:t xml:space="preserve">Spectral sampling</w:t>
            </w:r>
          </w:p>
        </w:tc>
        <w:tc>
          <w:tcPr>
            <w:tcW w:type="dxa" w:w="6680"/>
            <w:tcMar>
              <w:top w:type="dxa" w:w="80"/>
              <w:left w:type="dxa" w:w="100"/>
              <w:bottom w:type="dxa" w:w="80"/>
              <w:right w:type="dxa" w:w="100"/>
            </w:tcMar>
          </w:tcPr>
          <w:p>
            <w:r>
              <w:rPr>
                <w:b w:val="false"/>
                <w:bCs w:val="false"/>
                <w:sz w:val="19"/>
                <w:szCs w:val="19"/>
              </w:rPr>
              <w:t xml:space="preserve">≈1.4–1.8 cm⁻¹/pixel, varies by region; mean resolution ≈1.41 cm⁻¹ (one QC dataset)</w:t>
            </w:r>
          </w:p>
        </w:tc>
      </w:tr>
      <w:tr>
        <w:tc>
          <w:tcPr>
            <w:tcW w:type="dxa" w:w="3400"/>
            <w:tcMar>
              <w:top w:type="dxa" w:w="80"/>
              <w:left w:type="dxa" w:w="100"/>
              <w:bottom w:type="dxa" w:w="80"/>
              <w:right w:type="dxa" w:w="100"/>
            </w:tcMar>
          </w:tcPr>
          <w:p>
            <w:r>
              <w:rPr>
                <w:b w:val="false"/>
                <w:bCs w:val="false"/>
                <w:sz w:val="19"/>
                <w:szCs w:val="19"/>
              </w:rPr>
              <w:t xml:space="preserve">Software</w:t>
            </w:r>
          </w:p>
        </w:tc>
        <w:tc>
          <w:tcPr>
            <w:tcW w:type="dxa" w:w="6680"/>
            <w:tcMar>
              <w:top w:type="dxa" w:w="80"/>
              <w:left w:type="dxa" w:w="100"/>
              <w:bottom w:type="dxa" w:w="80"/>
              <w:right w:type="dxa" w:w="100"/>
            </w:tcMar>
          </w:tcPr>
          <w:p>
            <w:r>
              <w:rPr>
                <w:b w:val="false"/>
                <w:bCs w:val="false"/>
                <w:sz w:val="19"/>
                <w:szCs w:val="19"/>
              </w:rPr>
              <w:t xml:space="preserve">BWSpec / BWRam (v4.15_8 seen in raw file metadata)</w:t>
            </w:r>
          </w:p>
        </w:tc>
      </w:tr>
      <w:tr>
        <w:tc>
          <w:tcPr>
            <w:tcW w:type="dxa" w:w="3400"/>
            <w:tcMar>
              <w:top w:type="dxa" w:w="80"/>
              <w:left w:type="dxa" w:w="100"/>
              <w:bottom w:type="dxa" w:w="80"/>
              <w:right w:type="dxa" w:w="100"/>
            </w:tcMar>
          </w:tcPr>
          <w:p>
            <w:r>
              <w:rPr>
                <w:b w:val="false"/>
                <w:bCs w:val="false"/>
                <w:sz w:val="19"/>
                <w:szCs w:val="19"/>
              </w:rPr>
              <w:t xml:space="preserve">Settings actually used</w:t>
            </w:r>
          </w:p>
        </w:tc>
        <w:tc>
          <w:tcPr>
            <w:tcW w:type="dxa" w:w="6680"/>
            <w:tcMar>
              <w:top w:type="dxa" w:w="80"/>
              <w:left w:type="dxa" w:w="100"/>
              <w:bottom w:type="dxa" w:w="80"/>
              <w:right w:type="dxa" w:w="100"/>
            </w:tcMar>
          </w:tcPr>
          <w:p>
            <w:r>
              <w:rPr>
                <w:b w:val="false"/>
                <w:bCs w:val="false"/>
                <w:sz w:val="19"/>
                <w:szCs w:val="19"/>
              </w:rPr>
              <w:t xml:space="preserve">Laser power 5–90% of max (unitless "laser_powerlevel" field); integration 3–60 s; 1–30 accumulations, depending on experiment</w:t>
            </w:r>
          </w:p>
        </w:tc>
      </w:tr>
    </w:tbl>
    <w:p>
      <w:pPr>
        <w:spacing w:after="160"/>
      </w:pPr>
    </w:p>
    <w:p>
      <w:pPr>
        <w:spacing w:after="160"/>
      </w:pPr>
      <w:r>
        <w:rPr>
          <w:b/>
          <w:bCs/>
        </w:rPr>
        <w:t xml:space="preserve">Known gap: </w:t>
      </w:r>
      <w:r>
        <w:t xml:space="preserve">true laser power at the sample has never been measured in mW with a power meter. The instrument only logs a 0–100 "laser_powerlevel" setting, and different project documents inconsistently call this "percent" or "Watts." One planning note found a general spec sheet figure (~30 mW nominal at probe / ~42 mW at laser port for the BWS465-785x class) but this was not confirmed against this specific unit. This matters for any cross-experiment or cross-paper comparison and is a five-minute fix with a power meter if one is accessible.</w:t>
      </w:r>
    </w:p>
    <w:p>
      <w:pPr>
        <w:pStyle w:val="Heading1"/>
        <w:spacing w:after="160" w:before="320"/>
      </w:pPr>
      <w:r>
        <w:t xml:space="preserve">2. Silicon Substrate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shd w:fill="2F3B52" w:val="clear"/>
            <w:tcMar>
              <w:top w:type="dxa" w:w="80"/>
              <w:left w:type="dxa" w:w="100"/>
              <w:bottom w:type="dxa" w:w="80"/>
              <w:right w:type="dxa" w:w="100"/>
            </w:tcMar>
          </w:tcPr>
          <w:p>
            <w:r>
              <w:rPr>
                <w:b/>
                <w:bCs/>
                <w:color w:val="FFFFFF"/>
                <w:sz w:val="19"/>
                <w:szCs w:val="19"/>
              </w:rPr>
              <w:t xml:space="preserve">Parameter</w:t>
            </w:r>
          </w:p>
        </w:tc>
        <w:tc>
          <w:tcPr>
            <w:tcW w:type="dxa" w:w="6680"/>
            <w:shd w:fill="2F3B52" w:val="clear"/>
            <w:tcMar>
              <w:top w:type="dxa" w:w="80"/>
              <w:left w:type="dxa" w:w="100"/>
              <w:bottom w:type="dxa" w:w="80"/>
              <w:right w:type="dxa" w:w="100"/>
            </w:tcMar>
          </w:tcPr>
          <w:p>
            <w:r>
              <w:rPr>
                <w:b/>
                <w:bCs/>
                <w:color w:val="FFFFFF"/>
                <w:sz w:val="19"/>
                <w:szCs w:val="19"/>
              </w:rPr>
              <w:t xml:space="preserve">Value</w:t>
            </w:r>
          </w:p>
        </w:tc>
      </w:tr>
      <w:tr>
        <w:tc>
          <w:tcPr>
            <w:tcW w:type="dxa" w:w="3400"/>
            <w:tcMar>
              <w:top w:type="dxa" w:w="80"/>
              <w:left w:type="dxa" w:w="100"/>
              <w:bottom w:type="dxa" w:w="80"/>
              <w:right w:type="dxa" w:w="100"/>
            </w:tcMar>
          </w:tcPr>
          <w:p>
            <w:r>
              <w:rPr>
                <w:b w:val="false"/>
                <w:bCs w:val="false"/>
                <w:sz w:val="19"/>
                <w:szCs w:val="19"/>
              </w:rPr>
              <w:t xml:space="preserve">Crystal type</w:t>
            </w:r>
          </w:p>
        </w:tc>
        <w:tc>
          <w:tcPr>
            <w:tcW w:type="dxa" w:w="6680"/>
            <w:tcMar>
              <w:top w:type="dxa" w:w="80"/>
              <w:left w:type="dxa" w:w="100"/>
              <w:bottom w:type="dxa" w:w="80"/>
              <w:right w:type="dxa" w:w="100"/>
            </w:tcMar>
          </w:tcPr>
          <w:p>
            <w:r>
              <w:rPr>
                <w:b w:val="false"/>
                <w:bCs w:val="false"/>
                <w:sz w:val="19"/>
                <w:szCs w:val="19"/>
              </w:rPr>
              <w:t xml:space="preserve">Single-crystal, Czochralski-grown</w:t>
            </w:r>
          </w:p>
        </w:tc>
      </w:tr>
      <w:tr>
        <w:tc>
          <w:tcPr>
            <w:tcW w:type="dxa" w:w="3400"/>
            <w:tcMar>
              <w:top w:type="dxa" w:w="80"/>
              <w:left w:type="dxa" w:w="100"/>
              <w:bottom w:type="dxa" w:w="80"/>
              <w:right w:type="dxa" w:w="100"/>
            </w:tcMar>
          </w:tcPr>
          <w:p>
            <w:r>
              <w:rPr>
                <w:b w:val="false"/>
                <w:bCs w:val="false"/>
                <w:sz w:val="19"/>
                <w:szCs w:val="19"/>
              </w:rPr>
              <w:t xml:space="preserve">Doping</w:t>
            </w:r>
          </w:p>
        </w:tc>
        <w:tc>
          <w:tcPr>
            <w:tcW w:type="dxa" w:w="6680"/>
            <w:tcMar>
              <w:top w:type="dxa" w:w="80"/>
              <w:left w:type="dxa" w:w="100"/>
              <w:bottom w:type="dxa" w:w="80"/>
              <w:right w:type="dxa" w:w="100"/>
            </w:tcMar>
          </w:tcPr>
          <w:p>
            <w:r>
              <w:rPr>
                <w:b w:val="false"/>
                <w:bCs w:val="false"/>
                <w:sz w:val="19"/>
                <w:szCs w:val="19"/>
              </w:rPr>
              <w:t xml:space="preserve">n-type, phosphorus-doped</w:t>
            </w:r>
          </w:p>
        </w:tc>
      </w:tr>
      <w:tr>
        <w:tc>
          <w:tcPr>
            <w:tcW w:type="dxa" w:w="3400"/>
            <w:tcMar>
              <w:top w:type="dxa" w:w="80"/>
              <w:left w:type="dxa" w:w="100"/>
              <w:bottom w:type="dxa" w:w="80"/>
              <w:right w:type="dxa" w:w="100"/>
            </w:tcMar>
          </w:tcPr>
          <w:p>
            <w:r>
              <w:rPr>
                <w:b w:val="false"/>
                <w:bCs w:val="false"/>
                <w:sz w:val="19"/>
                <w:szCs w:val="19"/>
              </w:rPr>
              <w:t xml:space="preserve">Crystal orientation</w:t>
            </w:r>
          </w:p>
        </w:tc>
        <w:tc>
          <w:tcPr>
            <w:tcW w:type="dxa" w:w="6680"/>
            <w:tcMar>
              <w:top w:type="dxa" w:w="80"/>
              <w:left w:type="dxa" w:w="100"/>
              <w:bottom w:type="dxa" w:w="80"/>
              <w:right w:type="dxa" w:w="100"/>
            </w:tcMar>
          </w:tcPr>
          <w:p>
            <w:r>
              <w:rPr>
                <w:b w:val="false"/>
                <w:bCs w:val="false"/>
                <w:sz w:val="19"/>
                <w:szCs w:val="19"/>
              </w:rPr>
              <w:t xml:space="preserve">⟨100⟩</w:t>
            </w:r>
          </w:p>
        </w:tc>
      </w:tr>
      <w:tr>
        <w:tc>
          <w:tcPr>
            <w:tcW w:type="dxa" w:w="3400"/>
            <w:tcMar>
              <w:top w:type="dxa" w:w="80"/>
              <w:left w:type="dxa" w:w="100"/>
              <w:bottom w:type="dxa" w:w="80"/>
              <w:right w:type="dxa" w:w="100"/>
            </w:tcMar>
          </w:tcPr>
          <w:p>
            <w:r>
              <w:rPr>
                <w:b w:val="false"/>
                <w:bCs w:val="false"/>
                <w:sz w:val="19"/>
                <w:szCs w:val="19"/>
              </w:rPr>
              <w:t xml:space="preserve">Resistivity</w:t>
            </w:r>
          </w:p>
        </w:tc>
        <w:tc>
          <w:tcPr>
            <w:tcW w:type="dxa" w:w="6680"/>
            <w:tcMar>
              <w:top w:type="dxa" w:w="80"/>
              <w:left w:type="dxa" w:w="100"/>
              <w:bottom w:type="dxa" w:w="80"/>
              <w:right w:type="dxa" w:w="100"/>
            </w:tcMar>
          </w:tcPr>
          <w:p>
            <w:r>
              <w:rPr>
                <w:b w:val="false"/>
                <w:bCs w:val="false"/>
                <w:sz w:val="19"/>
                <w:szCs w:val="19"/>
              </w:rPr>
              <w:t xml:space="preserve">1–10 Ω·cm</w:t>
            </w:r>
          </w:p>
        </w:tc>
      </w:tr>
      <w:tr>
        <w:tc>
          <w:tcPr>
            <w:tcW w:type="dxa" w:w="3400"/>
            <w:tcMar>
              <w:top w:type="dxa" w:w="80"/>
              <w:left w:type="dxa" w:w="100"/>
              <w:bottom w:type="dxa" w:w="80"/>
              <w:right w:type="dxa" w:w="100"/>
            </w:tcMar>
          </w:tcPr>
          <w:p>
            <w:r>
              <w:rPr>
                <w:b w:val="false"/>
                <w:bCs w:val="false"/>
                <w:sz w:val="19"/>
                <w:szCs w:val="19"/>
              </w:rPr>
              <w:t xml:space="preserve">Diameter</w:t>
            </w:r>
          </w:p>
        </w:tc>
        <w:tc>
          <w:tcPr>
            <w:tcW w:type="dxa" w:w="6680"/>
            <w:tcMar>
              <w:top w:type="dxa" w:w="80"/>
              <w:left w:type="dxa" w:w="100"/>
              <w:bottom w:type="dxa" w:w="80"/>
              <w:right w:type="dxa" w:w="100"/>
            </w:tcMar>
          </w:tcPr>
          <w:p>
            <w:r>
              <w:rPr>
                <w:b w:val="false"/>
                <w:bCs w:val="false"/>
                <w:sz w:val="19"/>
                <w:szCs w:val="19"/>
              </w:rPr>
              <w:t xml:space="preserve">2-inch</w:t>
            </w:r>
          </w:p>
        </w:tc>
      </w:tr>
      <w:tr>
        <w:tc>
          <w:tcPr>
            <w:tcW w:type="dxa" w:w="3400"/>
            <w:tcMar>
              <w:top w:type="dxa" w:w="80"/>
              <w:left w:type="dxa" w:w="100"/>
              <w:bottom w:type="dxa" w:w="80"/>
              <w:right w:type="dxa" w:w="100"/>
            </w:tcMar>
          </w:tcPr>
          <w:p>
            <w:r>
              <w:rPr>
                <w:b w:val="false"/>
                <w:bCs w:val="false"/>
                <w:sz w:val="19"/>
                <w:szCs w:val="19"/>
              </w:rPr>
              <w:t xml:space="preserve">Thickness</w:t>
            </w:r>
          </w:p>
        </w:tc>
        <w:tc>
          <w:tcPr>
            <w:tcW w:type="dxa" w:w="6680"/>
            <w:tcMar>
              <w:top w:type="dxa" w:w="80"/>
              <w:left w:type="dxa" w:w="100"/>
              <w:bottom w:type="dxa" w:w="80"/>
              <w:right w:type="dxa" w:w="100"/>
            </w:tcMar>
          </w:tcPr>
          <w:p>
            <w:r>
              <w:rPr>
                <w:b w:val="false"/>
                <w:bCs w:val="false"/>
                <w:sz w:val="19"/>
                <w:szCs w:val="19"/>
              </w:rPr>
              <w:t xml:space="preserve">280 ± 25 µm</w:t>
            </w:r>
          </w:p>
        </w:tc>
      </w:tr>
      <w:tr>
        <w:tc>
          <w:tcPr>
            <w:tcW w:type="dxa" w:w="3400"/>
            <w:tcMar>
              <w:top w:type="dxa" w:w="80"/>
              <w:left w:type="dxa" w:w="100"/>
              <w:bottom w:type="dxa" w:w="80"/>
              <w:right w:type="dxa" w:w="100"/>
            </w:tcMar>
          </w:tcPr>
          <w:p>
            <w:r>
              <w:rPr>
                <w:b w:val="false"/>
                <w:bCs w:val="false"/>
                <w:sz w:val="19"/>
                <w:szCs w:val="19"/>
              </w:rPr>
              <w:t xml:space="preserve">Polish</w:t>
            </w:r>
          </w:p>
        </w:tc>
        <w:tc>
          <w:tcPr>
            <w:tcW w:type="dxa" w:w="6680"/>
            <w:tcMar>
              <w:top w:type="dxa" w:w="80"/>
              <w:left w:type="dxa" w:w="100"/>
              <w:bottom w:type="dxa" w:w="80"/>
              <w:right w:type="dxa" w:w="100"/>
            </w:tcMar>
          </w:tcPr>
          <w:p>
            <w:r>
              <w:rPr>
                <w:b w:val="false"/>
                <w:bCs w:val="false"/>
                <w:sz w:val="19"/>
                <w:szCs w:val="19"/>
              </w:rPr>
              <w:t xml:space="preserve">Single-side polished</w:t>
            </w:r>
          </w:p>
        </w:tc>
      </w:tr>
      <w:tr>
        <w:tc>
          <w:tcPr>
            <w:tcW w:type="dxa" w:w="3400"/>
            <w:tcMar>
              <w:top w:type="dxa" w:w="80"/>
              <w:left w:type="dxa" w:w="100"/>
              <w:bottom w:type="dxa" w:w="80"/>
              <w:right w:type="dxa" w:w="100"/>
            </w:tcMar>
          </w:tcPr>
          <w:p>
            <w:r>
              <w:rPr>
                <w:b w:val="false"/>
                <w:bCs w:val="false"/>
                <w:sz w:val="19"/>
                <w:szCs w:val="19"/>
              </w:rPr>
              <w:t xml:space="preserve">Supplier</w:t>
            </w:r>
          </w:p>
        </w:tc>
        <w:tc>
          <w:tcPr>
            <w:tcW w:type="dxa" w:w="6680"/>
            <w:tcMar>
              <w:top w:type="dxa" w:w="80"/>
              <w:left w:type="dxa" w:w="100"/>
              <w:bottom w:type="dxa" w:w="80"/>
              <w:right w:type="dxa" w:w="100"/>
            </w:tcMar>
          </w:tcPr>
          <w:p>
            <w:r>
              <w:rPr>
                <w:b w:val="false"/>
                <w:bCs w:val="false"/>
                <w:sz w:val="19"/>
                <w:szCs w:val="19"/>
              </w:rPr>
              <w:t xml:space="preserve">Not documented in any reviewed file</w:t>
            </w:r>
          </w:p>
        </w:tc>
      </w:tr>
    </w:tbl>
    <w:p>
      <w:pPr>
        <w:spacing w:after="160"/>
      </w:pPr>
    </w:p>
    <w:p>
      <w:pPr>
        <w:spacing w:after="160" w:before="0"/>
      </w:pPr>
      <w:r>
        <w:t xml:space="preserve">This spec was recorded in the project's own "Raman Spectroscopy System and Silicon Wafer Specifications" note and matches the doping type/resistivity band used in the closest literature precedent for the fabrication route in use (Bai et al. 2019, Nanomaterials — MACE + photonic Ag reduction on n-type 1–10 Ω·cm Si, EF ≈1.4×10⁸ with R6G). That match is favourable — it means the published protocol transfers with no wafer substitution needed — but the wafer supplier itself, and independent confirmation of the exact resistivity/orientation on the physical stock in hand, were not found on file.</w:t>
      </w:r>
    </w:p>
    <w:p>
      <w:pPr>
        <w:pStyle w:val="Heading1"/>
        <w:spacing w:after="160" w:before="320"/>
      </w:pPr>
      <w:r>
        <w:t xml:space="preserve">3. Fabrication Chemicals — Ag/Si SERS Substrate (in active use)</w:t>
      </w:r>
    </w:p>
    <w:p>
      <w:pPr>
        <w:spacing w:after="160" w:before="0"/>
      </w:pPr>
      <w:r>
        <w:t xml:space="preserve">Route: one-step metal-assisted chemical etching (MACE), electroless silver deposition. Adapted from the host lab's own prior published protocol (Soni, Singh, Singh &amp; Agarwal, IEEE APSCON 2023).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3400"/>
        <w:gridCol w:w="2380"/>
      </w:tblGrid>
      <w:tr>
        <w:tc>
          <w:tcPr>
            <w:tcW w:type="dxa" w:w="1900"/>
            <w:shd w:fill="2F3B52" w:val="clear"/>
            <w:tcMar>
              <w:top w:type="dxa" w:w="80"/>
              <w:left w:type="dxa" w:w="100"/>
              <w:bottom w:type="dxa" w:w="80"/>
              <w:right w:type="dxa" w:w="100"/>
            </w:tcMar>
          </w:tcPr>
          <w:p>
            <w:r>
              <w:rPr>
                <w:b/>
                <w:bCs/>
                <w:color w:val="FFFFFF"/>
                <w:sz w:val="19"/>
                <w:szCs w:val="19"/>
              </w:rPr>
              <w:t xml:space="preserve">Reagent</w:t>
            </w:r>
          </w:p>
        </w:tc>
        <w:tc>
          <w:tcPr>
            <w:tcW w:type="dxa" w:w="2400"/>
            <w:shd w:fill="2F3B52" w:val="clear"/>
            <w:tcMar>
              <w:top w:type="dxa" w:w="80"/>
              <w:left w:type="dxa" w:w="100"/>
              <w:bottom w:type="dxa" w:w="80"/>
              <w:right w:type="dxa" w:w="100"/>
            </w:tcMar>
          </w:tcPr>
          <w:p>
            <w:r>
              <w:rPr>
                <w:b/>
                <w:bCs/>
                <w:color w:val="FFFFFF"/>
                <w:sz w:val="19"/>
                <w:szCs w:val="19"/>
              </w:rPr>
              <w:t xml:space="preserve">Role</w:t>
            </w:r>
          </w:p>
        </w:tc>
        <w:tc>
          <w:tcPr>
            <w:tcW w:type="dxa" w:w="3400"/>
            <w:shd w:fill="2F3B52" w:val="clear"/>
            <w:tcMar>
              <w:top w:type="dxa" w:w="80"/>
              <w:left w:type="dxa" w:w="100"/>
              <w:bottom w:type="dxa" w:w="80"/>
              <w:right w:type="dxa" w:w="100"/>
            </w:tcMar>
          </w:tcPr>
          <w:p>
            <w:r>
              <w:rPr>
                <w:b/>
                <w:bCs/>
                <w:color w:val="FFFFFF"/>
                <w:sz w:val="19"/>
                <w:szCs w:val="19"/>
              </w:rPr>
              <w:t xml:space="preserve">Concentration / amount actually used</w:t>
            </w:r>
          </w:p>
        </w:tc>
        <w:tc>
          <w:tcPr>
            <w:tcW w:type="dxa" w:w="2380"/>
            <w:shd w:fill="2F3B52" w:val="clear"/>
            <w:tcMar>
              <w:top w:type="dxa" w:w="80"/>
              <w:left w:type="dxa" w:w="100"/>
              <w:bottom w:type="dxa" w:w="80"/>
              <w:right w:type="dxa" w:w="100"/>
            </w:tcMar>
          </w:tcPr>
          <w:p>
            <w:r>
              <w:rPr>
                <w:b/>
                <w:bCs/>
                <w:color w:val="FFFFFF"/>
                <w:sz w:val="19"/>
                <w:szCs w:val="19"/>
              </w:rPr>
              <w:t xml:space="preserve">Notes</w:t>
            </w:r>
          </w:p>
        </w:tc>
      </w:tr>
      <w:tr>
        <w:tc>
          <w:tcPr>
            <w:tcW w:type="dxa" w:w="1900"/>
            <w:tcMar>
              <w:top w:type="dxa" w:w="80"/>
              <w:left w:type="dxa" w:w="100"/>
              <w:bottom w:type="dxa" w:w="80"/>
              <w:right w:type="dxa" w:w="100"/>
            </w:tcMar>
          </w:tcPr>
          <w:p>
            <w:r>
              <w:rPr>
                <w:b w:val="false"/>
                <w:bCs w:val="false"/>
                <w:sz w:val="19"/>
                <w:szCs w:val="19"/>
              </w:rPr>
              <w:t xml:space="preserve">Silver nitrate (AgNO₃)</w:t>
            </w:r>
          </w:p>
        </w:tc>
        <w:tc>
          <w:tcPr>
            <w:tcW w:type="dxa" w:w="2400"/>
            <w:tcMar>
              <w:top w:type="dxa" w:w="80"/>
              <w:left w:type="dxa" w:w="100"/>
              <w:bottom w:type="dxa" w:w="80"/>
              <w:right w:type="dxa" w:w="100"/>
            </w:tcMar>
          </w:tcPr>
          <w:p>
            <w:r>
              <w:rPr>
                <w:b w:val="false"/>
                <w:bCs w:val="false"/>
                <w:sz w:val="19"/>
                <w:szCs w:val="19"/>
              </w:rPr>
              <w:t xml:space="preserve">Ag⁺ source for electroless deposition</w:t>
            </w:r>
          </w:p>
        </w:tc>
        <w:tc>
          <w:tcPr>
            <w:tcW w:type="dxa" w:w="3400"/>
            <w:tcMar>
              <w:top w:type="dxa" w:w="80"/>
              <w:left w:type="dxa" w:w="100"/>
              <w:bottom w:type="dxa" w:w="80"/>
              <w:right w:type="dxa" w:w="100"/>
            </w:tcMar>
          </w:tcPr>
          <w:p>
            <w:r>
              <w:rPr>
                <w:b w:val="false"/>
                <w:bCs w:val="false"/>
                <w:sz w:val="19"/>
                <w:szCs w:val="19"/>
              </w:rPr>
              <w:t xml:space="preserve">6 mg per 45 mL DI water (baseline ≈20.0 mM); DOE series tests 5/10/20/40/80 mM</w:t>
            </w:r>
          </w:p>
        </w:tc>
        <w:tc>
          <w:tcPr>
            <w:tcW w:type="dxa" w:w="2380"/>
            <w:tcMar>
              <w:top w:type="dxa" w:w="80"/>
              <w:left w:type="dxa" w:w="100"/>
              <w:bottom w:type="dxa" w:w="80"/>
              <w:right w:type="dxa" w:w="100"/>
            </w:tcMar>
          </w:tcPr>
          <w:p>
            <w:r>
              <w:rPr>
                <w:b w:val="false"/>
                <w:bCs w:val="false"/>
                <w:sz w:val="19"/>
                <w:szCs w:val="19"/>
              </w:rPr>
              <w:t xml:space="preserve">Supplier/purity not documented</w:t>
            </w:r>
          </w:p>
        </w:tc>
      </w:tr>
      <w:tr>
        <w:tc>
          <w:tcPr>
            <w:tcW w:type="dxa" w:w="1900"/>
            <w:tcMar>
              <w:top w:type="dxa" w:w="80"/>
              <w:left w:type="dxa" w:w="100"/>
              <w:bottom w:type="dxa" w:w="80"/>
              <w:right w:type="dxa" w:w="100"/>
            </w:tcMar>
          </w:tcPr>
          <w:p>
            <w:r>
              <w:rPr>
                <w:b w:val="false"/>
                <w:bCs w:val="false"/>
                <w:sz w:val="19"/>
                <w:szCs w:val="19"/>
              </w:rPr>
              <w:t xml:space="preserve">Hydrofluoric acid (HF)</w:t>
            </w:r>
          </w:p>
        </w:tc>
        <w:tc>
          <w:tcPr>
            <w:tcW w:type="dxa" w:w="2400"/>
            <w:tcMar>
              <w:top w:type="dxa" w:w="80"/>
              <w:left w:type="dxa" w:w="100"/>
              <w:bottom w:type="dxa" w:w="80"/>
              <w:right w:type="dxa" w:w="100"/>
            </w:tcMar>
          </w:tcPr>
          <w:p>
            <w:r>
              <w:rPr>
                <w:b w:val="false"/>
                <w:bCs w:val="false"/>
                <w:sz w:val="19"/>
                <w:szCs w:val="19"/>
              </w:rPr>
              <w:t xml:space="preserve">Si etchant, combined with AgNO₃</w:t>
            </w:r>
          </w:p>
        </w:tc>
        <w:tc>
          <w:tcPr>
            <w:tcW w:type="dxa" w:w="3400"/>
            <w:tcMar>
              <w:top w:type="dxa" w:w="80"/>
              <w:left w:type="dxa" w:w="100"/>
              <w:bottom w:type="dxa" w:w="80"/>
              <w:right w:type="dxa" w:w="100"/>
            </w:tcMar>
          </w:tcPr>
          <w:p>
            <w:r>
              <w:rPr>
                <w:b w:val="false"/>
                <w:bCs w:val="false"/>
                <w:sz w:val="19"/>
                <w:szCs w:val="19"/>
              </w:rPr>
              <w:t xml:space="preserve">5 mL or 10 mL (crossed with 3/4/5/6 min soak) in the 8-condition fabrication matrix</w:t>
            </w:r>
          </w:p>
        </w:tc>
        <w:tc>
          <w:tcPr>
            <w:tcW w:type="dxa" w:w="2380"/>
            <w:tcMar>
              <w:top w:type="dxa" w:w="80"/>
              <w:left w:type="dxa" w:w="100"/>
              <w:bottom w:type="dxa" w:w="80"/>
              <w:right w:type="dxa" w:w="100"/>
            </w:tcMar>
          </w:tcPr>
          <w:p>
            <w:r>
              <w:rPr>
                <w:b w:val="false"/>
                <w:bCs w:val="false"/>
                <w:sz w:val="19"/>
                <w:szCs w:val="19"/>
              </w:rPr>
              <w:t xml:space="preserve">Stock assumed 49% w/w, density 1.15 g/mL — NOT independently confirmed against the reagent bottle</w:t>
            </w:r>
          </w:p>
        </w:tc>
      </w:tr>
      <w:tr>
        <w:tc>
          <w:tcPr>
            <w:tcW w:type="dxa" w:w="1900"/>
            <w:tcMar>
              <w:top w:type="dxa" w:w="80"/>
              <w:left w:type="dxa" w:w="100"/>
              <w:bottom w:type="dxa" w:w="80"/>
              <w:right w:type="dxa" w:w="100"/>
            </w:tcMar>
          </w:tcPr>
          <w:p>
            <w:r>
              <w:rPr>
                <w:b w:val="false"/>
                <w:bCs w:val="false"/>
                <w:sz w:val="19"/>
                <w:szCs w:val="19"/>
              </w:rPr>
              <w:t xml:space="preserve">Piranha solution</w:t>
            </w:r>
          </w:p>
        </w:tc>
        <w:tc>
          <w:tcPr>
            <w:tcW w:type="dxa" w:w="2400"/>
            <w:tcMar>
              <w:top w:type="dxa" w:w="80"/>
              <w:left w:type="dxa" w:w="100"/>
              <w:bottom w:type="dxa" w:w="80"/>
              <w:right w:type="dxa" w:w="100"/>
            </w:tcMar>
          </w:tcPr>
          <w:p>
            <w:r>
              <w:rPr>
                <w:b w:val="false"/>
                <w:bCs w:val="false"/>
                <w:sz w:val="19"/>
                <w:szCs w:val="19"/>
              </w:rPr>
              <w:t xml:space="preserve">Pre-clean, removes organic contamination</w:t>
            </w:r>
          </w:p>
        </w:tc>
        <w:tc>
          <w:tcPr>
            <w:tcW w:type="dxa" w:w="3400"/>
            <w:tcMar>
              <w:top w:type="dxa" w:w="80"/>
              <w:left w:type="dxa" w:w="100"/>
              <w:bottom w:type="dxa" w:w="80"/>
              <w:right w:type="dxa" w:w="100"/>
            </w:tcMar>
          </w:tcPr>
          <w:p>
            <w:r>
              <w:rPr>
                <w:b w:val="false"/>
                <w:bCs w:val="false"/>
                <w:sz w:val="19"/>
                <w:szCs w:val="19"/>
              </w:rPr>
              <w:t xml:space="preserve">Standard prep</w:t>
            </w:r>
          </w:p>
        </w:tc>
        <w:tc>
          <w:tcPr>
            <w:tcW w:type="dxa" w:w="2380"/>
            <w:tcMar>
              <w:top w:type="dxa" w:w="80"/>
              <w:left w:type="dxa" w:w="100"/>
              <w:bottom w:type="dxa" w:w="80"/>
              <w:right w:type="dxa" w:w="100"/>
            </w:tcMar>
          </w:tcPr>
          <w:p>
            <w:r>
              <w:rPr>
                <w:b w:val="false"/>
                <w:bCs w:val="false"/>
                <w:sz w:val="19"/>
                <w:szCs w:val="19"/>
              </w:rPr>
              <w:t xml:space="preserve">Supplier/purity not documented</w:t>
            </w:r>
          </w:p>
        </w:tc>
      </w:tr>
      <w:tr>
        <w:tc>
          <w:tcPr>
            <w:tcW w:type="dxa" w:w="1900"/>
            <w:tcMar>
              <w:top w:type="dxa" w:w="80"/>
              <w:left w:type="dxa" w:w="100"/>
              <w:bottom w:type="dxa" w:w="80"/>
              <w:right w:type="dxa" w:w="100"/>
            </w:tcMar>
          </w:tcPr>
          <w:p>
            <w:r>
              <w:rPr>
                <w:b w:val="false"/>
                <w:bCs w:val="false"/>
                <w:sz w:val="19"/>
                <w:szCs w:val="19"/>
              </w:rPr>
              <w:t xml:space="preserve">Buffered HF</w:t>
            </w:r>
          </w:p>
        </w:tc>
        <w:tc>
          <w:tcPr>
            <w:tcW w:type="dxa" w:w="2400"/>
            <w:tcMar>
              <w:top w:type="dxa" w:w="80"/>
              <w:left w:type="dxa" w:w="100"/>
              <w:bottom w:type="dxa" w:w="80"/>
              <w:right w:type="dxa" w:w="100"/>
            </w:tcMar>
          </w:tcPr>
          <w:p>
            <w:r>
              <w:rPr>
                <w:b w:val="false"/>
                <w:bCs w:val="false"/>
                <w:sz w:val="19"/>
                <w:szCs w:val="19"/>
              </w:rPr>
              <w:t xml:space="preserve">Native-oxide strip immediately before deposition</w:t>
            </w:r>
          </w:p>
        </w:tc>
        <w:tc>
          <w:tcPr>
            <w:tcW w:type="dxa" w:w="3400"/>
            <w:tcMar>
              <w:top w:type="dxa" w:w="80"/>
              <w:left w:type="dxa" w:w="100"/>
              <w:bottom w:type="dxa" w:w="80"/>
              <w:right w:type="dxa" w:w="100"/>
            </w:tcMar>
          </w:tcPr>
          <w:p>
            <w:r>
              <w:rPr>
                <w:b w:val="false"/>
                <w:bCs w:val="false"/>
                <w:sz w:val="19"/>
                <w:szCs w:val="19"/>
              </w:rPr>
              <w:t xml:space="preserve">~5 minute dip</w:t>
            </w:r>
          </w:p>
        </w:tc>
        <w:tc>
          <w:tcPr>
            <w:tcW w:type="dxa" w:w="2380"/>
            <w:tcMar>
              <w:top w:type="dxa" w:w="80"/>
              <w:left w:type="dxa" w:w="100"/>
              <w:bottom w:type="dxa" w:w="80"/>
              <w:right w:type="dxa" w:w="100"/>
            </w:tcMar>
          </w:tcPr>
          <w:p>
            <w:r>
              <w:rPr>
                <w:b w:val="false"/>
                <w:bCs w:val="false"/>
                <w:sz w:val="19"/>
                <w:szCs w:val="19"/>
              </w:rPr>
              <w:t xml:space="preserve">—</w:t>
            </w:r>
          </w:p>
        </w:tc>
      </w:tr>
      <w:tr>
        <w:tc>
          <w:tcPr>
            <w:tcW w:type="dxa" w:w="1900"/>
            <w:tcMar>
              <w:top w:type="dxa" w:w="80"/>
              <w:left w:type="dxa" w:w="100"/>
              <w:bottom w:type="dxa" w:w="80"/>
              <w:right w:type="dxa" w:w="100"/>
            </w:tcMar>
          </w:tcPr>
          <w:p>
            <w:r>
              <w:rPr>
                <w:b w:val="false"/>
                <w:bCs w:val="false"/>
                <w:sz w:val="19"/>
                <w:szCs w:val="19"/>
              </w:rPr>
              <w:t xml:space="preserve">Deionised / ultrapure water</w:t>
            </w:r>
          </w:p>
        </w:tc>
        <w:tc>
          <w:tcPr>
            <w:tcW w:type="dxa" w:w="2400"/>
            <w:tcMar>
              <w:top w:type="dxa" w:w="80"/>
              <w:left w:type="dxa" w:w="100"/>
              <w:bottom w:type="dxa" w:w="80"/>
              <w:right w:type="dxa" w:w="100"/>
            </w:tcMar>
          </w:tcPr>
          <w:p>
            <w:r>
              <w:rPr>
                <w:b w:val="false"/>
                <w:bCs w:val="false"/>
                <w:sz w:val="19"/>
                <w:szCs w:val="19"/>
              </w:rPr>
              <w:t xml:space="preserve">Primary solvent and rinse</w:t>
            </w:r>
          </w:p>
        </w:tc>
        <w:tc>
          <w:tcPr>
            <w:tcW w:type="dxa" w:w="3400"/>
            <w:tcMar>
              <w:top w:type="dxa" w:w="80"/>
              <w:left w:type="dxa" w:w="100"/>
              <w:bottom w:type="dxa" w:w="80"/>
              <w:right w:type="dxa" w:w="100"/>
            </w:tcMar>
          </w:tcPr>
          <w:p>
            <w:r>
              <w:rPr>
                <w:b w:val="false"/>
                <w:bCs w:val="false"/>
                <w:sz w:val="19"/>
                <w:szCs w:val="19"/>
              </w:rPr>
              <w:t xml:space="preserve">—</w:t>
            </w:r>
          </w:p>
        </w:tc>
        <w:tc>
          <w:tcPr>
            <w:tcW w:type="dxa" w:w="2380"/>
            <w:tcMar>
              <w:top w:type="dxa" w:w="80"/>
              <w:left w:type="dxa" w:w="100"/>
              <w:bottom w:type="dxa" w:w="80"/>
              <w:right w:type="dxa" w:w="100"/>
            </w:tcMar>
          </w:tcPr>
          <w:p>
            <w:r>
              <w:rPr>
                <w:b w:val="false"/>
                <w:bCs w:val="false"/>
                <w:sz w:val="19"/>
                <w:szCs w:val="19"/>
              </w:rPr>
              <w:t xml:space="preserve">Selected over PBS/DMSO/DMF/ethanol for all three biomarkers after explicit solubility testing; PBS specifically avoided because its phosphate peaks overlap the 800–1100 cm⁻¹ fingerprint region used for biomarker diagnostic bands</w:t>
            </w:r>
          </w:p>
        </w:tc>
      </w:tr>
      <w:tr>
        <w:tc>
          <w:tcPr>
            <w:tcW w:type="dxa" w:w="1900"/>
            <w:tcMar>
              <w:top w:type="dxa" w:w="80"/>
              <w:left w:type="dxa" w:w="100"/>
              <w:bottom w:type="dxa" w:w="80"/>
              <w:right w:type="dxa" w:w="100"/>
            </w:tcMar>
          </w:tcPr>
          <w:p>
            <w:r>
              <w:rPr>
                <w:b w:val="false"/>
                <w:bCs w:val="false"/>
                <w:sz w:val="19"/>
                <w:szCs w:val="19"/>
              </w:rPr>
              <w:t xml:space="preserve">Acetone / IPA</w:t>
            </w:r>
          </w:p>
        </w:tc>
        <w:tc>
          <w:tcPr>
            <w:tcW w:type="dxa" w:w="2400"/>
            <w:tcMar>
              <w:top w:type="dxa" w:w="80"/>
              <w:left w:type="dxa" w:w="100"/>
              <w:bottom w:type="dxa" w:w="80"/>
              <w:right w:type="dxa" w:w="100"/>
            </w:tcMar>
          </w:tcPr>
          <w:p>
            <w:r>
              <w:rPr>
                <w:b w:val="false"/>
                <w:bCs w:val="false"/>
                <w:sz w:val="19"/>
                <w:szCs w:val="19"/>
              </w:rPr>
              <w:t xml:space="preserve">Cleaning (alternative dry-processing route)</w:t>
            </w:r>
          </w:p>
        </w:tc>
        <w:tc>
          <w:tcPr>
            <w:tcW w:type="dxa" w:w="3400"/>
            <w:tcMar>
              <w:top w:type="dxa" w:w="80"/>
              <w:left w:type="dxa" w:w="100"/>
              <w:bottom w:type="dxa" w:w="80"/>
              <w:right w:type="dxa" w:w="100"/>
            </w:tcMar>
          </w:tcPr>
          <w:p>
            <w:r>
              <w:rPr>
                <w:b w:val="false"/>
                <w:bCs w:val="false"/>
                <w:sz w:val="19"/>
                <w:szCs w:val="19"/>
              </w:rPr>
              <w:t xml:space="preserve">5 min each</w:t>
            </w:r>
          </w:p>
        </w:tc>
        <w:tc>
          <w:tcPr>
            <w:tcW w:type="dxa" w:w="2380"/>
            <w:tcMar>
              <w:top w:type="dxa" w:w="80"/>
              <w:left w:type="dxa" w:w="100"/>
              <w:bottom w:type="dxa" w:w="80"/>
              <w:right w:type="dxa" w:w="100"/>
            </w:tcMar>
          </w:tcPr>
          <w:p>
            <w:r>
              <w:rPr>
                <w:b w:val="false"/>
                <w:bCs w:val="false"/>
                <w:sz w:val="19"/>
                <w:szCs w:val="19"/>
              </w:rPr>
              <w:t xml:space="preserve">Used in a considered-but-not-executed alternative (Ag sputtering + anneal) route</w:t>
            </w:r>
          </w:p>
        </w:tc>
      </w:tr>
    </w:tbl>
    <w:p>
      <w:pPr>
        <w:spacing w:after="160"/>
      </w:pPr>
    </w:p>
    <w:p>
      <w:pPr>
        <w:spacing w:after="160" w:before="0"/>
      </w:pPr>
      <w:r>
        <w:t xml:space="preserve">Post-deposition: DI rinse → 110 °C bake, 10 min → vacuum-desiccated storage (current mitigation against silver oxidation; no formal shelf-life study exists yet).</w:t>
      </w:r>
    </w:p>
    <w:p>
      <w:pPr>
        <w:pStyle w:val="Heading1"/>
        <w:spacing w:after="160" w:before="320"/>
      </w:pPr>
      <w:r>
        <w:t xml:space="preserve">4. Biomarker Reagents — Currently In Hand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1700"/>
        <w:gridCol w:w="2880"/>
      </w:tblGrid>
      <w:tr>
        <w:tc>
          <w:tcPr>
            <w:tcW w:type="dxa" w:w="2100"/>
            <w:shd w:fill="2F3B52" w:val="clear"/>
            <w:tcMar>
              <w:top w:type="dxa" w:w="80"/>
              <w:left w:type="dxa" w:w="100"/>
              <w:bottom w:type="dxa" w:w="80"/>
              <w:right w:type="dxa" w:w="100"/>
            </w:tcMar>
          </w:tcPr>
          <w:p>
            <w:r>
              <w:rPr>
                <w:b/>
                <w:bCs/>
                <w:color w:val="FFFFFF"/>
                <w:sz w:val="19"/>
                <w:szCs w:val="19"/>
              </w:rPr>
              <w:t xml:space="preserve">Biomarker</w:t>
            </w:r>
          </w:p>
        </w:tc>
        <w:tc>
          <w:tcPr>
            <w:tcW w:type="dxa" w:w="3400"/>
            <w:shd w:fill="2F3B52" w:val="clear"/>
            <w:tcMar>
              <w:top w:type="dxa" w:w="80"/>
              <w:left w:type="dxa" w:w="100"/>
              <w:bottom w:type="dxa" w:w="80"/>
              <w:right w:type="dxa" w:w="100"/>
            </w:tcMar>
          </w:tcPr>
          <w:p>
            <w:r>
              <w:rPr>
                <w:b/>
                <w:bCs/>
                <w:color w:val="FFFFFF"/>
                <w:sz w:val="19"/>
                <w:szCs w:val="19"/>
              </w:rPr>
              <w:t xml:space="preserve">Identity / Supplier</w:t>
            </w:r>
          </w:p>
        </w:tc>
        <w:tc>
          <w:tcPr>
            <w:tcW w:type="dxa" w:w="1700"/>
            <w:shd w:fill="2F3B52" w:val="clear"/>
            <w:tcMar>
              <w:top w:type="dxa" w:w="80"/>
              <w:left w:type="dxa" w:w="100"/>
              <w:bottom w:type="dxa" w:w="80"/>
              <w:right w:type="dxa" w:w="100"/>
            </w:tcMar>
          </w:tcPr>
          <w:p>
            <w:r>
              <w:rPr>
                <w:b/>
                <w:bCs/>
                <w:color w:val="FFFFFF"/>
                <w:sz w:val="19"/>
                <w:szCs w:val="19"/>
              </w:rPr>
              <w:t xml:space="preserve">Purity</w:t>
            </w:r>
          </w:p>
        </w:tc>
        <w:tc>
          <w:tcPr>
            <w:tcW w:type="dxa" w:w="2880"/>
            <w:shd w:fill="2F3B52" w:val="clear"/>
            <w:tcMar>
              <w:top w:type="dxa" w:w="80"/>
              <w:left w:type="dxa" w:w="100"/>
              <w:bottom w:type="dxa" w:w="80"/>
              <w:right w:type="dxa" w:w="100"/>
            </w:tcMar>
          </w:tcPr>
          <w:p>
            <w:r>
              <w:rPr>
                <w:b/>
                <w:bCs/>
                <w:color w:val="FFFFFF"/>
                <w:sz w:val="19"/>
                <w:szCs w:val="19"/>
              </w:rPr>
              <w:t xml:space="preserve">Status / notes</w:t>
            </w:r>
          </w:p>
        </w:tc>
      </w:tr>
      <w:tr>
        <w:tc>
          <w:tcPr>
            <w:tcW w:type="dxa" w:w="2100"/>
            <w:tcMar>
              <w:top w:type="dxa" w:w="80"/>
              <w:left w:type="dxa" w:w="100"/>
              <w:bottom w:type="dxa" w:w="80"/>
              <w:right w:type="dxa" w:w="100"/>
            </w:tcMar>
          </w:tcPr>
          <w:p>
            <w:r>
              <w:rPr>
                <w:b w:val="false"/>
                <w:bCs w:val="false"/>
                <w:sz w:val="19"/>
                <w:szCs w:val="19"/>
              </w:rPr>
              <w:t xml:space="preserve">NAM (N-acetylmuramic acid)</w:t>
            </w:r>
          </w:p>
        </w:tc>
        <w:tc>
          <w:tcPr>
            <w:tcW w:type="dxa" w:w="3400"/>
            <w:tcMar>
              <w:top w:type="dxa" w:w="80"/>
              <w:left w:type="dxa" w:w="100"/>
              <w:bottom w:type="dxa" w:w="80"/>
              <w:right w:type="dxa" w:w="100"/>
            </w:tcMar>
          </w:tcPr>
          <w:p>
            <w:r>
              <w:rPr>
                <w:b w:val="false"/>
                <w:bCs w:val="false"/>
                <w:sz w:val="19"/>
                <w:szCs w:val="19"/>
              </w:rPr>
              <w:t xml:space="preserve">Sigma-Aldrich A3007, CAS 10597-89-4, MW 293.27 g/mol</w:t>
            </w:r>
          </w:p>
        </w:tc>
        <w:tc>
          <w:tcPr>
            <w:tcW w:type="dxa" w:w="1700"/>
            <w:tcMar>
              <w:top w:type="dxa" w:w="80"/>
              <w:left w:type="dxa" w:w="100"/>
              <w:bottom w:type="dxa" w:w="80"/>
              <w:right w:type="dxa" w:w="100"/>
            </w:tcMar>
          </w:tcPr>
          <w:p>
            <w:r>
              <w:rPr>
                <w:b w:val="false"/>
                <w:bCs w:val="false"/>
                <w:sz w:val="19"/>
                <w:szCs w:val="19"/>
              </w:rPr>
              <w:t xml:space="preserve">≥98% (TLC)</w:t>
            </w:r>
          </w:p>
        </w:tc>
        <w:tc>
          <w:tcPr>
            <w:tcW w:type="dxa" w:w="2880"/>
            <w:tcMar>
              <w:top w:type="dxa" w:w="80"/>
              <w:left w:type="dxa" w:w="100"/>
              <w:bottom w:type="dxa" w:w="80"/>
              <w:right w:type="dxa" w:w="100"/>
            </w:tcMar>
          </w:tcPr>
          <w:p>
            <w:r>
              <w:rPr>
                <w:b w:val="false"/>
                <w:bCs w:val="false"/>
                <w:sz w:val="19"/>
                <w:szCs w:val="19"/>
              </w:rPr>
              <w:t xml:space="preserve">In hand. Melting point 125 °C; storage 2–8 °C; ≈50 mg/mL solubility in water</w:t>
            </w:r>
          </w:p>
        </w:tc>
      </w:tr>
      <w:tr>
        <w:tc>
          <w:tcPr>
            <w:tcW w:type="dxa" w:w="2100"/>
            <w:tcMar>
              <w:top w:type="dxa" w:w="80"/>
              <w:left w:type="dxa" w:w="100"/>
              <w:bottom w:type="dxa" w:w="80"/>
              <w:right w:type="dxa" w:w="100"/>
            </w:tcMar>
          </w:tcPr>
          <w:p>
            <w:r>
              <w:rPr>
                <w:b w:val="false"/>
                <w:bCs w:val="false"/>
                <w:sz w:val="19"/>
                <w:szCs w:val="19"/>
              </w:rPr>
              <w:t xml:space="preserve">LPS (lipopolysaccharide)</w:t>
            </w:r>
          </w:p>
        </w:tc>
        <w:tc>
          <w:tcPr>
            <w:tcW w:type="dxa" w:w="3400"/>
            <w:tcMar>
              <w:top w:type="dxa" w:w="80"/>
              <w:left w:type="dxa" w:w="100"/>
              <w:bottom w:type="dxa" w:w="80"/>
              <w:right w:type="dxa" w:w="100"/>
            </w:tcMar>
          </w:tcPr>
          <w:p>
            <w:r>
              <w:rPr>
                <w:b w:val="false"/>
                <w:bCs w:val="false"/>
                <w:sz w:val="19"/>
                <w:szCs w:val="19"/>
              </w:rPr>
              <w:t xml:space="preserve">Sigma-Aldrich L2630, E. coli O111:B4, phenol-extracted, CAS 93572-42-0</w:t>
            </w:r>
          </w:p>
        </w:tc>
        <w:tc>
          <w:tcPr>
            <w:tcW w:type="dxa" w:w="1700"/>
            <w:tcMar>
              <w:top w:type="dxa" w:w="80"/>
              <w:left w:type="dxa" w:w="100"/>
              <w:bottom w:type="dxa" w:w="80"/>
              <w:right w:type="dxa" w:w="100"/>
            </w:tcMar>
          </w:tcPr>
          <w:p>
            <w:r>
              <w:rPr>
                <w:b w:val="false"/>
                <w:bCs w:val="false"/>
                <w:sz w:val="19"/>
                <w:szCs w:val="19"/>
              </w:rPr>
              <w:t xml:space="preserve">Protein impurity ≤3%</w:t>
            </w:r>
          </w:p>
        </w:tc>
        <w:tc>
          <w:tcPr>
            <w:tcW w:type="dxa" w:w="2880"/>
            <w:tcMar>
              <w:top w:type="dxa" w:w="80"/>
              <w:left w:type="dxa" w:w="100"/>
              <w:bottom w:type="dxa" w:w="80"/>
              <w:right w:type="dxa" w:w="100"/>
            </w:tcMar>
          </w:tcPr>
          <w:p>
            <w:r>
              <w:rPr>
                <w:b w:val="false"/>
                <w:bCs w:val="false"/>
                <w:sz w:val="19"/>
                <w:szCs w:val="19"/>
              </w:rPr>
              <w:t xml:space="preserve">In hand (10 mg pack). Procured Dec 2025–Jan 2026; ≈100 experiments at 0.1 mg/experiment; ≈5 mg/mL solubility (hazy), up to ~20 mg/mL warmed</w:t>
            </w:r>
          </w:p>
        </w:tc>
      </w:tr>
      <w:tr>
        <w:tc>
          <w:tcPr>
            <w:tcW w:type="dxa" w:w="2100"/>
            <w:tcMar>
              <w:top w:type="dxa" w:w="80"/>
              <w:left w:type="dxa" w:w="100"/>
              <w:bottom w:type="dxa" w:w="80"/>
              <w:right w:type="dxa" w:w="100"/>
            </w:tcMar>
          </w:tcPr>
          <w:p>
            <w:r>
              <w:rPr>
                <w:b w:val="false"/>
                <w:bCs w:val="false"/>
                <w:sz w:val="19"/>
                <w:szCs w:val="19"/>
              </w:rPr>
              <w:t xml:space="preserve">LTA (lipoteichoic acid)</w:t>
            </w:r>
          </w:p>
        </w:tc>
        <w:tc>
          <w:tcPr>
            <w:tcW w:type="dxa" w:w="3400"/>
            <w:tcMar>
              <w:top w:type="dxa" w:w="80"/>
              <w:left w:type="dxa" w:w="100"/>
              <w:bottom w:type="dxa" w:w="80"/>
              <w:right w:type="dxa" w:w="100"/>
            </w:tcMar>
          </w:tcPr>
          <w:p>
            <w:r>
              <w:rPr>
                <w:b w:val="false"/>
                <w:bCs w:val="false"/>
                <w:sz w:val="19"/>
                <w:szCs w:val="19"/>
              </w:rPr>
              <w:t xml:space="preserve">Sigma-Aldrich L2515, Staphylococcus aureus</w:t>
            </w:r>
          </w:p>
        </w:tc>
        <w:tc>
          <w:tcPr>
            <w:tcW w:type="dxa" w:w="1700"/>
            <w:tcMar>
              <w:top w:type="dxa" w:w="80"/>
              <w:left w:type="dxa" w:w="100"/>
              <w:bottom w:type="dxa" w:w="80"/>
              <w:right w:type="dxa" w:w="100"/>
            </w:tcMar>
          </w:tcPr>
          <w:p>
            <w:r>
              <w:rPr>
                <w:b w:val="false"/>
                <w:bCs w:val="false"/>
                <w:sz w:val="19"/>
                <w:szCs w:val="19"/>
              </w:rPr>
              <w:t xml:space="preserve">&gt;95%</w:t>
            </w:r>
          </w:p>
        </w:tc>
        <w:tc>
          <w:tcPr>
            <w:tcW w:type="dxa" w:w="2880"/>
            <w:tcMar>
              <w:top w:type="dxa" w:w="80"/>
              <w:left w:type="dxa" w:w="100"/>
              <w:bottom w:type="dxa" w:w="80"/>
              <w:right w:type="dxa" w:w="100"/>
            </w:tcMar>
          </w:tcPr>
          <w:p>
            <w:r>
              <w:rPr>
                <w:b w:val="false"/>
                <w:bCs w:val="false"/>
                <w:sz w:val="19"/>
                <w:szCs w:val="19"/>
              </w:rPr>
              <w:t xml:space="preserve">In hand (10 mg pack). Procured Dec 2025–Jan 2026; ≈100 experiments at 0.05 mg/experiment; highest-cost reagent of the three (₹30,000–40,000); ≈5 mg/mL solubility (hazy)</w:t>
            </w:r>
          </w:p>
        </w:tc>
      </w:tr>
    </w:tbl>
    <w:p>
      <w:pPr>
        <w:spacing w:after="160"/>
      </w:pPr>
    </w:p>
    <w:p>
      <w:pPr>
        <w:spacing w:after="160"/>
      </w:pPr>
      <w:r>
        <w:rPr>
          <w:b w:val="false"/>
          <w:bCs w:val="false"/>
        </w:rPr>
        <w:t xml:space="preserve">This is the full active biomarker panel — all three procured reagents needed for the project's stated Gram-class discrimination goal (NAM = pan-bacterial, LPS = Gram-negative, LTA = Gram-positive) are already in hand. </w:t>
      </w:r>
      <w:r>
        <w:t xml:space="preserve">No further biomarker procurement is needed to proceed with detection-chemistry work on any of the three.</w:t>
      </w:r>
    </w:p>
    <w:p>
      <w:pPr>
        <w:pStyle w:val="Heading2"/>
        <w:spacing w:after="130" w:before="260"/>
      </w:pPr>
      <w:r>
        <w:t xml:space="preserve">Reference / calibration compounds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4700"/>
        <w:gridCol w:w="2780"/>
      </w:tblGrid>
      <w:tr>
        <w:tc>
          <w:tcPr>
            <w:tcW w:type="dxa" w:w="2600"/>
            <w:shd w:fill="2F3B52" w:val="clear"/>
            <w:tcMar>
              <w:top w:type="dxa" w:w="80"/>
              <w:left w:type="dxa" w:w="100"/>
              <w:bottom w:type="dxa" w:w="80"/>
              <w:right w:type="dxa" w:w="100"/>
            </w:tcMar>
          </w:tcPr>
          <w:p>
            <w:r>
              <w:rPr>
                <w:b/>
                <w:bCs/>
                <w:color w:val="FFFFFF"/>
                <w:sz w:val="19"/>
                <w:szCs w:val="19"/>
              </w:rPr>
              <w:t xml:space="preserve">Compound</w:t>
            </w:r>
          </w:p>
        </w:tc>
        <w:tc>
          <w:tcPr>
            <w:tcW w:type="dxa" w:w="4700"/>
            <w:shd w:fill="2F3B52" w:val="clear"/>
            <w:tcMar>
              <w:top w:type="dxa" w:w="80"/>
              <w:left w:type="dxa" w:w="100"/>
              <w:bottom w:type="dxa" w:w="80"/>
              <w:right w:type="dxa" w:w="100"/>
            </w:tcMar>
          </w:tcPr>
          <w:p>
            <w:r>
              <w:rPr>
                <w:b/>
                <w:bCs/>
                <w:color w:val="FFFFFF"/>
                <w:sz w:val="19"/>
                <w:szCs w:val="19"/>
              </w:rPr>
              <w:t xml:space="preserve">Role</w:t>
            </w:r>
          </w:p>
        </w:tc>
        <w:tc>
          <w:tcPr>
            <w:tcW w:type="dxa" w:w="2780"/>
            <w:shd w:fill="2F3B52" w:val="clear"/>
            <w:tcMar>
              <w:top w:type="dxa" w:w="80"/>
              <w:left w:type="dxa" w:w="100"/>
              <w:bottom w:type="dxa" w:w="80"/>
              <w:right w:type="dxa" w:w="100"/>
            </w:tcMar>
          </w:tcPr>
          <w:p>
            <w:r>
              <w:rPr>
                <w:b/>
                <w:bCs/>
                <w:color w:val="FFFFFF"/>
                <w:sz w:val="19"/>
                <w:szCs w:val="19"/>
              </w:rPr>
              <w:t xml:space="preserve">Status</w:t>
            </w:r>
          </w:p>
        </w:tc>
      </w:tr>
      <w:tr>
        <w:tc>
          <w:tcPr>
            <w:tcW w:type="dxa" w:w="2600"/>
            <w:tcMar>
              <w:top w:type="dxa" w:w="80"/>
              <w:left w:type="dxa" w:w="100"/>
              <w:bottom w:type="dxa" w:w="80"/>
              <w:right w:type="dxa" w:w="100"/>
            </w:tcMar>
          </w:tcPr>
          <w:p>
            <w:r>
              <w:rPr>
                <w:b w:val="false"/>
                <w:bCs w:val="false"/>
                <w:sz w:val="19"/>
                <w:szCs w:val="19"/>
              </w:rPr>
              <w:t xml:space="preserve">Rhodamine 6G (R6G)</w:t>
            </w:r>
          </w:p>
        </w:tc>
        <w:tc>
          <w:tcPr>
            <w:tcW w:type="dxa" w:w="4700"/>
            <w:tcMar>
              <w:top w:type="dxa" w:w="80"/>
              <w:left w:type="dxa" w:w="100"/>
              <w:bottom w:type="dxa" w:w="80"/>
              <w:right w:type="dxa" w:w="100"/>
            </w:tcMar>
          </w:tcPr>
          <w:p>
            <w:r>
              <w:rPr>
                <w:b w:val="false"/>
                <w:bCs w:val="false"/>
                <w:sz w:val="19"/>
                <w:szCs w:val="19"/>
              </w:rPr>
              <w:t xml:space="preserve">Standard SERS benchmark dye — used to validate the substrate is genuinely SERS-active before testing real biomarkers</w:t>
            </w:r>
          </w:p>
        </w:tc>
        <w:tc>
          <w:tcPr>
            <w:tcW w:type="dxa" w:w="2780"/>
            <w:tcMar>
              <w:top w:type="dxa" w:w="80"/>
              <w:left w:type="dxa" w:w="100"/>
              <w:bottom w:type="dxa" w:w="80"/>
              <w:right w:type="dxa" w:w="100"/>
            </w:tcMar>
          </w:tcPr>
          <w:p>
            <w:r>
              <w:rPr>
                <w:b w:val="false"/>
                <w:bCs w:val="false"/>
                <w:sz w:val="19"/>
                <w:szCs w:val="19"/>
              </w:rPr>
              <w:t xml:space="preserve">In use (97 spectra collected across 8 fabrication conditions); supplier/purity/lot not documented — identified gap</w:t>
            </w:r>
          </w:p>
        </w:tc>
      </w:tr>
      <w:tr>
        <w:tc>
          <w:tcPr>
            <w:tcW w:type="dxa" w:w="2600"/>
            <w:tcMar>
              <w:top w:type="dxa" w:w="80"/>
              <w:left w:type="dxa" w:w="100"/>
              <w:bottom w:type="dxa" w:w="80"/>
              <w:right w:type="dxa" w:w="100"/>
            </w:tcMar>
          </w:tcPr>
          <w:p>
            <w:r>
              <w:rPr>
                <w:b w:val="false"/>
                <w:bCs w:val="false"/>
                <w:sz w:val="19"/>
                <w:szCs w:val="19"/>
              </w:rPr>
              <w:t xml:space="preserve">Methylene blue</w:t>
            </w:r>
          </w:p>
        </w:tc>
        <w:tc>
          <w:tcPr>
            <w:tcW w:type="dxa" w:w="4700"/>
            <w:tcMar>
              <w:top w:type="dxa" w:w="80"/>
              <w:left w:type="dxa" w:w="100"/>
              <w:bottom w:type="dxa" w:w="80"/>
              <w:right w:type="dxa" w:w="100"/>
            </w:tcMar>
          </w:tcPr>
          <w:p>
            <w:r>
              <w:rPr>
                <w:b w:val="false"/>
                <w:bCs w:val="false"/>
                <w:sz w:val="19"/>
                <w:szCs w:val="19"/>
              </w:rPr>
              <w:t xml:space="preserve">Dye reference / contamination check</w:t>
            </w:r>
          </w:p>
        </w:tc>
        <w:tc>
          <w:tcPr>
            <w:tcW w:type="dxa" w:w="2780"/>
            <w:tcMar>
              <w:top w:type="dxa" w:w="80"/>
              <w:left w:type="dxa" w:w="100"/>
              <w:bottom w:type="dxa" w:w="80"/>
              <w:right w:type="dxa" w:w="100"/>
            </w:tcMar>
          </w:tcPr>
          <w:p>
            <w:r>
              <w:rPr>
                <w:b w:val="false"/>
                <w:bCs w:val="false"/>
                <w:sz w:val="19"/>
                <w:szCs w:val="19"/>
              </w:rPr>
              <w:t xml:space="preserve">Used at 1 µg/mL in several NAM and LTA datasets</w:t>
            </w:r>
          </w:p>
        </w:tc>
      </w:tr>
      <w:tr>
        <w:tc>
          <w:tcPr>
            <w:tcW w:type="dxa" w:w="2600"/>
            <w:tcMar>
              <w:top w:type="dxa" w:w="80"/>
              <w:left w:type="dxa" w:w="100"/>
              <w:bottom w:type="dxa" w:w="80"/>
              <w:right w:type="dxa" w:w="100"/>
            </w:tcMar>
          </w:tcPr>
          <w:p>
            <w:r>
              <w:rPr>
                <w:b w:val="false"/>
                <w:bCs w:val="false"/>
                <w:sz w:val="19"/>
                <w:szCs w:val="19"/>
              </w:rPr>
              <w:t xml:space="preserve">Glucose</w:t>
            </w:r>
          </w:p>
        </w:tc>
        <w:tc>
          <w:tcPr>
            <w:tcW w:type="dxa" w:w="4700"/>
            <w:tcMar>
              <w:top w:type="dxa" w:w="80"/>
              <w:left w:type="dxa" w:w="100"/>
              <w:bottom w:type="dxa" w:w="80"/>
              <w:right w:type="dxa" w:w="100"/>
            </w:tcMar>
          </w:tcPr>
          <w:p>
            <w:r>
              <w:rPr>
                <w:b w:val="false"/>
                <w:bCs w:val="false"/>
                <w:sz w:val="19"/>
                <w:szCs w:val="19"/>
              </w:rPr>
              <w:t xml:space="preserve">Non-biomarker training reference</w:t>
            </w:r>
          </w:p>
        </w:tc>
        <w:tc>
          <w:tcPr>
            <w:tcW w:type="dxa" w:w="2780"/>
            <w:tcMar>
              <w:top w:type="dxa" w:w="80"/>
              <w:left w:type="dxa" w:w="100"/>
              <w:bottom w:type="dxa" w:w="80"/>
              <w:right w:type="dxa" w:w="100"/>
            </w:tcMar>
          </w:tcPr>
          <w:p>
            <w:r>
              <w:rPr>
                <w:b w:val="false"/>
                <w:bCs w:val="false"/>
                <w:sz w:val="19"/>
                <w:szCs w:val="19"/>
              </w:rPr>
              <w:t xml:space="preserve">Used for KnowItAll® software peak-library validation</w:t>
            </w:r>
          </w:p>
        </w:tc>
      </w:tr>
    </w:tbl>
    <w:p>
      <w:pPr>
        <w:pStyle w:val="Heading1"/>
        <w:spacing w:after="160" w:before="320"/>
      </w:pPr>
      <w:r>
        <w:t xml:space="preserve">5. Capture-Chemistry Reagents — NOT Yet Procured</w:t>
      </w:r>
    </w:p>
    <w:p>
      <w:pPr>
        <w:spacing w:after="160" w:before="0"/>
      </w:pPr>
      <w:r>
        <w:t xml:space="preserve">This is the single biggest open decision point for the project right now: none of the surface-functionalisation chemistry needed to move past bare-metal detection is currently in the lab. Every strategy document reviewed treats this as an external dependency, not a data-driven blocker.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080"/>
      </w:tblGrid>
      <w:tr>
        <w:tc>
          <w:tcPr>
            <w:tcW w:type="dxa" w:w="2600"/>
            <w:shd w:fill="2F3B52" w:val="clear"/>
            <w:tcMar>
              <w:top w:type="dxa" w:w="80"/>
              <w:left w:type="dxa" w:w="100"/>
              <w:bottom w:type="dxa" w:w="80"/>
              <w:right w:type="dxa" w:w="100"/>
            </w:tcMar>
          </w:tcPr>
          <w:p>
            <w:r>
              <w:rPr>
                <w:b/>
                <w:bCs/>
                <w:color w:val="FFFFFF"/>
                <w:sz w:val="19"/>
                <w:szCs w:val="19"/>
              </w:rPr>
              <w:t xml:space="preserve">Reagent</w:t>
            </w:r>
          </w:p>
        </w:tc>
        <w:tc>
          <w:tcPr>
            <w:tcW w:type="dxa" w:w="3400"/>
            <w:shd w:fill="2F3B52" w:val="clear"/>
            <w:tcMar>
              <w:top w:type="dxa" w:w="80"/>
              <w:left w:type="dxa" w:w="100"/>
              <w:bottom w:type="dxa" w:w="80"/>
              <w:right w:type="dxa" w:w="100"/>
            </w:tcMar>
          </w:tcPr>
          <w:p>
            <w:r>
              <w:rPr>
                <w:b/>
                <w:bCs/>
                <w:color w:val="FFFFFF"/>
                <w:sz w:val="19"/>
                <w:szCs w:val="19"/>
              </w:rPr>
              <w:t xml:space="preserve">Intended target</w:t>
            </w:r>
          </w:p>
        </w:tc>
        <w:tc>
          <w:tcPr>
            <w:tcW w:type="dxa" w:w="4080"/>
            <w:shd w:fill="2F3B52" w:val="clear"/>
            <w:tcMar>
              <w:top w:type="dxa" w:w="80"/>
              <w:left w:type="dxa" w:w="100"/>
              <w:bottom w:type="dxa" w:w="80"/>
              <w:right w:type="dxa" w:w="100"/>
            </w:tcMar>
          </w:tcPr>
          <w:p>
            <w:r>
              <w:rPr>
                <w:b/>
                <w:bCs/>
                <w:color w:val="FFFFFF"/>
                <w:sz w:val="19"/>
                <w:szCs w:val="19"/>
              </w:rPr>
              <w:t xml:space="preserve">Status</w:t>
            </w:r>
          </w:p>
        </w:tc>
      </w:tr>
      <w:tr>
        <w:tc>
          <w:tcPr>
            <w:tcW w:type="dxa" w:w="2600"/>
            <w:tcMar>
              <w:top w:type="dxa" w:w="80"/>
              <w:left w:type="dxa" w:w="100"/>
              <w:bottom w:type="dxa" w:w="80"/>
              <w:right w:type="dxa" w:w="100"/>
            </w:tcMar>
          </w:tcPr>
          <w:p>
            <w:r>
              <w:rPr>
                <w:b w:val="false"/>
                <w:bCs w:val="false"/>
                <w:sz w:val="19"/>
                <w:szCs w:val="19"/>
              </w:rPr>
              <w:t xml:space="preserve">4-Mercaptophenylboronic acid (4-MPBA)</w:t>
            </w:r>
          </w:p>
        </w:tc>
        <w:tc>
          <w:tcPr>
            <w:tcW w:type="dxa" w:w="3400"/>
            <w:tcMar>
              <w:top w:type="dxa" w:w="80"/>
              <w:left w:type="dxa" w:w="100"/>
              <w:bottom w:type="dxa" w:w="80"/>
              <w:right w:type="dxa" w:w="100"/>
            </w:tcMar>
          </w:tcPr>
          <w:p>
            <w:r>
              <w:rPr>
                <w:b w:val="false"/>
                <w:bCs w:val="false"/>
                <w:sz w:val="19"/>
                <w:szCs w:val="19"/>
              </w:rPr>
              <w:t xml:space="preserve">NAM (cis-diol capture); also relevant to LPS core sugars (KDO/heptose)</w:t>
            </w:r>
          </w:p>
        </w:tc>
        <w:tc>
          <w:tcPr>
            <w:tcW w:type="dxa" w:w="4080"/>
            <w:tcMar>
              <w:top w:type="dxa" w:w="80"/>
              <w:left w:type="dxa" w:w="100"/>
              <w:bottom w:type="dxa" w:w="80"/>
              <w:right w:type="dxa" w:w="100"/>
            </w:tcMar>
          </w:tcPr>
          <w:p>
            <w:r>
              <w:rPr>
                <w:b w:val="false"/>
                <w:bCs w:val="false"/>
                <w:sz w:val="19"/>
                <w:szCs w:val="19"/>
              </w:rPr>
              <w:t xml:space="preserve">Not available. Explicitly deferred — "Exp. 4 (deferred until MPBA available)" in the current SOP. This is the literature-prioritised #1 capture chemistry for NAM</w:t>
            </w:r>
          </w:p>
        </w:tc>
      </w:tr>
      <w:tr>
        <w:tc>
          <w:tcPr>
            <w:tcW w:type="dxa" w:w="2600"/>
            <w:tcMar>
              <w:top w:type="dxa" w:w="80"/>
              <w:left w:type="dxa" w:w="100"/>
              <w:bottom w:type="dxa" w:w="80"/>
              <w:right w:type="dxa" w:w="100"/>
            </w:tcMar>
          </w:tcPr>
          <w:p>
            <w:r>
              <w:rPr>
                <w:b w:val="false"/>
                <w:bCs w:val="false"/>
                <w:sz w:val="19"/>
                <w:szCs w:val="19"/>
              </w:rPr>
              <w:t xml:space="preserve">Cysteamine</w:t>
            </w:r>
          </w:p>
        </w:tc>
        <w:tc>
          <w:tcPr>
            <w:tcW w:type="dxa" w:w="3400"/>
            <w:tcMar>
              <w:top w:type="dxa" w:w="80"/>
              <w:left w:type="dxa" w:w="100"/>
              <w:bottom w:type="dxa" w:w="80"/>
              <w:right w:type="dxa" w:w="100"/>
            </w:tcMar>
          </w:tcPr>
          <w:p>
            <w:r>
              <w:rPr>
                <w:b w:val="false"/>
                <w:bCs w:val="false"/>
                <w:sz w:val="19"/>
                <w:szCs w:val="19"/>
              </w:rPr>
              <w:t xml:space="preserve">Generic cationic/electrostatic capture (NAM carboxylate; LPS phosphates)</w:t>
            </w:r>
          </w:p>
        </w:tc>
        <w:tc>
          <w:tcPr>
            <w:tcW w:type="dxa" w:w="4080"/>
            <w:tcMar>
              <w:top w:type="dxa" w:w="80"/>
              <w:left w:type="dxa" w:w="100"/>
              <w:bottom w:type="dxa" w:w="80"/>
              <w:right w:type="dxa" w:w="100"/>
            </w:tcMar>
          </w:tcPr>
          <w:p>
            <w:r>
              <w:rPr>
                <w:b w:val="false"/>
                <w:bCs w:val="false"/>
                <w:sz w:val="19"/>
                <w:szCs w:val="19"/>
              </w:rPr>
              <w:t xml:space="preserve">Not available</w:t>
            </w:r>
          </w:p>
        </w:tc>
      </w:tr>
      <w:tr>
        <w:tc>
          <w:tcPr>
            <w:tcW w:type="dxa" w:w="2600"/>
            <w:tcMar>
              <w:top w:type="dxa" w:w="80"/>
              <w:left w:type="dxa" w:w="100"/>
              <w:bottom w:type="dxa" w:w="80"/>
              <w:right w:type="dxa" w:w="100"/>
            </w:tcMar>
          </w:tcPr>
          <w:p>
            <w:r>
              <w:rPr>
                <w:b w:val="false"/>
                <w:bCs w:val="false"/>
                <w:sz w:val="19"/>
                <w:szCs w:val="19"/>
              </w:rPr>
              <w:t xml:space="preserve">Chitosan</w:t>
            </w:r>
          </w:p>
        </w:tc>
        <w:tc>
          <w:tcPr>
            <w:tcW w:type="dxa" w:w="3400"/>
            <w:tcMar>
              <w:top w:type="dxa" w:w="80"/>
              <w:left w:type="dxa" w:w="100"/>
              <w:bottom w:type="dxa" w:w="80"/>
              <w:right w:type="dxa" w:w="100"/>
            </w:tcMar>
          </w:tcPr>
          <w:p>
            <w:r>
              <w:rPr>
                <w:b w:val="false"/>
                <w:bCs w:val="false"/>
                <w:sz w:val="19"/>
                <w:szCs w:val="19"/>
              </w:rPr>
              <w:t xml:space="preserve">Generic cationic capture, LPS-precedented</w:t>
            </w:r>
          </w:p>
        </w:tc>
        <w:tc>
          <w:tcPr>
            <w:tcW w:type="dxa" w:w="4080"/>
            <w:tcMar>
              <w:top w:type="dxa" w:w="80"/>
              <w:left w:type="dxa" w:w="100"/>
              <w:bottom w:type="dxa" w:w="80"/>
              <w:right w:type="dxa" w:w="100"/>
            </w:tcMar>
          </w:tcPr>
          <w:p>
            <w:r>
              <w:rPr>
                <w:b w:val="false"/>
                <w:bCs w:val="false"/>
                <w:sz w:val="19"/>
                <w:szCs w:val="19"/>
              </w:rPr>
              <w:t xml:space="preserve">Not available</w:t>
            </w:r>
          </w:p>
        </w:tc>
      </w:tr>
      <w:tr>
        <w:tc>
          <w:tcPr>
            <w:tcW w:type="dxa" w:w="2600"/>
            <w:tcMar>
              <w:top w:type="dxa" w:w="80"/>
              <w:left w:type="dxa" w:w="100"/>
              <w:bottom w:type="dxa" w:w="80"/>
              <w:right w:type="dxa" w:w="100"/>
            </w:tcMar>
          </w:tcPr>
          <w:p>
            <w:r>
              <w:rPr>
                <w:b w:val="false"/>
                <w:bCs w:val="false"/>
                <w:sz w:val="19"/>
                <w:szCs w:val="19"/>
              </w:rPr>
              <w:t xml:space="preserve">Polymyxin B</w:t>
            </w:r>
          </w:p>
        </w:tc>
        <w:tc>
          <w:tcPr>
            <w:tcW w:type="dxa" w:w="3400"/>
            <w:tcMar>
              <w:top w:type="dxa" w:w="80"/>
              <w:left w:type="dxa" w:w="100"/>
              <w:bottom w:type="dxa" w:w="80"/>
              <w:right w:type="dxa" w:w="100"/>
            </w:tcMar>
          </w:tcPr>
          <w:p>
            <w:r>
              <w:rPr>
                <w:b w:val="false"/>
                <w:bCs w:val="false"/>
                <w:sz w:val="19"/>
                <w:szCs w:val="19"/>
              </w:rPr>
              <w:t xml:space="preserve">Lipid A-specific capture for LPS</w:t>
            </w:r>
          </w:p>
        </w:tc>
        <w:tc>
          <w:tcPr>
            <w:tcW w:type="dxa" w:w="4080"/>
            <w:tcMar>
              <w:top w:type="dxa" w:w="80"/>
              <w:left w:type="dxa" w:w="100"/>
              <w:bottom w:type="dxa" w:w="80"/>
              <w:right w:type="dxa" w:w="100"/>
            </w:tcMar>
          </w:tcPr>
          <w:p>
            <w:r>
              <w:rPr>
                <w:b w:val="false"/>
                <w:bCs w:val="false"/>
                <w:sz w:val="19"/>
                <w:szCs w:val="19"/>
              </w:rPr>
              <w:t xml:space="preserve">Not available — named in the drafted blood-sample capture workflow, not yet ordered</w:t>
            </w:r>
          </w:p>
        </w:tc>
      </w:tr>
      <w:tr>
        <w:tc>
          <w:tcPr>
            <w:tcW w:type="dxa" w:w="2600"/>
            <w:tcMar>
              <w:top w:type="dxa" w:w="80"/>
              <w:left w:type="dxa" w:w="100"/>
              <w:bottom w:type="dxa" w:w="80"/>
              <w:right w:type="dxa" w:w="100"/>
            </w:tcMar>
          </w:tcPr>
          <w:p>
            <w:r>
              <w:rPr>
                <w:b w:val="false"/>
                <w:bCs w:val="false"/>
                <w:sz w:val="19"/>
                <w:szCs w:val="19"/>
              </w:rPr>
              <w:t xml:space="preserve">Anti-Lipid A / anti-LPS antibody</w:t>
            </w:r>
          </w:p>
        </w:tc>
        <w:tc>
          <w:tcPr>
            <w:tcW w:type="dxa" w:w="3400"/>
            <w:tcMar>
              <w:top w:type="dxa" w:w="80"/>
              <w:left w:type="dxa" w:w="100"/>
              <w:bottom w:type="dxa" w:w="80"/>
              <w:right w:type="dxa" w:w="100"/>
            </w:tcMar>
          </w:tcPr>
          <w:p>
            <w:r>
              <w:rPr>
                <w:b w:val="false"/>
                <w:bCs w:val="false"/>
                <w:sz w:val="19"/>
                <w:szCs w:val="19"/>
              </w:rPr>
              <w:t xml:space="preserve">Selective LPS capture / reporter (Rusciano-style)</w:t>
            </w:r>
          </w:p>
        </w:tc>
        <w:tc>
          <w:tcPr>
            <w:tcW w:type="dxa" w:w="4080"/>
            <w:tcMar>
              <w:top w:type="dxa" w:w="80"/>
              <w:left w:type="dxa" w:w="100"/>
              <w:bottom w:type="dxa" w:w="80"/>
              <w:right w:type="dxa" w:w="100"/>
            </w:tcMar>
          </w:tcPr>
          <w:p>
            <w:r>
              <w:rPr>
                <w:b w:val="false"/>
                <w:bCs w:val="false"/>
                <w:sz w:val="19"/>
                <w:szCs w:val="19"/>
              </w:rPr>
              <w:t xml:space="preserve">Not available</w:t>
            </w:r>
          </w:p>
        </w:tc>
      </w:tr>
      <w:tr>
        <w:tc>
          <w:tcPr>
            <w:tcW w:type="dxa" w:w="2600"/>
            <w:tcMar>
              <w:top w:type="dxa" w:w="80"/>
              <w:left w:type="dxa" w:w="100"/>
              <w:bottom w:type="dxa" w:w="80"/>
              <w:right w:type="dxa" w:w="100"/>
            </w:tcMar>
          </w:tcPr>
          <w:p>
            <w:r>
              <w:rPr>
                <w:b w:val="false"/>
                <w:bCs w:val="false"/>
                <w:sz w:val="19"/>
                <w:szCs w:val="19"/>
              </w:rPr>
              <w:t xml:space="preserve">Anti-LTA antibody</w:t>
            </w:r>
          </w:p>
        </w:tc>
        <w:tc>
          <w:tcPr>
            <w:tcW w:type="dxa" w:w="3400"/>
            <w:tcMar>
              <w:top w:type="dxa" w:w="80"/>
              <w:left w:type="dxa" w:w="100"/>
              <w:bottom w:type="dxa" w:w="80"/>
              <w:right w:type="dxa" w:w="100"/>
            </w:tcMar>
          </w:tcPr>
          <w:p>
            <w:r>
              <w:rPr>
                <w:b w:val="false"/>
                <w:bCs w:val="false"/>
                <w:sz w:val="19"/>
                <w:szCs w:val="19"/>
              </w:rPr>
              <w:t xml:space="preserve">Selective LTA capture</w:t>
            </w:r>
          </w:p>
        </w:tc>
        <w:tc>
          <w:tcPr>
            <w:tcW w:type="dxa" w:w="4080"/>
            <w:tcMar>
              <w:top w:type="dxa" w:w="80"/>
              <w:left w:type="dxa" w:w="100"/>
              <w:bottom w:type="dxa" w:w="80"/>
              <w:right w:type="dxa" w:w="100"/>
            </w:tcMar>
          </w:tcPr>
          <w:p>
            <w:r>
              <w:rPr>
                <w:b w:val="false"/>
                <w:bCs w:val="false"/>
                <w:sz w:val="19"/>
                <w:szCs w:val="19"/>
              </w:rPr>
              <w:t xml:space="preserve">Not available — named in the drafted blood-sample capture workflow, not yet ordered</w:t>
            </w:r>
          </w:p>
        </w:tc>
      </w:tr>
      <w:tr>
        <w:tc>
          <w:tcPr>
            <w:tcW w:type="dxa" w:w="2600"/>
            <w:tcMar>
              <w:top w:type="dxa" w:w="80"/>
              <w:left w:type="dxa" w:w="100"/>
              <w:bottom w:type="dxa" w:w="80"/>
              <w:right w:type="dxa" w:w="100"/>
            </w:tcMar>
          </w:tcPr>
          <w:p>
            <w:r>
              <w:rPr>
                <w:b w:val="false"/>
                <w:bCs w:val="false"/>
                <w:sz w:val="19"/>
                <w:szCs w:val="19"/>
              </w:rPr>
              <w:t xml:space="preserve">Vancomycin</w:t>
            </w:r>
          </w:p>
        </w:tc>
        <w:tc>
          <w:tcPr>
            <w:tcW w:type="dxa" w:w="3400"/>
            <w:tcMar>
              <w:top w:type="dxa" w:w="80"/>
              <w:left w:type="dxa" w:w="100"/>
              <w:bottom w:type="dxa" w:w="80"/>
              <w:right w:type="dxa" w:w="100"/>
            </w:tcMar>
          </w:tcPr>
          <w:p>
            <w:r>
              <w:rPr>
                <w:b w:val="false"/>
                <w:bCs w:val="false"/>
                <w:sz w:val="19"/>
                <w:szCs w:val="19"/>
              </w:rPr>
              <w:t xml:space="preserve">Universal peptidoglycan (NAM-proximal) capture probe</w:t>
            </w:r>
          </w:p>
        </w:tc>
        <w:tc>
          <w:tcPr>
            <w:tcW w:type="dxa" w:w="4080"/>
            <w:tcMar>
              <w:top w:type="dxa" w:w="80"/>
              <w:left w:type="dxa" w:w="100"/>
              <w:bottom w:type="dxa" w:w="80"/>
              <w:right w:type="dxa" w:w="100"/>
            </w:tcMar>
          </w:tcPr>
          <w:p>
            <w:r>
              <w:rPr>
                <w:b w:val="false"/>
                <w:bCs w:val="false"/>
                <w:sz w:val="19"/>
                <w:szCs w:val="19"/>
              </w:rPr>
              <w:t xml:space="preserve">Not available — literature reports ~1000-fold capture enhancement</w:t>
            </w:r>
          </w:p>
        </w:tc>
      </w:tr>
      <w:tr>
        <w:tc>
          <w:tcPr>
            <w:tcW w:type="dxa" w:w="2600"/>
            <w:tcMar>
              <w:top w:type="dxa" w:w="80"/>
              <w:left w:type="dxa" w:w="100"/>
              <w:bottom w:type="dxa" w:w="80"/>
              <w:right w:type="dxa" w:w="100"/>
            </w:tcMar>
          </w:tcPr>
          <w:p>
            <w:r>
              <w:rPr>
                <w:b w:val="false"/>
                <w:bCs w:val="false"/>
                <w:sz w:val="19"/>
                <w:szCs w:val="19"/>
              </w:rPr>
              <w:t xml:space="preserve">WGA (wheat germ agglutinin)-functionalised gold nanostars</w:t>
            </w:r>
          </w:p>
        </w:tc>
        <w:tc>
          <w:tcPr>
            <w:tcW w:type="dxa" w:w="3400"/>
            <w:tcMar>
              <w:top w:type="dxa" w:w="80"/>
              <w:left w:type="dxa" w:w="100"/>
              <w:bottom w:type="dxa" w:w="80"/>
              <w:right w:type="dxa" w:w="100"/>
            </w:tcMar>
          </w:tcPr>
          <w:p>
            <w:r>
              <w:rPr>
                <w:b w:val="false"/>
                <w:bCs w:val="false"/>
                <w:sz w:val="19"/>
                <w:szCs w:val="19"/>
              </w:rPr>
              <w:t xml:space="preserve">GlcNAc/peptidoglycan capture</w:t>
            </w:r>
          </w:p>
        </w:tc>
        <w:tc>
          <w:tcPr>
            <w:tcW w:type="dxa" w:w="4080"/>
            <w:tcMar>
              <w:top w:type="dxa" w:w="80"/>
              <w:left w:type="dxa" w:w="100"/>
              <w:bottom w:type="dxa" w:w="80"/>
              <w:right w:type="dxa" w:w="100"/>
            </w:tcMar>
          </w:tcPr>
          <w:p>
            <w:r>
              <w:rPr>
                <w:b w:val="false"/>
                <w:bCs w:val="false"/>
                <w:sz w:val="19"/>
                <w:szCs w:val="19"/>
              </w:rPr>
              <w:t xml:space="preserve">Not available</w:t>
            </w:r>
          </w:p>
        </w:tc>
      </w:tr>
    </w:tbl>
    <w:p>
      <w:pPr>
        <w:spacing w:after="160"/>
      </w:pPr>
    </w:p>
    <w:p>
      <w:pPr>
        <w:spacing w:after="160"/>
      </w:pPr>
      <w:r>
        <w:rPr>
          <w:b/>
          <w:bCs/>
        </w:rPr>
        <w:t xml:space="preserve">Decision relevance: </w:t>
      </w:r>
      <w:r>
        <w:t xml:space="preserve">the current bare-Ag/Si substrate can be tested against all three biomarkers today with zero further procurement (Section 4), and for LPS specifically this is expected to work reasonably well without any capture layer (see the LPS capture-strategy note). NAM is the one biomarker where bare-substrate detection is not expected to succeed on its own — MPBA is the literature-prioritised next reagent to order if NAM-specific work is the priority.</w:t>
      </w:r>
    </w:p>
    <w:p>
      <w:pPr>
        <w:pStyle w:val="Heading1"/>
        <w:spacing w:after="160" w:before="320"/>
      </w:pPr>
      <w:r>
        <w:t xml:space="preserve">6. Computational Infrastructure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shd w:fill="2F3B52" w:val="clear"/>
            <w:tcMar>
              <w:top w:type="dxa" w:w="80"/>
              <w:left w:type="dxa" w:w="100"/>
              <w:bottom w:type="dxa" w:w="80"/>
              <w:right w:type="dxa" w:w="100"/>
            </w:tcMar>
          </w:tcPr>
          <w:p>
            <w:r>
              <w:rPr>
                <w:b/>
                <w:bCs/>
                <w:color w:val="FFFFFF"/>
                <w:sz w:val="19"/>
                <w:szCs w:val="19"/>
              </w:rPr>
              <w:t xml:space="preserve">Component</w:t>
            </w:r>
          </w:p>
        </w:tc>
        <w:tc>
          <w:tcPr>
            <w:tcW w:type="dxa" w:w="7080"/>
            <w:shd w:fill="2F3B52" w:val="clear"/>
            <w:tcMar>
              <w:top w:type="dxa" w:w="80"/>
              <w:left w:type="dxa" w:w="100"/>
              <w:bottom w:type="dxa" w:w="80"/>
              <w:right w:type="dxa" w:w="100"/>
            </w:tcMar>
          </w:tcPr>
          <w:p>
            <w:r>
              <w:rPr>
                <w:b/>
                <w:bCs/>
                <w:color w:val="FFFFFF"/>
                <w:sz w:val="19"/>
                <w:szCs w:val="19"/>
              </w:rPr>
              <w:t xml:space="preserve">Detail</w:t>
            </w:r>
          </w:p>
        </w:tc>
      </w:tr>
      <w:tr>
        <w:tc>
          <w:tcPr>
            <w:tcW w:type="dxa" w:w="3000"/>
            <w:tcMar>
              <w:top w:type="dxa" w:w="80"/>
              <w:left w:type="dxa" w:w="100"/>
              <w:bottom w:type="dxa" w:w="80"/>
              <w:right w:type="dxa" w:w="100"/>
            </w:tcMar>
          </w:tcPr>
          <w:p>
            <w:r>
              <w:rPr>
                <w:b w:val="false"/>
                <w:bCs w:val="false"/>
                <w:sz w:val="19"/>
                <w:szCs w:val="19"/>
              </w:rPr>
              <w:t xml:space="preserve">DFT software</w:t>
            </w:r>
          </w:p>
        </w:tc>
        <w:tc>
          <w:tcPr>
            <w:tcW w:type="dxa" w:w="7080"/>
            <w:tcMar>
              <w:top w:type="dxa" w:w="80"/>
              <w:left w:type="dxa" w:w="100"/>
              <w:bottom w:type="dxa" w:w="80"/>
              <w:right w:type="dxa" w:w="100"/>
            </w:tcMar>
          </w:tcPr>
          <w:p>
            <w:r>
              <w:rPr>
                <w:b w:val="false"/>
                <w:bCs w:val="false"/>
                <w:sz w:val="19"/>
                <w:szCs w:val="19"/>
              </w:rPr>
              <w:t xml:space="preserve">Gaussian 09 and Gaussian 16 (ORCA attempted early, abandoned)</w:t>
            </w:r>
          </w:p>
        </w:tc>
      </w:tr>
      <w:tr>
        <w:tc>
          <w:tcPr>
            <w:tcW w:type="dxa" w:w="3000"/>
            <w:tcMar>
              <w:top w:type="dxa" w:w="80"/>
              <w:left w:type="dxa" w:w="100"/>
              <w:bottom w:type="dxa" w:w="80"/>
              <w:right w:type="dxa" w:w="100"/>
            </w:tcMar>
          </w:tcPr>
          <w:p>
            <w:r>
              <w:rPr>
                <w:b w:val="false"/>
                <w:bCs w:val="false"/>
                <w:sz w:val="19"/>
                <w:szCs w:val="19"/>
              </w:rPr>
              <w:t xml:space="preserve">Compute resource</w:t>
            </w:r>
          </w:p>
        </w:tc>
        <w:tc>
          <w:tcPr>
            <w:tcW w:type="dxa" w:w="7080"/>
            <w:tcMar>
              <w:top w:type="dxa" w:w="80"/>
              <w:left w:type="dxa" w:w="100"/>
              <w:bottom w:type="dxa" w:w="80"/>
              <w:right w:type="dxa" w:w="100"/>
            </w:tcMar>
          </w:tcPr>
          <w:p>
            <w:r>
              <w:rPr>
                <w:b w:val="false"/>
                <w:bCs w:val="false"/>
                <w:sz w:val="19"/>
                <w:szCs w:val="19"/>
              </w:rPr>
              <w:t xml:space="preserve">IIT Jodhpur institute HPC cluster (approved under Prof. Ajay Agarwal, project "Sepsis Biomarkers Analysis using SERS Sensor")</w:t>
            </w:r>
          </w:p>
        </w:tc>
      </w:tr>
      <w:tr>
        <w:tc>
          <w:tcPr>
            <w:tcW w:type="dxa" w:w="3000"/>
            <w:tcMar>
              <w:top w:type="dxa" w:w="80"/>
              <w:left w:type="dxa" w:w="100"/>
              <w:bottom w:type="dxa" w:w="80"/>
              <w:right w:type="dxa" w:w="100"/>
            </w:tcMar>
          </w:tcPr>
          <w:p>
            <w:r>
              <w:rPr>
                <w:b w:val="false"/>
                <w:bCs w:val="false"/>
                <w:sz w:val="19"/>
                <w:szCs w:val="19"/>
              </w:rPr>
              <w:t xml:space="preserve">Structure-building tools</w:t>
            </w:r>
          </w:p>
        </w:tc>
        <w:tc>
          <w:tcPr>
            <w:tcW w:type="dxa" w:w="7080"/>
            <w:tcMar>
              <w:top w:type="dxa" w:w="80"/>
              <w:left w:type="dxa" w:w="100"/>
              <w:bottom w:type="dxa" w:w="80"/>
              <w:right w:type="dxa" w:w="100"/>
            </w:tcMar>
          </w:tcPr>
          <w:p>
            <w:r>
              <w:rPr>
                <w:b w:val="false"/>
                <w:bCs w:val="false"/>
                <w:sz w:val="19"/>
                <w:szCs w:val="19"/>
              </w:rPr>
              <w:t xml:space="preserve">Avogadro, GaussView; RDKit-based Python scripts for programmatic Gaussian/ORCA input generation</w:t>
            </w:r>
          </w:p>
        </w:tc>
      </w:tr>
      <w:tr>
        <w:tc>
          <w:tcPr>
            <w:tcW w:type="dxa" w:w="3000"/>
            <w:tcMar>
              <w:top w:type="dxa" w:w="80"/>
              <w:left w:type="dxa" w:w="100"/>
              <w:bottom w:type="dxa" w:w="80"/>
              <w:right w:type="dxa" w:w="100"/>
            </w:tcMar>
          </w:tcPr>
          <w:p>
            <w:r>
              <w:rPr>
                <w:b w:val="false"/>
                <w:bCs w:val="false"/>
                <w:sz w:val="19"/>
                <w:szCs w:val="19"/>
              </w:rPr>
              <w:t xml:space="preserve">Typical job resources</w:t>
            </w:r>
          </w:p>
        </w:tc>
        <w:tc>
          <w:tcPr>
            <w:tcW w:type="dxa" w:w="7080"/>
            <w:tcMar>
              <w:top w:type="dxa" w:w="80"/>
              <w:left w:type="dxa" w:w="100"/>
              <w:bottom w:type="dxa" w:w="80"/>
              <w:right w:type="dxa" w:w="100"/>
            </w:tcMar>
          </w:tcPr>
          <w:p>
            <w:r>
              <w:rPr>
                <w:b w:val="false"/>
                <w:bCs w:val="false"/>
                <w:sz w:val="19"/>
                <w:szCs w:val="19"/>
              </w:rPr>
              <w:t xml:space="preserve">16 CPU cores, 48 GB memory (NAM final calculation)</w:t>
            </w:r>
          </w:p>
        </w:tc>
      </w:tr>
      <w:tr>
        <w:tc>
          <w:tcPr>
            <w:tcW w:type="dxa" w:w="3000"/>
            <w:tcMar>
              <w:top w:type="dxa" w:w="80"/>
              <w:left w:type="dxa" w:w="100"/>
              <w:bottom w:type="dxa" w:w="80"/>
              <w:right w:type="dxa" w:w="100"/>
            </w:tcMar>
          </w:tcPr>
          <w:p>
            <w:r>
              <w:rPr>
                <w:b w:val="false"/>
                <w:bCs w:val="false"/>
                <w:sz w:val="19"/>
                <w:szCs w:val="19"/>
              </w:rPr>
              <w:t xml:space="preserve">Spectral ID software</w:t>
            </w:r>
          </w:p>
        </w:tc>
        <w:tc>
          <w:tcPr>
            <w:tcW w:type="dxa" w:w="7080"/>
            <w:tcMar>
              <w:top w:type="dxa" w:w="80"/>
              <w:left w:type="dxa" w:w="100"/>
              <w:bottom w:type="dxa" w:w="80"/>
              <w:right w:type="dxa" w:w="100"/>
            </w:tcMar>
          </w:tcPr>
          <w:p>
            <w:r>
              <w:rPr>
                <w:b w:val="false"/>
                <w:bCs w:val="false"/>
                <w:sz w:val="19"/>
                <w:szCs w:val="19"/>
              </w:rPr>
              <w:t xml:space="preserve">KnowItAll® Raman Identification Pro (adopted Jan 2026, validated on reference glucose spectrum)</w:t>
            </w:r>
          </w:p>
        </w:tc>
      </w:tr>
    </w:tbl>
    <w:p>
      <w:pPr>
        <w:pStyle w:val="Heading1"/>
        <w:spacing w:after="160" w:before="320"/>
      </w:pPr>
      <w:r>
        <w:t xml:space="preserve">7. Substrate Characterisation Instruments — Listed vs. Actually Used</w:t>
      </w:r>
    </w:p>
    <w:p>
      <w:pPr>
        <w:spacing w:after="160" w:before="0"/>
      </w:pPr>
      <w:r>
        <w:t xml:space="preserve">This distinction matters directly for decision-making: several instruments are named as intended methodology but have no completed output on file for this project's own substrate.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shd w:fill="2F3B52" w:val="clear"/>
            <w:tcMar>
              <w:top w:type="dxa" w:w="80"/>
              <w:left w:type="dxa" w:w="100"/>
              <w:bottom w:type="dxa" w:w="80"/>
              <w:right w:type="dxa" w:w="100"/>
            </w:tcMar>
          </w:tcPr>
          <w:p>
            <w:r>
              <w:rPr>
                <w:b/>
                <w:bCs/>
                <w:color w:val="FFFFFF"/>
                <w:sz w:val="19"/>
                <w:szCs w:val="19"/>
              </w:rPr>
              <w:t xml:space="preserve">Instrument</w:t>
            </w:r>
          </w:p>
        </w:tc>
        <w:tc>
          <w:tcPr>
            <w:tcW w:type="dxa" w:w="6680"/>
            <w:shd w:fill="2F3B52" w:val="clear"/>
            <w:tcMar>
              <w:top w:type="dxa" w:w="80"/>
              <w:left w:type="dxa" w:w="100"/>
              <w:bottom w:type="dxa" w:w="80"/>
              <w:right w:type="dxa" w:w="100"/>
            </w:tcMar>
          </w:tcPr>
          <w:p>
            <w:r>
              <w:rPr>
                <w:b/>
                <w:bCs/>
                <w:color w:val="FFFFFF"/>
                <w:sz w:val="19"/>
                <w:szCs w:val="19"/>
              </w:rPr>
              <w:t xml:space="preserve">Status</w:t>
            </w:r>
          </w:p>
        </w:tc>
      </w:tr>
      <w:tr>
        <w:tc>
          <w:tcPr>
            <w:tcW w:type="dxa" w:w="3400"/>
            <w:tcMar>
              <w:top w:type="dxa" w:w="80"/>
              <w:left w:type="dxa" w:w="100"/>
              <w:bottom w:type="dxa" w:w="80"/>
              <w:right w:type="dxa" w:w="100"/>
            </w:tcMar>
          </w:tcPr>
          <w:p>
            <w:r>
              <w:rPr>
                <w:b w:val="false"/>
                <w:bCs w:val="false"/>
                <w:sz w:val="19"/>
                <w:szCs w:val="19"/>
              </w:rPr>
              <w:t xml:space="preserve">Optical microscope</w:t>
            </w:r>
          </w:p>
        </w:tc>
        <w:tc>
          <w:tcPr>
            <w:tcW w:type="dxa" w:w="6680"/>
            <w:tcMar>
              <w:top w:type="dxa" w:w="80"/>
              <w:left w:type="dxa" w:w="100"/>
              <w:bottom w:type="dxa" w:w="80"/>
              <w:right w:type="dxa" w:w="100"/>
            </w:tcMar>
          </w:tcPr>
          <w:p>
            <w:r>
              <w:rPr>
                <w:b w:val="false"/>
                <w:bCs w:val="false"/>
                <w:sz w:val="19"/>
                <w:szCs w:val="19"/>
              </w:rPr>
              <w:t xml:space="preserve">Listed as intended (Nov 2025 report); no completed characterisation on file for this project's substrate</w:t>
            </w:r>
          </w:p>
        </w:tc>
      </w:tr>
      <w:tr>
        <w:tc>
          <w:tcPr>
            <w:tcW w:type="dxa" w:w="3400"/>
            <w:tcMar>
              <w:top w:type="dxa" w:w="80"/>
              <w:left w:type="dxa" w:w="100"/>
              <w:bottom w:type="dxa" w:w="80"/>
              <w:right w:type="dxa" w:w="100"/>
            </w:tcMar>
          </w:tcPr>
          <w:p>
            <w:r>
              <w:rPr>
                <w:b w:val="false"/>
                <w:bCs w:val="false"/>
                <w:sz w:val="19"/>
                <w:szCs w:val="19"/>
              </w:rPr>
              <w:t xml:space="preserve">SEM / FESEM</w:t>
            </w:r>
          </w:p>
        </w:tc>
        <w:tc>
          <w:tcPr>
            <w:tcW w:type="dxa" w:w="6680"/>
            <w:tcMar>
              <w:top w:type="dxa" w:w="80"/>
              <w:left w:type="dxa" w:w="100"/>
              <w:bottom w:type="dxa" w:w="80"/>
              <w:right w:type="dxa" w:w="100"/>
            </w:tcMar>
          </w:tcPr>
          <w:p>
            <w:r>
              <w:rPr>
                <w:b w:val="false"/>
                <w:bCs w:val="false"/>
                <w:sz w:val="19"/>
                <w:szCs w:val="19"/>
              </w:rPr>
              <w:t xml:space="preserve">Listed as intended; the only FESEM images on file belong to the host lab's earlier, separate sweat-metabolite sensor publication — not this project's own substrate</w:t>
            </w:r>
          </w:p>
        </w:tc>
      </w:tr>
      <w:tr>
        <w:tc>
          <w:tcPr>
            <w:tcW w:type="dxa" w:w="3400"/>
            <w:tcMar>
              <w:top w:type="dxa" w:w="80"/>
              <w:left w:type="dxa" w:w="100"/>
              <w:bottom w:type="dxa" w:w="80"/>
              <w:right w:type="dxa" w:w="100"/>
            </w:tcMar>
          </w:tcPr>
          <w:p>
            <w:r>
              <w:rPr>
                <w:b w:val="false"/>
                <w:bCs w:val="false"/>
                <w:sz w:val="19"/>
                <w:szCs w:val="19"/>
              </w:rPr>
              <w:t xml:space="preserve">AFM</w:t>
            </w:r>
          </w:p>
        </w:tc>
        <w:tc>
          <w:tcPr>
            <w:tcW w:type="dxa" w:w="6680"/>
            <w:tcMar>
              <w:top w:type="dxa" w:w="80"/>
              <w:left w:type="dxa" w:w="100"/>
              <w:bottom w:type="dxa" w:w="80"/>
              <w:right w:type="dxa" w:w="100"/>
            </w:tcMar>
          </w:tcPr>
          <w:p>
            <w:r>
              <w:rPr>
                <w:b w:val="false"/>
                <w:bCs w:val="false"/>
                <w:sz w:val="19"/>
                <w:szCs w:val="19"/>
              </w:rPr>
              <w:t xml:space="preserve">Listed as intended; no data on file</w:t>
            </w:r>
          </w:p>
        </w:tc>
      </w:tr>
      <w:tr>
        <w:tc>
          <w:tcPr>
            <w:tcW w:type="dxa" w:w="3400"/>
            <w:tcMar>
              <w:top w:type="dxa" w:w="80"/>
              <w:left w:type="dxa" w:w="100"/>
              <w:bottom w:type="dxa" w:w="80"/>
              <w:right w:type="dxa" w:w="100"/>
            </w:tcMar>
          </w:tcPr>
          <w:p>
            <w:r>
              <w:rPr>
                <w:b w:val="false"/>
                <w:bCs w:val="false"/>
                <w:sz w:val="19"/>
                <w:szCs w:val="19"/>
              </w:rPr>
              <w:t xml:space="preserve">UV-Vis (plasmon resonance)</w:t>
            </w:r>
          </w:p>
        </w:tc>
        <w:tc>
          <w:tcPr>
            <w:tcW w:type="dxa" w:w="6680"/>
            <w:tcMar>
              <w:top w:type="dxa" w:w="80"/>
              <w:left w:type="dxa" w:w="100"/>
              <w:bottom w:type="dxa" w:w="80"/>
              <w:right w:type="dxa" w:w="100"/>
            </w:tcMar>
          </w:tcPr>
          <w:p>
            <w:r>
              <w:rPr>
                <w:b w:val="false"/>
                <w:bCs w:val="false"/>
                <w:sz w:val="19"/>
                <w:szCs w:val="19"/>
              </w:rPr>
              <w:t xml:space="preserve">Listed as intended, specifically flagged as needed to confirm the fabricated silver's plasmon resonance is matched to the 785 nm excitation line; no data on file</w:t>
            </w:r>
          </w:p>
        </w:tc>
      </w:tr>
      <w:tr>
        <w:tc>
          <w:tcPr>
            <w:tcW w:type="dxa" w:w="3400"/>
            <w:tcMar>
              <w:top w:type="dxa" w:w="80"/>
              <w:left w:type="dxa" w:w="100"/>
              <w:bottom w:type="dxa" w:w="80"/>
              <w:right w:type="dxa" w:w="100"/>
            </w:tcMar>
          </w:tcPr>
          <w:p>
            <w:r>
              <w:rPr>
                <w:b w:val="false"/>
                <w:bCs w:val="false"/>
                <w:sz w:val="19"/>
                <w:szCs w:val="19"/>
              </w:rPr>
              <w:t xml:space="preserve">Profilometer / contact angle</w:t>
            </w:r>
          </w:p>
        </w:tc>
        <w:tc>
          <w:tcPr>
            <w:tcW w:type="dxa" w:w="6680"/>
            <w:tcMar>
              <w:top w:type="dxa" w:w="80"/>
              <w:left w:type="dxa" w:w="100"/>
              <w:bottom w:type="dxa" w:w="80"/>
              <w:right w:type="dxa" w:w="100"/>
            </w:tcMar>
          </w:tcPr>
          <w:p>
            <w:r>
              <w:rPr>
                <w:b w:val="false"/>
                <w:bCs w:val="false"/>
                <w:sz w:val="19"/>
                <w:szCs w:val="19"/>
              </w:rPr>
              <w:t xml:space="preserve">Listed as intended; no data on file</w:t>
            </w:r>
          </w:p>
        </w:tc>
      </w:tr>
      <w:tr>
        <w:tc>
          <w:tcPr>
            <w:tcW w:type="dxa" w:w="3400"/>
            <w:tcMar>
              <w:top w:type="dxa" w:w="80"/>
              <w:left w:type="dxa" w:w="100"/>
              <w:bottom w:type="dxa" w:w="80"/>
              <w:right w:type="dxa" w:w="100"/>
            </w:tcMar>
          </w:tcPr>
          <w:p>
            <w:r>
              <w:rPr>
                <w:b w:val="false"/>
                <w:bCs w:val="false"/>
                <w:sz w:val="19"/>
                <w:szCs w:val="19"/>
              </w:rPr>
              <w:t xml:space="preserve">XRD</w:t>
            </w:r>
          </w:p>
        </w:tc>
        <w:tc>
          <w:tcPr>
            <w:tcW w:type="dxa" w:w="6680"/>
            <w:tcMar>
              <w:top w:type="dxa" w:w="80"/>
              <w:left w:type="dxa" w:w="100"/>
              <w:bottom w:type="dxa" w:w="80"/>
              <w:right w:type="dxa" w:w="100"/>
            </w:tcMar>
          </w:tcPr>
          <w:p>
            <w:r>
              <w:rPr>
                <w:b w:val="false"/>
                <w:bCs w:val="false"/>
                <w:sz w:val="19"/>
                <w:szCs w:val="19"/>
              </w:rPr>
              <w:t xml:space="preserve">Not evidenced as used; would confirm metallic (not oxidised) Ag phase</w:t>
            </w:r>
          </w:p>
        </w:tc>
      </w:tr>
    </w:tbl>
    <w:p>
      <w:pPr>
        <w:spacing w:after="160"/>
      </w:pPr>
    </w:p>
    <w:p>
      <w:pPr>
        <w:spacing w:after="160" w:before="0"/>
      </w:pPr>
      <w:r>
        <w:t xml:space="preserve">Fabrication equipment actually evidenced as used: standard wet-chemistry glassware/hot plate, HF-handling equipment, and an oven/hot plate for the 110 °C bake. A sputtering-and-annealing alternative route was drafted in planning notes but no sputterer, evaporator, PECVD, RIE, or spin-coater output was found — this equipment does not appear to have been used.</w:t>
      </w:r>
    </w:p>
    <w:p>
      <w:pPr>
        <w:pStyle w:val="Heading1"/>
        <w:spacing w:after="160" w:before="320"/>
      </w:pPr>
      <w:r>
        <w:t xml:space="preserve">8. Summary — What This Means for the Next Decision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shd w:fill="2F3B52" w:val="clear"/>
            <w:tcMar>
              <w:top w:type="dxa" w:w="80"/>
              <w:left w:type="dxa" w:w="100"/>
              <w:bottom w:type="dxa" w:w="80"/>
              <w:right w:type="dxa" w:w="100"/>
            </w:tcMar>
          </w:tcPr>
          <w:p>
            <w:r>
              <w:rPr>
                <w:b/>
                <w:bCs/>
                <w:color w:val="FFFFFF"/>
                <w:sz w:val="19"/>
                <w:szCs w:val="19"/>
              </w:rPr>
              <w:t xml:space="preserve">Question</w:t>
            </w:r>
          </w:p>
        </w:tc>
        <w:tc>
          <w:tcPr>
            <w:tcW w:type="dxa" w:w="6480"/>
            <w:shd w:fill="2F3B52" w:val="clear"/>
            <w:tcMar>
              <w:top w:type="dxa" w:w="80"/>
              <w:left w:type="dxa" w:w="100"/>
              <w:bottom w:type="dxa" w:w="80"/>
              <w:right w:type="dxa" w:w="100"/>
            </w:tcMar>
          </w:tcPr>
          <w:p>
            <w:r>
              <w:rPr>
                <w:b/>
                <w:bCs/>
                <w:color w:val="FFFFFF"/>
                <w:sz w:val="19"/>
                <w:szCs w:val="19"/>
              </w:rPr>
              <w:t xml:space="preserve">Answer from current inventory</w:t>
            </w:r>
          </w:p>
        </w:tc>
      </w:tr>
      <w:tr>
        <w:tc>
          <w:tcPr>
            <w:tcW w:type="dxa" w:w="3600"/>
            <w:tcMar>
              <w:top w:type="dxa" w:w="80"/>
              <w:left w:type="dxa" w:w="100"/>
              <w:bottom w:type="dxa" w:w="80"/>
              <w:right w:type="dxa" w:w="100"/>
            </w:tcMar>
          </w:tcPr>
          <w:p>
            <w:r>
              <w:rPr>
                <w:b w:val="false"/>
                <w:bCs w:val="false"/>
                <w:sz w:val="19"/>
                <w:szCs w:val="19"/>
              </w:rPr>
              <w:t xml:space="preserve">Can any biomarker be tested today with zero new procurement?</w:t>
            </w:r>
          </w:p>
        </w:tc>
        <w:tc>
          <w:tcPr>
            <w:tcW w:type="dxa" w:w="6480"/>
            <w:tcMar>
              <w:top w:type="dxa" w:w="80"/>
              <w:left w:type="dxa" w:w="100"/>
              <w:bottom w:type="dxa" w:w="80"/>
              <w:right w:type="dxa" w:w="100"/>
            </w:tcMar>
          </w:tcPr>
          <w:p>
            <w:r>
              <w:rPr>
                <w:b w:val="false"/>
                <w:bCs w:val="false"/>
                <w:sz w:val="19"/>
                <w:szCs w:val="19"/>
              </w:rPr>
              <w:t xml:space="preserve">Yes — NAM, LPS, and LTA are all in hand, and the Ag/Si substrate + 785 nm Raman system is fabricated and R6G-validated</w:t>
            </w:r>
          </w:p>
        </w:tc>
      </w:tr>
      <w:tr>
        <w:tc>
          <w:tcPr>
            <w:tcW w:type="dxa" w:w="3600"/>
            <w:tcMar>
              <w:top w:type="dxa" w:w="80"/>
              <w:left w:type="dxa" w:w="100"/>
              <w:bottom w:type="dxa" w:w="80"/>
              <w:right w:type="dxa" w:w="100"/>
            </w:tcMar>
          </w:tcPr>
          <w:p>
            <w:r>
              <w:rPr>
                <w:b w:val="false"/>
                <w:bCs w:val="false"/>
                <w:sz w:val="19"/>
                <w:szCs w:val="19"/>
              </w:rPr>
              <w:t xml:space="preserve">Which biomarker is best matched to the current bare substrate?</w:t>
            </w:r>
          </w:p>
        </w:tc>
        <w:tc>
          <w:tcPr>
            <w:tcW w:type="dxa" w:w="6480"/>
            <w:tcMar>
              <w:top w:type="dxa" w:w="80"/>
              <w:left w:type="dxa" w:w="100"/>
              <w:bottom w:type="dxa" w:w="80"/>
              <w:right w:type="dxa" w:w="100"/>
            </w:tcMar>
          </w:tcPr>
          <w:p>
            <w:r>
              <w:rPr>
                <w:b w:val="false"/>
                <w:bCs w:val="false"/>
                <w:sz w:val="19"/>
                <w:szCs w:val="19"/>
              </w:rPr>
              <w:t xml:space="preserve">LPS — amphiphilic and multiply anionic, with direct literature precedent for bare-metal detection using the same E. coli O111:B4 serotype (see the LPS capture-strategy note)</w:t>
            </w:r>
          </w:p>
        </w:tc>
      </w:tr>
      <w:tr>
        <w:tc>
          <w:tcPr>
            <w:tcW w:type="dxa" w:w="3600"/>
            <w:tcMar>
              <w:top w:type="dxa" w:w="80"/>
              <w:left w:type="dxa" w:w="100"/>
              <w:bottom w:type="dxa" w:w="80"/>
              <w:right w:type="dxa" w:w="100"/>
            </w:tcMar>
          </w:tcPr>
          <w:p>
            <w:r>
              <w:rPr>
                <w:b w:val="false"/>
                <w:bCs w:val="false"/>
                <w:sz w:val="19"/>
                <w:szCs w:val="19"/>
              </w:rPr>
              <w:t xml:space="preserve">Which biomarker needs new chemistry before it can realistically work?</w:t>
            </w:r>
          </w:p>
        </w:tc>
        <w:tc>
          <w:tcPr>
            <w:tcW w:type="dxa" w:w="6480"/>
            <w:tcMar>
              <w:top w:type="dxa" w:w="80"/>
              <w:left w:type="dxa" w:w="100"/>
              <w:bottom w:type="dxa" w:w="80"/>
              <w:right w:type="dxa" w:w="100"/>
            </w:tcMar>
          </w:tcPr>
          <w:p>
            <w:r>
              <w:rPr>
                <w:b w:val="false"/>
                <w:bCs w:val="false"/>
                <w:sz w:val="19"/>
                <w:szCs w:val="19"/>
              </w:rPr>
              <w:t xml:space="preserve">NAM — bare-Ag detection is not expected to succeed; MPBA is the literature-prioritised next reagent, not yet ordered</w:t>
            </w:r>
          </w:p>
        </w:tc>
      </w:tr>
      <w:tr>
        <w:tc>
          <w:tcPr>
            <w:tcW w:type="dxa" w:w="3600"/>
            <w:tcMar>
              <w:top w:type="dxa" w:w="80"/>
              <w:left w:type="dxa" w:w="100"/>
              <w:bottom w:type="dxa" w:w="80"/>
              <w:right w:type="dxa" w:w="100"/>
            </w:tcMar>
          </w:tcPr>
          <w:p>
            <w:r>
              <w:rPr>
                <w:b w:val="false"/>
                <w:bCs w:val="false"/>
                <w:sz w:val="19"/>
                <w:szCs w:val="19"/>
              </w:rPr>
              <w:t xml:space="preserve">What single measurement would most improve confidence across all three?</w:t>
            </w:r>
          </w:p>
        </w:tc>
        <w:tc>
          <w:tcPr>
            <w:tcW w:type="dxa" w:w="6480"/>
            <w:tcMar>
              <w:top w:type="dxa" w:w="80"/>
              <w:left w:type="dxa" w:w="100"/>
              <w:bottom w:type="dxa" w:w="80"/>
              <w:right w:type="dxa" w:w="100"/>
            </w:tcMar>
          </w:tcPr>
          <w:p>
            <w:r>
              <w:rPr>
                <w:b w:val="false"/>
                <w:bCs w:val="false"/>
                <w:sz w:val="19"/>
                <w:szCs w:val="19"/>
              </w:rPr>
              <w:t xml:space="preserve">True laser power in mW (power meter) and SEM/AFM of the actual fabricated substrate — both cheap, both currently missing, both needed for any quantitative enhancement-factor or cross-paper comparison</w:t>
            </w:r>
          </w:p>
        </w:tc>
      </w:tr>
      <w:tr>
        <w:tc>
          <w:tcPr>
            <w:tcW w:type="dxa" w:w="3600"/>
            <w:tcMar>
              <w:top w:type="dxa" w:w="80"/>
              <w:left w:type="dxa" w:w="100"/>
              <w:bottom w:type="dxa" w:w="80"/>
              <w:right w:type="dxa" w:w="100"/>
            </w:tcMar>
          </w:tcPr>
          <w:p>
            <w:r>
              <w:rPr>
                <w:b w:val="false"/>
                <w:bCs w:val="false"/>
                <w:sz w:val="19"/>
                <w:szCs w:val="19"/>
              </w:rPr>
              <w:t xml:space="preserve">What is the fastest, lowest-cost next experiment overall?</w:t>
            </w:r>
          </w:p>
        </w:tc>
        <w:tc>
          <w:tcPr>
            <w:tcW w:type="dxa" w:w="6480"/>
            <w:tcMar>
              <w:top w:type="dxa" w:w="80"/>
              <w:left w:type="dxa" w:w="100"/>
              <w:bottom w:type="dxa" w:w="80"/>
              <w:right w:type="dxa" w:w="100"/>
            </w:tcMar>
          </w:tcPr>
          <w:p>
            <w:r>
              <w:rPr>
                <w:b w:val="false"/>
                <w:bCs w:val="false"/>
                <w:sz w:val="19"/>
                <w:szCs w:val="19"/>
              </w:rPr>
              <w:t xml:space="preserve">Bare-substrate LPS drop-cast, since this reagent is a near-exact match to a published benchmark (Rusciano et al. 2023) and needs no new chemistry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2026-08-13T21:47:01.604Z</dcterms:created>
  <dcterms:modified xsi:type="dcterms:W3CDTF">2026-08-13T21:47:01.606Z</dcterms:modified>
</cp:coreProperties>
</file>

<file path=docProps/custom.xml><?xml version="1.0" encoding="utf-8"?>
<Properties xmlns="http://schemas.openxmlformats.org/officeDocument/2006/custom-properties" xmlns:vt="http://schemas.openxmlformats.org/officeDocument/2006/docPropsVTypes"/>
</file>