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onthly-progress-report"/>
      <w:r>
        <w:t xml:space="preserve">Monthly Progress Report</w:t>
      </w:r>
      <w:bookmarkEnd w:id="20"/>
    </w:p>
    <w:p>
      <w:pPr>
        <w:pStyle w:val="Heading2"/>
      </w:pPr>
      <w:bookmarkStart w:id="21" w:name="X8d71d5bc55d4b003ff7abe2c749dfcbfef6d02e"/>
      <w:r>
        <w:t xml:space="preserve">SERS Substrate Reproducibility Trials and Completion of the N-Acetylmuramic Acid Raman–DFT Study</w:t>
      </w:r>
      <w:bookmarkEnd w:id="21"/>
    </w:p>
    <w:p>
      <w:pPr>
        <w:pStyle w:val="FirstParagraph"/>
      </w:pPr>
      <w:r>
        <w:rPr>
          <w:b/>
        </w:rPr>
        <w:t xml:space="preserve">Reporting Period:</w:t>
      </w:r>
      <w:r>
        <w:t xml:space="preserve"> </w:t>
      </w:r>
      <w:r>
        <w:t xml:space="preserve">July 2026</w:t>
      </w:r>
    </w:p>
    <w:p>
      <w:pPr>
        <w:pStyle w:val="BodyText"/>
      </w:pPr>
      <w:r>
        <w:rPr>
          <w:b/>
        </w:rPr>
        <w:t xml:space="preserve">Student:</w:t>
      </w:r>
      <w:r>
        <w:t xml:space="preserve"> </w:t>
      </w:r>
      <w:r>
        <w:t xml:space="preserve">Sukesh P · Department of Electrical Engineering, IIT Jodhpur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troduction"/>
      <w:r>
        <w:t xml:space="preserve">1. Introduction</w:t>
      </w:r>
      <w:bookmarkEnd w:id="22"/>
    </w:p>
    <w:p>
      <w:pPr>
        <w:pStyle w:val="FirstParagraph"/>
      </w:pPr>
      <w:r>
        <w:t xml:space="preserve">Work during this period followed two parallel tracks. The first was an attempt to</w:t>
      </w:r>
      <w:r>
        <w:t xml:space="preserve"> </w:t>
      </w:r>
      <w:r>
        <w:t xml:space="preserve">reproduce the silver-coated silicon SERS substrate fabricated in June, using</w:t>
      </w:r>
      <w:r>
        <w:t xml:space="preserve"> </w:t>
      </w:r>
      <w:r>
        <w:t xml:space="preserve">Rhodamine 6G (R6G) at several concentrations as the standard probe molecule. The</w:t>
      </w:r>
      <w:r>
        <w:t xml:space="preserve"> </w:t>
      </w:r>
      <w:r>
        <w:t xml:space="preserve">second was completion of the experimental and computational Raman study of</w:t>
      </w:r>
      <w:r>
        <w:t xml:space="preserve"> </w:t>
      </w:r>
      <w:r>
        <w:t xml:space="preserve">N-acetylmuramic acid (NAM), which has now reached full manuscript stage.</w:t>
      </w:r>
    </w:p>
    <w:p>
      <w:pPr>
        <w:pStyle w:val="BodyText"/>
      </w:pPr>
      <w:r>
        <w:t xml:space="preserve">The substrate reproduction trials did not succeed. The fabricated substrates</w:t>
      </w:r>
      <w:r>
        <w:t xml:space="preserve"> </w:t>
      </w:r>
      <w:r>
        <w:t xml:space="preserve">became contaminated and did not give usable R6G enhancement. The fabrication was</w:t>
      </w:r>
      <w:r>
        <w:t xml:space="preserve"> </w:t>
      </w:r>
      <w:r>
        <w:t xml:space="preserve">repeated and a second set of measurements was collected; processing and analysis</w:t>
      </w:r>
      <w:r>
        <w:t xml:space="preserve"> </w:t>
      </w:r>
      <w:r>
        <w:t xml:space="preserve">of that data is in progress. The NAM study, by contrast, is essentially complete</w:t>
      </w:r>
      <w:r>
        <w:t xml:space="preserve"> </w:t>
      </w:r>
      <w:r>
        <w:t xml:space="preserve">and ready for submission pending a small number of documentation items.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4340354eb368c95b643ec60880d15dd5307a32"/>
      <w:r>
        <w:t xml:space="preserve">2. SERS Substrate Fabrication — Reproducibility Trials</w:t>
      </w:r>
      <w:bookmarkEnd w:id="23"/>
    </w:p>
    <w:p>
      <w:pPr>
        <w:pStyle w:val="Heading3"/>
      </w:pPr>
      <w:bookmarkStart w:id="24" w:name="work-carried-out"/>
      <w:r>
        <w:t xml:space="preserve">2.1 Work carried out</w:t>
      </w:r>
      <w:bookmarkEnd w:id="24"/>
    </w:p>
    <w:p>
      <w:pPr>
        <w:pStyle w:val="FirstParagraph"/>
      </w:pPr>
      <w:r>
        <w:t xml:space="preserve">The June fabrication procedure was repeated: chemical etching of n-type silicon</w:t>
      </w:r>
      <w:r>
        <w:t xml:space="preserve"> </w:t>
      </w:r>
      <w:r>
        <w:t xml:space="preserve">using HF with AgNO₃, producing simultaneous silver nanoparticle deposition and</w:t>
      </w:r>
      <w:r>
        <w:t xml:space="preserve"> </w:t>
      </w:r>
      <w:r>
        <w:t xml:space="preserve">formation of a porous nanostructured surface.</w:t>
      </w:r>
    </w:p>
    <w:p>
      <w:pPr>
        <w:pStyle w:val="BodyText"/>
      </w:pPr>
      <w:r>
        <w:t xml:space="preserve">The fabricated substrates were tested with Rhodamine 6G at several different</w:t>
      </w:r>
      <w:r>
        <w:t xml:space="preserve"> </w:t>
      </w:r>
      <w:r>
        <w:t xml:space="preserve">concentrations in order to establish the working detection range and to confirm</w:t>
      </w:r>
      <w:r>
        <w:t xml:space="preserve"> </w:t>
      </w:r>
      <w:r>
        <w:t xml:space="preserve">that the June enhancement could be reproduced.</w:t>
      </w:r>
    </w:p>
    <w:p>
      <w:pPr>
        <w:pStyle w:val="Heading3"/>
      </w:pPr>
      <w:bookmarkStart w:id="25" w:name="outcome"/>
      <w:r>
        <w:t xml:space="preserve">2.2 Outcome</w:t>
      </w:r>
      <w:bookmarkEnd w:id="25"/>
    </w:p>
    <w:p>
      <w:pPr>
        <w:pStyle w:val="FirstParagraph"/>
      </w:pPr>
      <w:r>
        <w:t xml:space="preserve">The trials were not successful. The substrates showed evidence of contamination,</w:t>
      </w:r>
      <w:r>
        <w:t xml:space="preserve"> </w:t>
      </w:r>
      <w:r>
        <w:t xml:space="preserve">and the characteristic R6G Raman bands could not be recovered with the signal</w:t>
      </w:r>
      <w:r>
        <w:t xml:space="preserve"> </w:t>
      </w:r>
      <w:r>
        <w:t xml:space="preserve">quality obtained in June. The enhancement was neither reproducible across</w:t>
      </w:r>
      <w:r>
        <w:t xml:space="preserve"> </w:t>
      </w:r>
      <w:r>
        <w:t xml:space="preserve">substrates nor consistent between concentrations.</w:t>
      </w:r>
    </w:p>
    <w:p>
      <w:pPr>
        <w:pStyle w:val="BodyText"/>
      </w:pPr>
      <w:r>
        <w:t xml:space="preserve">Possible contributing factors identified so far:</w:t>
      </w:r>
    </w:p>
    <w:p>
      <w:pPr>
        <w:numPr>
          <w:ilvl w:val="0"/>
          <w:numId w:val="1001"/>
        </w:numPr>
        <w:pStyle w:val="Compact"/>
      </w:pPr>
      <w:r>
        <w:t xml:space="preserve">contamination introduced during etching, rinsing or drying</w:t>
      </w:r>
    </w:p>
    <w:p>
      <w:pPr>
        <w:numPr>
          <w:ilvl w:val="0"/>
          <w:numId w:val="1001"/>
        </w:numPr>
        <w:pStyle w:val="Compact"/>
      </w:pPr>
      <w:r>
        <w:t xml:space="preserve">variation in silver deposition time or solution freshness between batches</w:t>
      </w:r>
    </w:p>
    <w:p>
      <w:pPr>
        <w:numPr>
          <w:ilvl w:val="0"/>
          <w:numId w:val="1001"/>
        </w:numPr>
        <w:pStyle w:val="Compact"/>
      </w:pPr>
      <w:r>
        <w:t xml:space="preserve">storage or handling of the substrates between fabrication and measurement</w:t>
      </w:r>
    </w:p>
    <w:p>
      <w:pPr>
        <w:numPr>
          <w:ilvl w:val="0"/>
          <w:numId w:val="1001"/>
        </w:numPr>
        <w:pStyle w:val="Compact"/>
      </w:pPr>
      <w:r>
        <w:t xml:space="preserve">residue from the R6G solutions themselves at higher concentrations</w:t>
      </w:r>
    </w:p>
    <w:p>
      <w:pPr>
        <w:pStyle w:val="Heading3"/>
      </w:pPr>
      <w:bookmarkStart w:id="26" w:name="repeat-measurements"/>
      <w:r>
        <w:t xml:space="preserve">2.3 Repeat measurements</w:t>
      </w:r>
      <w:bookmarkEnd w:id="26"/>
    </w:p>
    <w:p>
      <w:pPr>
        <w:pStyle w:val="FirstParagraph"/>
      </w:pPr>
      <w:r>
        <w:t xml:space="preserve">Fabrication and measurement were repeated and a second dataset has been</w:t>
      </w:r>
      <w:r>
        <w:t xml:space="preserve"> </w:t>
      </w:r>
      <w:r>
        <w:t xml:space="preserve">collected. Spectral processing and plotting of this dataset are currently in</w:t>
      </w:r>
      <w:r>
        <w:t xml:space="preserve"> </w:t>
      </w:r>
      <w:r>
        <w:t xml:space="preserve">progress, using the same preprocessing pipeline established earlier (ALS baseline</w:t>
      </w:r>
      <w:r>
        <w:t xml:space="preserve"> </w:t>
      </w:r>
      <w:r>
        <w:t xml:space="preserve">correction, Savitzky–Golay smoothing, normalisation). Results will be reported</w:t>
      </w:r>
      <w:r>
        <w:t xml:space="preserve"> </w:t>
      </w:r>
      <w:r>
        <w:t xml:space="preserve">once the analysis is complete.</w:t>
      </w:r>
    </w:p>
    <w:p>
      <w:pPr>
        <w:pStyle w:val="BodyText"/>
      </w:pPr>
      <w:r>
        <w:rPr>
          <w:b/>
        </w:rPr>
        <w:t xml:space="preserve">Figure 1.</w:t>
      </w:r>
      <w:r>
        <w:t xml:space="preserve"> </w:t>
      </w:r>
      <w:r>
        <w:rPr>
          <w:i/>
        </w:rPr>
        <w:t xml:space="preserve">Substrate fabrication workflow and representative R6G spectra from</w:t>
      </w:r>
      <w:r>
        <w:rPr>
          <w:i/>
        </w:rPr>
        <w:t xml:space="preserve"> </w:t>
      </w:r>
      <w:r>
        <w:rPr>
          <w:i/>
        </w:rPr>
        <w:t xml:space="preserve">the repeat trials.</w:t>
      </w:r>
      <w:r>
        <w:t xml:space="preserve"> </w:t>
      </w:r>
      <w:r>
        <w:t xml:space="preserve">(to be added once plotting is complete)</w:t>
      </w:r>
    </w:p>
    <w:p>
      <w:pPr>
        <w:pStyle w:val="Heading3"/>
      </w:pPr>
      <w:bookmarkStart w:id="27" w:name="planned-corrective-actions"/>
      <w:r>
        <w:t xml:space="preserve">2.4 Planned corrective actions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Prepare fresh HF/AgNO₃ solution for each fabrication batch</w:t>
      </w:r>
    </w:p>
    <w:p>
      <w:pPr>
        <w:numPr>
          <w:ilvl w:val="0"/>
          <w:numId w:val="1002"/>
        </w:numPr>
        <w:pStyle w:val="Compact"/>
      </w:pPr>
      <w:r>
        <w:t xml:space="preserve">Introduce a documented cleaning and rinsing protocol between steps</w:t>
      </w:r>
    </w:p>
    <w:p>
      <w:pPr>
        <w:numPr>
          <w:ilvl w:val="0"/>
          <w:numId w:val="1002"/>
        </w:numPr>
        <w:pStyle w:val="Compact"/>
      </w:pPr>
      <w:r>
        <w:t xml:space="preserve">Record a blank substrate spectrum immediately after fabrication, before R6G</w:t>
      </w:r>
      <w:r>
        <w:t xml:space="preserve"> </w:t>
      </w:r>
      <w:r>
        <w:t xml:space="preserve">application, to identify contamination at the point it occurs</w:t>
      </w:r>
    </w:p>
    <w:p>
      <w:pPr>
        <w:numPr>
          <w:ilvl w:val="0"/>
          <w:numId w:val="1002"/>
        </w:numPr>
        <w:pStyle w:val="Compact"/>
      </w:pPr>
      <w:r>
        <w:t xml:space="preserve">Reduce the number of variables per batch so that any failure can be traced</w:t>
      </w:r>
    </w:p>
    <w:p>
      <w:pPr>
        <w:numPr>
          <w:ilvl w:val="0"/>
          <w:numId w:val="1002"/>
        </w:numPr>
        <w:pStyle w:val="Compact"/>
      </w:pPr>
      <w:r>
        <w:t xml:space="preserve">Measure substrates immediately after fabrication rather than after storage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e0a5aa53eb1640dfd99885016caa382eaa85b3e"/>
      <w:r>
        <w:t xml:space="preserve">3. N-Acetylmuramic Acid Raman–DFT Study — Completed</w:t>
      </w:r>
      <w:bookmarkEnd w:id="28"/>
    </w:p>
    <w:p>
      <w:pPr>
        <w:pStyle w:val="FirstParagraph"/>
      </w:pPr>
      <w:r>
        <w:t xml:space="preserve">This study is now complete and written up as a full manuscript.</w:t>
      </w:r>
    </w:p>
    <w:p>
      <w:pPr>
        <w:pStyle w:val="Heading3"/>
      </w:pPr>
      <w:bookmarkStart w:id="29" w:name="experimental-dataset"/>
      <w:r>
        <w:t xml:space="preserve">3.1 Experimental dataset</w:t>
      </w:r>
      <w:bookmarkEnd w:id="29"/>
    </w:p>
    <w:p>
      <w:pPr>
        <w:pStyle w:val="FirstParagraph"/>
      </w:pPr>
      <w:r>
        <w:t xml:space="preserve">A total of</w:t>
      </w:r>
      <w:r>
        <w:t xml:space="preserve"> </w:t>
      </w:r>
      <w:r>
        <w:rPr>
          <w:b/>
        </w:rPr>
        <w:t xml:space="preserve">227 Raman spectra</w:t>
      </w:r>
      <w:r>
        <w:t xml:space="preserve"> </w:t>
      </w:r>
      <w:r>
        <w:t xml:space="preserve">of NAM powder were acquired at 785 nm using the</w:t>
      </w:r>
      <w:r>
        <w:t xml:space="preserve"> </w:t>
      </w:r>
      <w:r>
        <w:t xml:space="preserve">i-Raman Plus system with a 20× objective, organised as follows: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Spectra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Acquisition-parameter survey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5 integration times × 16 laser powers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Replicate sets (9 sets)</w:t>
            </w:r>
          </w:p>
        </w:tc>
        <w:tc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p>
            <w:pPr>
              <w:pStyle w:val="Compact"/>
              <w:jc w:val="left"/>
            </w:pPr>
            <w:r>
              <w:t xml:space="preserve">fixed conditions, fresh spot per 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Photostability series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same spot, consecutive scans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Laser-damage series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conditions causing sample degradation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Substrate blanks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empty glass slide</w:t>
            </w:r>
          </w:p>
        </w:tc>
      </w:tr>
    </w:tbl>
    <w:p>
      <w:pPr>
        <w:pStyle w:val="BodyText"/>
      </w:pPr>
      <w:r>
        <w:t xml:space="preserve">A reference Raman spectrum was constructed from</w:t>
      </w:r>
      <w:r>
        <w:t xml:space="preserve"> </w:t>
      </w:r>
      <w:r>
        <w:rPr>
          <w:b/>
        </w:rPr>
        <w:t xml:space="preserve">22 independent measurements on</w:t>
      </w:r>
      <w:r>
        <w:rPr>
          <w:b/>
        </w:rPr>
        <w:t xml:space="preserve"> </w:t>
      </w:r>
      <w:r>
        <w:rPr>
          <w:b/>
        </w:rPr>
        <w:t xml:space="preserve">fresh sample</w:t>
      </w:r>
      <w:r>
        <w:t xml:space="preserve">, with a mean pairwise correlation of 0.986 between contributing</w:t>
      </w:r>
      <w:r>
        <w:t xml:space="preserve"> </w:t>
      </w:r>
      <w:r>
        <w:t xml:space="preserve">spectra.</w:t>
      </w:r>
    </w:p>
    <w:p>
      <w:pPr>
        <w:pStyle w:val="Heading3"/>
      </w:pPr>
      <w:bookmarkStart w:id="30" w:name="X9e7b6d4497894d5d363abe8fc96cc5ef08340b2"/>
      <w:r>
        <w:t xml:space="preserve">3.2 Photostability and laser-damage threshold</w:t>
      </w:r>
      <w:bookmarkEnd w:id="30"/>
    </w:p>
    <w:p>
      <w:pPr>
        <w:pStyle w:val="FirstParagraph"/>
      </w:pPr>
      <w:r>
        <w:t xml:space="preserve">A working envelope for the material under 785 nm excitation was established: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≤80% power, ≤25 s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70% power, 30 s and 60 s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90% power, 30 s</w:t>
            </w:r>
          </w:p>
        </w:tc>
        <w:tc>
          <w:p>
            <w:pPr>
              <w:pStyle w:val="Compact"/>
              <w:jc w:val="left"/>
            </w:pPr>
            <w:r>
              <w:t xml:space="preserve">stable over 10 consecutive scans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90% power, 60 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sample destroyed</w:t>
            </w:r>
          </w:p>
        </w:tc>
      </w:tr>
    </w:tbl>
    <w:p>
      <w:pPr>
        <w:pStyle w:val="BodyText"/>
      </w:pPr>
      <w:r>
        <w:t xml:space="preserve">At the damaging condition the strongest Raman band at 930 cm⁻¹ decays from 0.44</w:t>
      </w:r>
      <w:r>
        <w:t xml:space="preserve"> </w:t>
      </w:r>
      <w:r>
        <w:t xml:space="preserve">to 0.23 in normalised intensity over five consecutive scans. This threshold is</w:t>
      </w:r>
      <w:r>
        <w:t xml:space="preserve"> </w:t>
      </w:r>
      <w:r>
        <w:t xml:space="preserve">reported in the manuscript, as carbohydrate powders are generally assumed to</w:t>
      </w:r>
      <w:r>
        <w:t xml:space="preserve"> </w:t>
      </w:r>
      <w:r>
        <w:t xml:space="preserve">tolerate near-infrared excitation without limit.</w:t>
      </w:r>
    </w:p>
    <w:p>
      <w:pPr>
        <w:pStyle w:val="Heading3"/>
      </w:pPr>
      <w:bookmarkStart w:id="31" w:name="computational-work"/>
      <w:r>
        <w:t xml:space="preserve">3.3 Computational work</w:t>
      </w:r>
      <w:bookmarkEnd w:id="31"/>
    </w:p>
    <w:p>
      <w:pPr>
        <w:pStyle w:val="FirstParagraph"/>
      </w:pPr>
      <w:r>
        <w:t xml:space="preserve">DFT calculations were completed in</w:t>
      </w:r>
      <w:r>
        <w:t xml:space="preserve"> </w:t>
      </w:r>
      <w:r>
        <w:rPr>
          <w:b/>
        </w:rPr>
        <w:t xml:space="preserve">Gaussian 16</w:t>
      </w:r>
      <w:r>
        <w:t xml:space="preserve"> </w:t>
      </w:r>
      <w:r>
        <w:t xml:space="preserve">at the</w:t>
      </w:r>
      <w:r>
        <w:t xml:space="preserve"> </w:t>
      </w:r>
      <w:r>
        <w:rPr>
          <w:b/>
        </w:rPr>
        <w:t xml:space="preserve">B3LYP-D3BJ/6-311++G(d,p)</w:t>
      </w:r>
      <w:r>
        <w:t xml:space="preserve"> </w:t>
      </w:r>
      <w:r>
        <w:t xml:space="preserve">level with tight optimisation, ultrafine integration</w:t>
      </w:r>
      <w:r>
        <w:t xml:space="preserve"> </w:t>
      </w:r>
      <w:r>
        <w:t xml:space="preserve">grid and Grimme D3BJ dispersion correction. The optimisation converged to a</w:t>
      </w:r>
      <w:r>
        <w:t xml:space="preserve"> </w:t>
      </w:r>
      <w:r>
        <w:t xml:space="preserve">stationary point with</w:t>
      </w:r>
      <w:r>
        <w:t xml:space="preserve"> </w:t>
      </w:r>
      <w:r>
        <w:rPr>
          <w:b/>
        </w:rPr>
        <w:t xml:space="preserve">111 normal modes and no imaginary frequencies</w:t>
      </w:r>
      <w:r>
        <w:t xml:space="preserve">,</w:t>
      </w:r>
      <w:r>
        <w:t xml:space="preserve"> </w:t>
      </w:r>
      <w:r>
        <w:t xml:space="preserve">confirming a true energy minimum.</w:t>
      </w:r>
    </w:p>
    <w:p>
      <w:pPr>
        <w:pStyle w:val="BodyText"/>
      </w:pPr>
      <w:r>
        <w:t xml:space="preserve">Harmonic frequencies were scaled (0.980 below 1800 cm⁻¹, 0.967 above), converted</w:t>
      </w:r>
      <w:r>
        <w:t xml:space="preserve"> </w:t>
      </w:r>
      <w:r>
        <w:t xml:space="preserve">to Raman intensities using the Placzek expression at 785 nm, and broadened with</w:t>
      </w:r>
      <w:r>
        <w:t xml:space="preserve"> </w:t>
      </w:r>
      <w:r>
        <w:t xml:space="preserve">Lorentzian line shapes for comparison with experiment.</w:t>
      </w:r>
    </w:p>
    <w:p>
      <w:pPr>
        <w:pStyle w:val="Heading3"/>
      </w:pPr>
      <w:bookmarkStart w:id="32" w:name="results"/>
      <w:r>
        <w:t xml:space="preserve">3.4 Results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Reproducible bands identified (400–1800 cm⁻¹)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41</w:t>
            </w:r>
            <w:r>
              <w:t xml:space="preserve"> </w:t>
            </w:r>
            <w:r>
              <w:t xml:space="preserve">(32 high confidence, 9 tentative)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Bands matched to calculated modes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absolute deviation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9.3 cm⁻¹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Root-mean-square deviation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10.3 cm⁻¹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Correlation coefficient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0.9996</w:t>
            </w:r>
          </w:p>
        </w:tc>
      </w:tr>
    </w:tbl>
    <w:p>
      <w:pPr>
        <w:pStyle w:val="BodyText"/>
      </w:pPr>
      <w:r>
        <w:t xml:space="preserve">Two vibrational assignments were obtained that could not have been reached from</w:t>
      </w:r>
      <w:r>
        <w:t xml:space="preserve"> </w:t>
      </w:r>
      <w:r>
        <w:t xml:space="preserve">the experimental spectrum alone:</w:t>
      </w:r>
    </w:p>
    <w:p>
      <w:pPr>
        <w:pStyle w:val="BodyText"/>
      </w:pPr>
      <w:r>
        <w:rPr>
          <w:b/>
        </w:rPr>
        <w:t xml:space="preserve">The 872 cm⁻¹ band</w:t>
      </w:r>
      <w:r>
        <w:t xml:space="preserve"> </w:t>
      </w:r>
      <w:r>
        <w:t xml:space="preserve">is one of the strongest features of the spectrum and would</w:t>
      </w:r>
      <w:r>
        <w:t xml:space="preserve"> </w:t>
      </w:r>
      <w:r>
        <w:t xml:space="preserve">conventionally be grouped with ring-breathing modes on frequency alone.</w:t>
      </w:r>
      <w:r>
        <w:t xml:space="preserve"> </w:t>
      </w:r>
      <w:r>
        <w:t xml:space="preserve">Normal-mode decomposition shows it is dominated by hydroxymethyl hydrogen motion</w:t>
      </w:r>
      <w:r>
        <w:t xml:space="preserve"> </w:t>
      </w:r>
      <w:r>
        <w:t xml:space="preserve">(45.9% of the mass-weighted displacement from a single hydrogen), with only 5.0%</w:t>
      </w:r>
      <w:r>
        <w:t xml:space="preserve"> </w:t>
      </w:r>
      <w:r>
        <w:t xml:space="preserve">pyranose ring character. It is therefore assigned to hydroxymethyl wagging.</w:t>
      </w:r>
    </w:p>
    <w:p>
      <w:pPr>
        <w:pStyle w:val="BodyText"/>
      </w:pPr>
      <w:r>
        <w:rPr>
          <w:b/>
        </w:rPr>
        <w:t xml:space="preserve">The 730 cm⁻¹ region</w:t>
      </w:r>
      <w:r>
        <w:t xml:space="preserve"> </w:t>
      </w:r>
      <w:r>
        <w:t xml:space="preserve">is a long-standing open question in bacterial SERS: this</w:t>
      </w:r>
      <w:r>
        <w:t xml:space="preserve"> </w:t>
      </w:r>
      <w:r>
        <w:t xml:space="preserve">band is one of the strongest features of bacterial spectra and is widely used for</w:t>
      </w:r>
      <w:r>
        <w:t xml:space="preserve"> </w:t>
      </w:r>
      <w:r>
        <w:t xml:space="preserve">discrimination, but its molecular origin is disputed. Our calculation places a</w:t>
      </w:r>
      <w:r>
        <w:t xml:space="preserve"> </w:t>
      </w:r>
      <w:r>
        <w:t xml:space="preserve">mode of appreciable Raman activity at 731 cm⁻¹, which would appear to support a</w:t>
      </w:r>
      <w:r>
        <w:t xml:space="preserve"> </w:t>
      </w:r>
      <w:r>
        <w:t xml:space="preserve">peptidoglycan origin. Decomposition shows otherwise — 47.9% of the displacement</w:t>
      </w:r>
      <w:r>
        <w:t xml:space="preserve"> </w:t>
      </w:r>
      <w:r>
        <w:t xml:space="preserve">belongs to the carboxylic acid hydroxyl proton, with only</w:t>
      </w:r>
      <w:r>
        <w:t xml:space="preserve"> </w:t>
      </w:r>
      <w:r>
        <w:rPr>
          <w:b/>
        </w:rPr>
        <w:t xml:space="preserve">0.5%</w:t>
      </w:r>
      <w:r>
        <w:t xml:space="preserve"> </w:t>
      </w:r>
      <w:r>
        <w:t xml:space="preserve">ring</w:t>
      </w:r>
      <w:r>
        <w:t xml:space="preserve"> </w:t>
      </w:r>
      <w:r>
        <w:t xml:space="preserve">character. Since that proton is absent in intact peptidoglycan, where the muramic</w:t>
      </w:r>
      <w:r>
        <w:t xml:space="preserve"> </w:t>
      </w:r>
      <w:r>
        <w:t xml:space="preserve">acid carboxyl is amide-linked to the peptide stem, this mode cannot contribute to</w:t>
      </w:r>
      <w:r>
        <w:t xml:space="preserve"> </w:t>
      </w:r>
      <w:r>
        <w:t xml:space="preserve">bacterial spectra. This constitutes direct evidence against attributing the</w:t>
      </w:r>
      <w:r>
        <w:t xml:space="preserve"> </w:t>
      </w:r>
      <w:r>
        <w:t xml:space="preserve">bacterial 730 cm⁻¹ band to muramic acid.</w:t>
      </w:r>
    </w:p>
    <w:p>
      <w:pPr>
        <w:pStyle w:val="BodyText"/>
      </w:pPr>
      <w:r>
        <w:rPr>
          <w:b/>
        </w:rPr>
        <w:t xml:space="preserve">Figure 2.</w:t>
      </w:r>
      <w:r>
        <w:t xml:space="preserve"> </w:t>
      </w:r>
      <w:r>
        <w:rPr>
          <w:i/>
        </w:rPr>
        <w:t xml:space="preserve">Reference Raman spectrum of NAM powder (mean of 22 independent</w:t>
      </w:r>
      <w:r>
        <w:rPr>
          <w:i/>
        </w:rPr>
        <w:t xml:space="preserve"> </w:t>
      </w:r>
      <w:r>
        <w:rPr>
          <w:i/>
        </w:rPr>
        <w:t xml:space="preserve">measurements, ± 1 SD).</w:t>
      </w:r>
    </w:p>
    <w:p>
      <w:pPr>
        <w:pStyle w:val="BodyText"/>
      </w:pPr>
      <w:r>
        <w:rPr>
          <w:b/>
        </w:rPr>
        <w:t xml:space="preserve">Figure 3.</w:t>
      </w:r>
      <w:r>
        <w:t xml:space="preserve"> </w:t>
      </w:r>
      <w:r>
        <w:rPr>
          <w:i/>
        </w:rPr>
        <w:t xml:space="preserve">Photostability and laser-damage threshold.</w:t>
      </w:r>
    </w:p>
    <w:p>
      <w:pPr>
        <w:pStyle w:val="BodyText"/>
      </w:pPr>
      <w:r>
        <w:rPr>
          <w:b/>
        </w:rPr>
        <w:t xml:space="preserve">Figure 4.</w:t>
      </w:r>
      <w:r>
        <w:t xml:space="preserve"> </w:t>
      </w:r>
      <w:r>
        <w:rPr>
          <w:i/>
        </w:rPr>
        <w:t xml:space="preserve">Experimental versus DFT-simulated Raman spectrum with residuals.</w:t>
      </w:r>
    </w:p>
    <w:p>
      <w:pPr>
        <w:pStyle w:val="Heading3"/>
      </w:pPr>
      <w:bookmarkStart w:id="33" w:name="manuscript-status"/>
      <w:r>
        <w:t xml:space="preserve">3.5 Manuscript status</w:t>
      </w:r>
      <w:bookmarkEnd w:id="33"/>
    </w:p>
    <w:p>
      <w:pPr>
        <w:pStyle w:val="FirstParagraph"/>
      </w:pPr>
      <w:r>
        <w:t xml:space="preserve">A complete manuscript has been prepared:</w:t>
      </w:r>
    </w:p>
    <w:p>
      <w:pPr>
        <w:numPr>
          <w:ilvl w:val="0"/>
          <w:numId w:val="1003"/>
        </w:numPr>
        <w:pStyle w:val="Compact"/>
      </w:pPr>
      <w:r>
        <w:t xml:space="preserve">14 pages, seven figures, one main table of 41 assigned bands</w:t>
      </w:r>
    </w:p>
    <w:p>
      <w:pPr>
        <w:numPr>
          <w:ilvl w:val="0"/>
          <w:numId w:val="1003"/>
        </w:numPr>
        <w:pStyle w:val="Compact"/>
      </w:pPr>
      <w:r>
        <w:t xml:space="preserve">Supplementary material with optimised coordinates and all 111 calculated modes</w:t>
      </w:r>
    </w:p>
    <w:p>
      <w:pPr>
        <w:numPr>
          <w:ilvl w:val="0"/>
          <w:numId w:val="1003"/>
        </w:numPr>
        <w:pStyle w:val="Compact"/>
      </w:pPr>
      <w:r>
        <w:t xml:space="preserve">Formatted for</w:t>
      </w:r>
      <w:r>
        <w:t xml:space="preserve"> </w:t>
      </w:r>
      <w:r>
        <w:rPr>
          <w:b/>
        </w:rPr>
        <w:t xml:space="preserve">Spectrochimica Acta Part A</w:t>
      </w:r>
      <w:r>
        <w:t xml:space="preserve"> </w:t>
      </w:r>
      <w:r>
        <w:t xml:space="preserve">(Elsevier); alternative target</w:t>
      </w:r>
      <w:r>
        <w:t xml:space="preserve"> </w:t>
      </w:r>
      <w:r>
        <w:rPr>
          <w:b/>
        </w:rPr>
        <w:t xml:space="preserve">Vibrational Spectroscopy</w:t>
      </w:r>
      <w:r>
        <w:t xml:space="preserve">, where the most closely related recent paper</w:t>
      </w:r>
      <w:r>
        <w:t xml:space="preserve"> </w:t>
      </w:r>
      <w:r>
        <w:t xml:space="preserve">(Ma et al., 2024) was published</w:t>
      </w:r>
    </w:p>
    <w:p>
      <w:pPr>
        <w:numPr>
          <w:ilvl w:val="0"/>
          <w:numId w:val="1003"/>
        </w:numPr>
        <w:pStyle w:val="Compact"/>
      </w:pPr>
      <w:r>
        <w:t xml:space="preserve">LaTeX and Word versions prepared, both compiling without error</w:t>
      </w:r>
    </w:p>
    <w:p>
      <w:pPr>
        <w:pStyle w:val="FirstParagraph"/>
      </w:pPr>
      <w:r>
        <w:t xml:space="preserve">All data, calculations, figures and the analysis pipeline have been organised</w:t>
      </w:r>
      <w:r>
        <w:t xml:space="preserve"> </w:t>
      </w:r>
      <w:r>
        <w:t xml:space="preserve">into a single archive with a documented processing protocol and an executable</w:t>
      </w:r>
      <w:r>
        <w:t xml:space="preserve"> </w:t>
      </w:r>
      <w:r>
        <w:t xml:space="preserve">analysis notebook, so that every reported number is reproducible from the raw</w:t>
      </w:r>
      <w:r>
        <w:t xml:space="preserve"> </w:t>
      </w:r>
      <w:r>
        <w:t xml:space="preserve">files.</w:t>
      </w:r>
    </w:p>
    <w:p>
      <w:pPr>
        <w:pStyle w:val="Heading3"/>
      </w:pPr>
      <w:bookmarkStart w:id="34" w:name="remaining-items-before-submission"/>
      <w:r>
        <w:t xml:space="preserve">3.6 Remaining items before submission</w:t>
      </w:r>
      <w:bookmarkEnd w:id="34"/>
    </w:p>
    <w:p>
      <w:pPr>
        <w:pStyle w:val="FirstParagraph"/>
      </w:pPr>
      <w:r>
        <w:t xml:space="preserve">None of these affect the scientific content:</w:t>
      </w:r>
    </w:p>
    <w:p>
      <w:pPr>
        <w:numPr>
          <w:ilvl w:val="0"/>
          <w:numId w:val="1004"/>
        </w:numPr>
        <w:pStyle w:val="Compact"/>
      </w:pPr>
      <w:r>
        <w:t xml:space="preserve">reagent lot number</w:t>
      </w:r>
    </w:p>
    <w:p>
      <w:pPr>
        <w:numPr>
          <w:ilvl w:val="0"/>
          <w:numId w:val="1004"/>
        </w:numPr>
        <w:pStyle w:val="Compact"/>
      </w:pPr>
      <w:r>
        <w:t xml:space="preserve">laser power at the sample in mW (to be measured with a power meter)</w:t>
      </w:r>
    </w:p>
    <w:p>
      <w:pPr>
        <w:numPr>
          <w:ilvl w:val="0"/>
          <w:numId w:val="1004"/>
        </w:numPr>
        <w:pStyle w:val="Compact"/>
      </w:pPr>
      <w:r>
        <w:t xml:space="preserve">instrument spectral resolution from the specification sheet</w:t>
      </w:r>
    </w:p>
    <w:p>
      <w:pPr>
        <w:numPr>
          <w:ilvl w:val="0"/>
          <w:numId w:val="1004"/>
        </w:numPr>
        <w:pStyle w:val="Compact"/>
      </w:pPr>
      <w:r>
        <w:t xml:space="preserve">three glass blank spectra recorded at the measurement conditions</w:t>
      </w:r>
    </w:p>
    <w:p>
      <w:pPr>
        <w:numPr>
          <w:ilvl w:val="0"/>
          <w:numId w:val="1004"/>
        </w:numPr>
        <w:pStyle w:val="Compact"/>
      </w:pPr>
      <w:r>
        <w:t xml:space="preserve">co-author details and acknowledgements</w:t>
      </w:r>
    </w:p>
    <w:p>
      <w:pPr>
        <w:numPr>
          <w:ilvl w:val="0"/>
          <w:numId w:val="1004"/>
        </w:numPr>
        <w:pStyle w:val="Compact"/>
      </w:pPr>
      <w:r>
        <w:t xml:space="preserve">expansion of the reference list from 14 to approximately 30–45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ummary-of-work-completed-in-july"/>
      <w:r>
        <w:t xml:space="preserve">4. Summary of Work Completed in July</w:t>
      </w:r>
      <w:bookmarkEnd w:id="35"/>
    </w:p>
    <w:p>
      <w:pPr>
        <w:numPr>
          <w:ilvl w:val="0"/>
          <w:numId w:val="1005"/>
        </w:numPr>
        <w:pStyle w:val="Compact"/>
      </w:pPr>
      <w:r>
        <w:t xml:space="preserve">Repeated the Ag/Si SERS substrate fabrication by chemical etching and tested it</w:t>
      </w:r>
      <w:r>
        <w:t xml:space="preserve"> </w:t>
      </w:r>
      <w:r>
        <w:t xml:space="preserve">with Rhodamine 6G at several concentrations</w:t>
      </w:r>
    </w:p>
    <w:p>
      <w:pPr>
        <w:numPr>
          <w:ilvl w:val="0"/>
          <w:numId w:val="1005"/>
        </w:numPr>
        <w:pStyle w:val="Compact"/>
      </w:pPr>
      <w:r>
        <w:t xml:space="preserve">Identified substrate contamination as the reason for failure; documented likely</w:t>
      </w:r>
      <w:r>
        <w:t xml:space="preserve"> </w:t>
      </w:r>
      <w:r>
        <w:t xml:space="preserve">causes and corrective actions</w:t>
      </w:r>
    </w:p>
    <w:p>
      <w:pPr>
        <w:numPr>
          <w:ilvl w:val="0"/>
          <w:numId w:val="1005"/>
        </w:numPr>
        <w:pStyle w:val="Compact"/>
      </w:pPr>
      <w:r>
        <w:t xml:space="preserve">Repeated the fabrication and collected a second dataset, currently under</w:t>
      </w:r>
      <w:r>
        <w:t xml:space="preserve"> </w:t>
      </w:r>
      <w:r>
        <w:t xml:space="preserve">analysis</w:t>
      </w:r>
    </w:p>
    <w:p>
      <w:pPr>
        <w:numPr>
          <w:ilvl w:val="0"/>
          <w:numId w:val="1005"/>
        </w:numPr>
        <w:pStyle w:val="Compact"/>
      </w:pPr>
      <w:r>
        <w:t xml:space="preserve">Completed the full experimental Raman study of N-acetylmuramic acid: 227</w:t>
      </w:r>
      <w:r>
        <w:t xml:space="preserve"> </w:t>
      </w:r>
      <w:r>
        <w:t xml:space="preserve">spectra, reference spectrum from 22 independent replicates</w:t>
      </w:r>
    </w:p>
    <w:p>
      <w:pPr>
        <w:numPr>
          <w:ilvl w:val="0"/>
          <w:numId w:val="1005"/>
        </w:numPr>
        <w:pStyle w:val="Compact"/>
      </w:pPr>
      <w:r>
        <w:t xml:space="preserve">Established a photostability and laser-damage threshold for NAM powder</w:t>
      </w:r>
    </w:p>
    <w:p>
      <w:pPr>
        <w:numPr>
          <w:ilvl w:val="0"/>
          <w:numId w:val="1005"/>
        </w:numPr>
        <w:pStyle w:val="Compact"/>
      </w:pPr>
      <w:r>
        <w:t xml:space="preserve">Completed dispersion-corrected DFT calculations in Gaussian 16 and matched 30</w:t>
      </w:r>
      <w:r>
        <w:t xml:space="preserve"> </w:t>
      </w:r>
      <w:r>
        <w:t xml:space="preserve">observed bands to calculated normal modes (MAE 9.3 cm⁻¹, r = 0.9996)</w:t>
      </w:r>
    </w:p>
    <w:p>
      <w:pPr>
        <w:numPr>
          <w:ilvl w:val="0"/>
          <w:numId w:val="1005"/>
        </w:numPr>
        <w:pStyle w:val="Compact"/>
      </w:pPr>
      <w:r>
        <w:t xml:space="preserve">Obtained two new vibrational assignments, one of which addresses an open</w:t>
      </w:r>
      <w:r>
        <w:t xml:space="preserve"> </w:t>
      </w:r>
      <w:r>
        <w:t xml:space="preserve">question in the bacterial SERS literature</w:t>
      </w:r>
    </w:p>
    <w:p>
      <w:pPr>
        <w:numPr>
          <w:ilvl w:val="0"/>
          <w:numId w:val="1005"/>
        </w:numPr>
        <w:pStyle w:val="Compact"/>
      </w:pPr>
      <w:r>
        <w:t xml:space="preserve">Prepared a complete manuscript with supplementary material, ready for</w:t>
      </w:r>
      <w:r>
        <w:t xml:space="preserve"> </w:t>
      </w:r>
      <w:r>
        <w:t xml:space="preserve">submission pending documentation items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lanned-work-for-august"/>
      <w:r>
        <w:t xml:space="preserve">5. Planned Work for August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Complete processing and plotting of the repeat SERS substrate dataset</w:t>
      </w:r>
    </w:p>
    <w:p>
      <w:pPr>
        <w:numPr>
          <w:ilvl w:val="0"/>
          <w:numId w:val="1006"/>
        </w:numPr>
        <w:pStyle w:val="Compact"/>
      </w:pPr>
      <w:r>
        <w:t xml:space="preserve">Re-fabricate substrates using the revised cleaning protocol, with a blank</w:t>
      </w:r>
      <w:r>
        <w:t xml:space="preserve"> </w:t>
      </w:r>
      <w:r>
        <w:t xml:space="preserve">spectrum recorded after each fabrication step to isolate the contamination</w:t>
      </w:r>
      <w:r>
        <w:t xml:space="preserve"> </w:t>
      </w:r>
      <w:r>
        <w:t xml:space="preserve">source</w:t>
      </w:r>
    </w:p>
    <w:p>
      <w:pPr>
        <w:numPr>
          <w:ilvl w:val="0"/>
          <w:numId w:val="1006"/>
        </w:numPr>
        <w:pStyle w:val="Compact"/>
      </w:pPr>
      <w:r>
        <w:t xml:space="preserve">Re-establish reproducible R6G enhancement before proceeding to NAM detection</w:t>
      </w:r>
      <w:r>
        <w:t xml:space="preserve"> </w:t>
      </w:r>
      <w:r>
        <w:t xml:space="preserve">on the substrate</w:t>
      </w:r>
    </w:p>
    <w:p>
      <w:pPr>
        <w:numPr>
          <w:ilvl w:val="0"/>
          <w:numId w:val="1006"/>
        </w:numPr>
        <w:pStyle w:val="Compact"/>
      </w:pPr>
      <w:r>
        <w:t xml:space="preserve">Collect the remaining documentation items and submit the NAM manuscript</w:t>
      </w:r>
    </w:p>
    <w:p>
      <w:pPr>
        <w:numPr>
          <w:ilvl w:val="0"/>
          <w:numId w:val="1006"/>
        </w:numPr>
        <w:pStyle w:val="Compact"/>
      </w:pPr>
      <w:r>
        <w:t xml:space="preserve">Optionally extend the DFT work to the α anomer and to N-acetylglucosamine, to</w:t>
      </w:r>
      <w:r>
        <w:t xml:space="preserve"> </w:t>
      </w:r>
      <w:r>
        <w:t xml:space="preserve">support discrimination between the two peptidoglycan sugars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Prepared July 2026</w:t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C9D"/>
    <w:multiLevelType w:val="multilevel"/>
    <w:tmpl w:val="AB5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12DE"/>
    <w:multiLevelType w:val="multilevel"/>
    <w:tmpl w:val="2AA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360EF"/>
    <w:multiLevelType w:val="multilevel"/>
    <w:tmpl w:val="1CA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D2905"/>
    <w:multiLevelType w:val="multilevel"/>
    <w:tmpl w:val="AC3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237E"/>
    <w:multiLevelType w:val="multilevel"/>
    <w:tmpl w:val="C18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1242B"/>
    <w:multiLevelType w:val="multilevel"/>
    <w:tmpl w:val="671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F6AD6"/>
    <w:multiLevelType w:val="multilevel"/>
    <w:tmpl w:val="C76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06E0"/>
    <w:multiLevelType w:val="multilevel"/>
    <w:tmpl w:val="C01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A61F2"/>
    <w:multiLevelType w:val="multilevel"/>
    <w:tmpl w:val="868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96B31"/>
    <w:multiLevelType w:val="multilevel"/>
    <w:tmpl w:val="FDC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537035425">
    <w:abstractNumId w:val="6"/>
  </w:num>
  <w:num w:numId="2" w16cid:durableId="1588415390">
    <w:abstractNumId w:val="0"/>
  </w:num>
  <w:num w:numId="3" w16cid:durableId="459345996">
    <w:abstractNumId w:val="3"/>
  </w:num>
  <w:num w:numId="4" w16cid:durableId="2102602421">
    <w:abstractNumId w:val="8"/>
  </w:num>
  <w:num w:numId="5" w16cid:durableId="987248257">
    <w:abstractNumId w:val="4"/>
  </w:num>
  <w:num w:numId="6" w16cid:durableId="1091124208">
    <w:abstractNumId w:val="5"/>
  </w:num>
  <w:num w:numId="7" w16cid:durableId="1062866896">
    <w:abstractNumId w:val="1"/>
  </w:num>
  <w:num w:numId="8" w16cid:durableId="1703899471">
    <w:abstractNumId w:val="7"/>
  </w:num>
  <w:num w:numId="9" w16cid:durableId="990405787">
    <w:abstractNumId w:val="2"/>
  </w:num>
  <w:num w:numId="10" w16cid:durableId="1968468250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E1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2026-08-07T05:09:46Z</dcterms:created>
  <dcterms:modified xsi:type="dcterms:W3CDTF">2026-08-07T05:09:46Z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