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39b9e488fb6b674dfac4441c803c2925f5cb7"/>
      <w:r>
        <w:t xml:space="preserve">Experimental Plan — SERS Detection of N-Acetylmuramic Acid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SERS nanobiosensor for rapid bacterial identification in sepsis</w:t>
      </w:r>
      <w:r>
        <w:t xml:space="preserve"> </w:t>
      </w:r>
      <w:r>
        <w:rPr>
          <w:b/>
        </w:rPr>
        <w:t xml:space="preserve">Prepared: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ctive"/>
      <w:r>
        <w:t xml:space="preserve">1. Objective</w:t>
      </w:r>
      <w:bookmarkEnd w:id="21"/>
    </w:p>
    <w:p>
      <w:pPr>
        <w:pStyle w:val="FirstParagraph"/>
      </w:pPr>
      <w:r>
        <w:t xml:space="preserve">To detect N-acetylmuramic acid at clinically relevant concentrations on a</w:t>
      </w:r>
      <w:r>
        <w:t xml:space="preserve"> </w:t>
      </w:r>
      <w:r>
        <w:t xml:space="preserve">boronic-acid-functionalised Ag/Si SERS substrate, using the reference spectrum</w:t>
      </w:r>
      <w:r>
        <w:t xml:space="preserve"> </w:t>
      </w:r>
      <w:r>
        <w:t xml:space="preserve">and band assignments already established for the pure powder.</w:t>
      </w:r>
    </w:p>
    <w:p>
      <w:pPr>
        <w:pStyle w:val="BodyText"/>
      </w:pPr>
      <w:r>
        <w:t xml:space="preserve">The completed Raman–DFT study gives us something most SERS detection work lacks:</w:t>
      </w:r>
      <w:r>
        <w:t xml:space="preserve"> </w:t>
      </w:r>
      <w:r>
        <w:t xml:space="preserve">we know exactly which bands belong to NAM, which are strongest, and what</w:t>
      </w:r>
      <w:r>
        <w:t xml:space="preserve"> </w:t>
      </w:r>
      <w:r>
        <w:t xml:space="preserve">molecular motions produce them. That knowledge determines the experimental</w:t>
      </w:r>
      <w:r>
        <w:t xml:space="preserve"> </w:t>
      </w:r>
      <w:r>
        <w:t xml:space="preserve">design set out below.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ere-we-stand"/>
      <w:r>
        <w:t xml:space="preserve">2. Where we stand</w:t>
      </w:r>
      <w:bookmarkEnd w:id="22"/>
    </w:p>
    <w:p>
      <w:pPr>
        <w:pStyle w:val="FirstParagraph"/>
      </w:pPr>
      <w:r>
        <w:rPr>
          <w:b/>
        </w:rPr>
        <w:t xml:space="preserve">Completed</w:t>
      </w:r>
    </w:p>
    <w:p>
      <w:pPr>
        <w:numPr>
          <w:ilvl w:val="0"/>
          <w:numId w:val="1001"/>
        </w:numPr>
        <w:pStyle w:val="Compact"/>
      </w:pPr>
      <w:r>
        <w:t xml:space="preserve">Reference Raman spectrum of NAM powder from 22 independent measurements</w:t>
      </w:r>
    </w:p>
    <w:p>
      <w:pPr>
        <w:numPr>
          <w:ilvl w:val="0"/>
          <w:numId w:val="1001"/>
        </w:numPr>
        <w:pStyle w:val="Compact"/>
      </w:pPr>
      <w:r>
        <w:t xml:space="preserve">41 bands identified, 32 at high confidence</w:t>
      </w:r>
    </w:p>
    <w:p>
      <w:pPr>
        <w:numPr>
          <w:ilvl w:val="0"/>
          <w:numId w:val="1001"/>
        </w:numPr>
        <w:pStyle w:val="Compact"/>
      </w:pPr>
      <w:r>
        <w:t xml:space="preserve">30 bands assigned to calculated normal modes (MAE 9.3 cm⁻¹, r = 0.9996)</w:t>
      </w:r>
    </w:p>
    <w:p>
      <w:pPr>
        <w:numPr>
          <w:ilvl w:val="0"/>
          <w:numId w:val="1001"/>
        </w:numPr>
        <w:pStyle w:val="Compact"/>
      </w:pPr>
      <w:r>
        <w:t xml:space="preserve">Laser-damage threshold established for the powder</w:t>
      </w:r>
    </w:p>
    <w:p>
      <w:pPr>
        <w:numPr>
          <w:ilvl w:val="0"/>
          <w:numId w:val="1001"/>
        </w:numPr>
        <w:pStyle w:val="Compact"/>
      </w:pPr>
      <w:r>
        <w:t xml:space="preserve">Manuscript written and ready for submission</w:t>
      </w:r>
    </w:p>
    <w:p>
      <w:pPr>
        <w:pStyle w:val="FirstParagraph"/>
      </w:pPr>
      <w:r>
        <w:rPr>
          <w:b/>
        </w:rPr>
        <w:t xml:space="preserve">Blocking</w:t>
      </w:r>
    </w:p>
    <w:p>
      <w:pPr>
        <w:numPr>
          <w:ilvl w:val="0"/>
          <w:numId w:val="1002"/>
        </w:numPr>
        <w:pStyle w:val="Compact"/>
      </w:pPr>
      <w:r>
        <w:t xml:space="preserve">Ag/Si substrate fabrication is not currently reproducible. The July repeat</w:t>
      </w:r>
      <w:r>
        <w:t xml:space="preserve"> </w:t>
      </w:r>
      <w:r>
        <w:t xml:space="preserve">produced contaminated substrates and no usable R6G enhancement. Nothing</w:t>
      </w:r>
      <w:r>
        <w:t xml:space="preserve"> </w:t>
      </w:r>
      <w:r>
        <w:t xml:space="preserve">downstream can proceed until this is resolved.</w:t>
      </w:r>
    </w:p>
    <w:p>
      <w:pPr>
        <w:pStyle w:val="FirstParagraph"/>
      </w:pPr>
      <w:r>
        <w:rPr>
          <w:b/>
        </w:rPr>
        <w:t xml:space="preserve">Not yet started</w:t>
      </w:r>
    </w:p>
    <w:p>
      <w:pPr>
        <w:numPr>
          <w:ilvl w:val="0"/>
          <w:numId w:val="1003"/>
        </w:numPr>
        <w:pStyle w:val="Compact"/>
      </w:pPr>
      <w:r>
        <w:t xml:space="preserve">Boronic acid surface functionalisation</w:t>
      </w:r>
    </w:p>
    <w:p>
      <w:pPr>
        <w:numPr>
          <w:ilvl w:val="0"/>
          <w:numId w:val="1003"/>
        </w:numPr>
        <w:pStyle w:val="Compact"/>
      </w:pPr>
      <w:r>
        <w:t xml:space="preserve">NAM detection on substrate</w:t>
      </w:r>
    </w:p>
    <w:p>
      <w:pPr>
        <w:numPr>
          <w:ilvl w:val="0"/>
          <w:numId w:val="1003"/>
        </w:numPr>
        <w:pStyle w:val="Compact"/>
      </w:pPr>
      <w:r>
        <w:t xml:space="preserve">Concentration series and limit of detection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tection-strategy-which-bands-to-target"/>
      <w:r>
        <w:t xml:space="preserve">3. Detection strategy — which bands to target</w:t>
      </w:r>
      <w:bookmarkEnd w:id="23"/>
    </w:p>
    <w:p>
      <w:pPr>
        <w:pStyle w:val="FirstParagraph"/>
      </w:pPr>
      <w:r>
        <w:t xml:space="preserve">Not all NAM bands are equally useful for detection. Selection criteria: high</w:t>
      </w:r>
      <w:r>
        <w:t xml:space="preserve"> </w:t>
      </w:r>
      <w:r>
        <w:t xml:space="preserve">intensity, high confidence, secure assignment, and freedom from interference.</w:t>
      </w:r>
    </w:p>
    <w:p>
      <w:pPr>
        <w:pStyle w:val="Heading3"/>
      </w:pPr>
      <w:bookmarkStart w:id="24" w:name="primary-detection-window-8001000-cm¹"/>
      <w:r>
        <w:t xml:space="preserve">3.1 Primary detection window: 800–1000 cm⁻¹</w:t>
      </w:r>
      <w:bookmarkEnd w:id="24"/>
    </w:p>
    <w:p>
      <w:pPr>
        <w:pStyle w:val="FirstParagraph"/>
      </w:pPr>
      <w:r>
        <w:t xml:space="preserve">The four strongest NAM bands fall in this region: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 (cm⁻¹)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Rel. intensity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930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Ring breathing (calc. 927)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956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unassigned — see §3.3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871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Hydroxymethyl wagging (calc. 873)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830</w:t>
            </w:r>
          </w:p>
        </w:tc>
        <w:tc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p>
            <w:pPr>
              <w:pStyle w:val="Compact"/>
              <w:jc w:val="left"/>
            </w:pPr>
            <w:r>
              <w:t xml:space="preserve">Ring deformation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This window carries the most signal and, critically, is free of interference</w:t>
      </w:r>
      <w:r>
        <w:t xml:space="preserve"> </w:t>
      </w:r>
      <w:r>
        <w:t xml:space="preserve">from the capture chemistry (§3.2).</w:t>
      </w:r>
      <w:r>
        <w:t xml:space="preserve"> </w:t>
      </w:r>
      <w:r>
        <w:rPr>
          <w:b/>
        </w:rPr>
        <w:t xml:space="preserve">It should be the primary detection window.</w:t>
      </w:r>
    </w:p>
    <w:p>
      <w:pPr>
        <w:pStyle w:val="Heading3"/>
      </w:pPr>
      <w:bookmarkStart w:id="25" w:name="Xde25e1e3f08f4955af834be81ac24972b197295"/>
      <w:r>
        <w:t xml:space="preserve">3.2 Critical finding — the reporter bands overlap NAM features</w:t>
      </w:r>
      <w:bookmarkEnd w:id="25"/>
    </w:p>
    <w:p>
      <w:pPr>
        <w:pStyle w:val="FirstParagraph"/>
      </w:pPr>
      <w:r>
        <w:t xml:space="preserve">4-Mercaptophenylboronic acid has SERS bands at</w:t>
      </w:r>
      <w:r>
        <w:t xml:space="preserve"> </w:t>
      </w:r>
      <w:r>
        <w:rPr>
          <w:b/>
        </w:rPr>
        <w:t xml:space="preserve">1072 cm⁻¹</w:t>
      </w:r>
      <w:r>
        <w:t xml:space="preserve"> </w:t>
      </w:r>
      <w:r>
        <w:t xml:space="preserve">(ring breathing)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1585 cm⁻¹</w:t>
      </w:r>
      <w:r>
        <w:t xml:space="preserve"> </w:t>
      </w:r>
      <w:r>
        <w:t xml:space="preserve">(aromatic C=C). Checking these against our measured NAM</w:t>
      </w:r>
      <w:r>
        <w:t xml:space="preserve"> </w:t>
      </w:r>
      <w:r>
        <w:t xml:space="preserve">spectrum: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4-MPBA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Nearest NAM bands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1585 cm⁻¹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 1589 cm⁻¹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+4 cm⁻¹ — unresolvable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1072 cm⁻¹</w:t>
            </w:r>
          </w:p>
        </w:tc>
        <w:tc>
          <w:p>
            <w:pPr>
              <w:pStyle w:val="Compact"/>
              <w:jc w:val="left"/>
            </w:pPr>
            <w:r>
              <w:t xml:space="preserve">NAM 1058 / 1085 cm⁻¹</w:t>
            </w:r>
          </w:p>
        </w:tc>
        <w:tc>
          <w:p>
            <w:pPr>
              <w:pStyle w:val="Compact"/>
              <w:jc w:val="left"/>
            </w:pPr>
            <w:r>
              <w:t xml:space="preserve">−14 / +13 cm⁻¹ — crowded</w:t>
            </w:r>
          </w:p>
        </w:tc>
      </w:tr>
    </w:tbl>
    <w:p>
      <w:pPr>
        <w:pStyle w:val="BodyText"/>
      </w:pPr>
      <w:r>
        <w:t xml:space="preserve">At the ~10 cm⁻¹ linewidths we measure, the 1585/1589 pair cannot be separated,</w:t>
      </w:r>
      <w:r>
        <w:t xml:space="preserve"> </w:t>
      </w:r>
      <w:r>
        <w:t xml:space="preserve">and the 1072 region is congested on both sides.</w:t>
      </w:r>
    </w:p>
    <w:p>
      <w:pPr>
        <w:pStyle w:val="BodyText"/>
      </w:pPr>
      <w:r>
        <w:rPr>
          <w:b/>
        </w:rPr>
        <w:t xml:space="preserve">Consequences for the experiment:</w:t>
      </w:r>
    </w:p>
    <w:p>
      <w:pPr>
        <w:numPr>
          <w:ilvl w:val="0"/>
          <w:numId w:val="1004"/>
        </w:numPr>
        <w:pStyle w:val="Compact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attempt NAM quantification from the 1000–1600 cm⁻¹ region on a</w:t>
      </w:r>
      <w:r>
        <w:t xml:space="preserve"> </w:t>
      </w:r>
      <w:r>
        <w:t xml:space="preserve">4-MPBA-functionalised surface. The reporter will dominate and the overlap is</w:t>
      </w:r>
      <w:r>
        <w:t xml:space="preserve"> </w:t>
      </w:r>
      <w:r>
        <w:t xml:space="preserve">unresolvable.</w:t>
      </w:r>
    </w:p>
    <w:p>
      <w:pPr>
        <w:numPr>
          <w:ilvl w:val="0"/>
          <w:numId w:val="1004"/>
        </w:numPr>
        <w:pStyle w:val="Compact"/>
      </w:pPr>
      <w:r>
        <w:t xml:space="preserve">Use 800–1000 cm⁻¹ for NAM, where the reporter contributes nothing.</w:t>
      </w:r>
    </w:p>
    <w:p>
      <w:pPr>
        <w:numPr>
          <w:ilvl w:val="0"/>
          <w:numId w:val="1004"/>
        </w:numPr>
        <w:pStyle w:val="Compact"/>
      </w:pPr>
      <w:r>
        <w:t xml:space="preserve">The overlap is not entirely a liability — the 1072 and 1585 cm⁻¹ reporter</w:t>
      </w:r>
      <w:r>
        <w:t xml:space="preserve"> </w:t>
      </w:r>
      <w:r>
        <w:t xml:space="preserve">bands can serve as an</w:t>
      </w:r>
      <w:r>
        <w:t xml:space="preserve"> </w:t>
      </w:r>
      <w:r>
        <w:rPr>
          <w:b/>
        </w:rPr>
        <w:t xml:space="preserve">internal intensity reference</w:t>
      </w:r>
      <w:r>
        <w:t xml:space="preserve">, since they are present</w:t>
      </w:r>
      <w:r>
        <w:t xml:space="preserve"> </w:t>
      </w:r>
      <w:r>
        <w:t xml:space="preserve">regardless of whether analyte binds. A ratiometric measurement such as</w:t>
      </w:r>
      <w:r>
        <w:t xml:space="preserve"> </w:t>
      </w:r>
      <w:r>
        <w:t xml:space="preserve">I(930)/I(1072) is far more robust than absolute intensity, which varies with</w:t>
      </w:r>
      <w:r>
        <w:t xml:space="preserve"> </w:t>
      </w:r>
      <w:r>
        <w:t xml:space="preserve">hotspot density between substrates and between spots.</w:t>
      </w:r>
    </w:p>
    <w:p>
      <w:pPr>
        <w:pStyle w:val="FirstParagraph"/>
      </w:pPr>
      <w:r>
        <w:t xml:space="preserve">This is the kind of problem that is cheap to design around now and expensive to</w:t>
      </w:r>
      <w:r>
        <w:t xml:space="preserve"> </w:t>
      </w:r>
      <w:r>
        <w:t xml:space="preserve">discover after three months of measurements.</w:t>
      </w:r>
    </w:p>
    <w:p>
      <w:pPr>
        <w:pStyle w:val="Heading3"/>
      </w:pPr>
      <w:bookmarkStart w:id="26" w:name="the-956-cm¹-band"/>
      <w:r>
        <w:t xml:space="preserve">3.3 The 956 cm⁻¹ band</w:t>
      </w:r>
      <w:bookmarkEnd w:id="26"/>
    </w:p>
    <w:p>
      <w:pPr>
        <w:pStyle w:val="FirstParagraph"/>
      </w:pPr>
      <w:r>
        <w:t xml:space="preserve">This is the second-strongest band in the spectrum, detected in every one of the</w:t>
      </w:r>
      <w:r>
        <w:t xml:space="preserve"> </w:t>
      </w:r>
      <w:r>
        <w:t xml:space="preserve">22 reference measurements, and it has</w:t>
      </w:r>
      <w:r>
        <w:t xml:space="preserve"> </w:t>
      </w:r>
      <w:r>
        <w:rPr>
          <w:b/>
        </w:rPr>
        <w:t xml:space="preserve">no calculated counterpart</w:t>
      </w:r>
      <w:r>
        <w:t xml:space="preserve">. It is</w:t>
      </w:r>
      <w:r>
        <w:t xml:space="preserve"> </w:t>
      </w:r>
      <w:r>
        <w:t xml:space="preserve">attributed provisionally to the anomeric mixture in the sample or to crystal</w:t>
      </w:r>
      <w:r>
        <w:t xml:space="preserve"> </w:t>
      </w:r>
      <w:r>
        <w:t xml:space="preserve">packing.</w:t>
      </w:r>
    </w:p>
    <w:p>
      <w:pPr>
        <w:pStyle w:val="BodyText"/>
      </w:pPr>
      <w:r>
        <w:t xml:space="preserve">For detection purposes this does not matter — an unassigned band is still a</w:t>
      </w:r>
      <w:r>
        <w:t xml:space="preserve"> </w:t>
      </w:r>
      <w:r>
        <w:t xml:space="preserve">reliable marker if it is reproducible, and this one is. But it should be watched:</w:t>
      </w:r>
      <w:r>
        <w:t xml:space="preserve"> </w:t>
      </w:r>
      <w:r>
        <w:t xml:space="preserve">if it behaves differently from the assigned bands on the substrate, that would be</w:t>
      </w:r>
      <w:r>
        <w:t xml:space="preserve"> </w:t>
      </w:r>
      <w:r>
        <w:t xml:space="preserve">informative about adsorption geometry.</w:t>
      </w:r>
    </w:p>
    <w:p>
      <w:pPr>
        <w:pStyle w:val="Heading3"/>
      </w:pPr>
      <w:bookmarkStart w:id="27" w:name="what-we-expect-sers-to-change"/>
      <w:r>
        <w:t xml:space="preserve">3.4 What we expect SERS to change</w:t>
      </w:r>
      <w:bookmarkEnd w:id="27"/>
    </w:p>
    <w:p>
      <w:pPr>
        <w:pStyle w:val="FirstParagraph"/>
      </w:pPr>
      <w:r>
        <w:t xml:space="preserve">SERS is not simply amplified Raman. Surface selection rules mean modes with</w:t>
      </w:r>
      <w:r>
        <w:t xml:space="preserve"> </w:t>
      </w:r>
      <w:r>
        <w:t xml:space="preserve">polarisability change perpendicular to the metal surface are enhanced most, so</w:t>
      </w:r>
      <w:r>
        <w:t xml:space="preserve"> </w:t>
      </w:r>
      <w:r>
        <w:rPr>
          <w:b/>
        </w:rPr>
        <w:t xml:space="preserve">relative intensities will differ from the powder spectrum</w:t>
      </w:r>
      <w:r>
        <w:t xml:space="preserve"> </w:t>
      </w:r>
      <w:r>
        <w:t xml:space="preserve">even though band</w:t>
      </w:r>
      <w:r>
        <w:t xml:space="preserve"> </w:t>
      </w:r>
      <w:r>
        <w:t xml:space="preserve">positions are largely preserved.</w:t>
      </w:r>
    </w:p>
    <w:p>
      <w:pPr>
        <w:pStyle w:val="BodyText"/>
      </w:pPr>
      <w:r>
        <w:t xml:space="preserve">This is scientifically useful rather than a nuisance. Comparing enhanced with</w:t>
      </w:r>
      <w:r>
        <w:t xml:space="preserve"> </w:t>
      </w:r>
      <w:r>
        <w:t xml:space="preserve">non-enhanced spectra is how adsorption geometry is inferred — and our</w:t>
      </w:r>
      <w:r>
        <w:t xml:space="preserve"> </w:t>
      </w:r>
      <w:r>
        <w:t xml:space="preserve">non-enhanced reference spectrum is exactly the baseline that comparison requires.</w:t>
      </w:r>
      <w:r>
        <w:t xml:space="preserve"> </w:t>
      </w:r>
      <w:r>
        <w:t xml:space="preserve">Most SERS studies cannot do this because they lack a properly characterised</w:t>
      </w:r>
      <w:r>
        <w:t xml:space="preserve"> </w:t>
      </w:r>
      <w:r>
        <w:t xml:space="preserve">reference.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taged-experimental-plan"/>
      <w:r>
        <w:t xml:space="preserve">4. Staged experimental plan</w:t>
      </w:r>
      <w:bookmarkEnd w:id="28"/>
    </w:p>
    <w:p>
      <w:pPr>
        <w:pStyle w:val="FirstParagraph"/>
      </w:pPr>
      <w:r>
        <w:t xml:space="preserve">Each stage has a go/no-go criterion. Do not proceed past a failed stage.</w:t>
      </w:r>
    </w:p>
    <w:p>
      <w:pPr>
        <w:pStyle w:val="Heading3"/>
      </w:pPr>
      <w:bookmarkStart w:id="29" w:name="X2fd170554a144255e6eb26ea5e26414887aaf97"/>
      <w:r>
        <w:t xml:space="preserve">Stage 1 — Restore substrate reproducibility</w:t>
      </w:r>
      <w:bookmarkEnd w:id="29"/>
    </w:p>
    <w:p>
      <w:pPr>
        <w:pStyle w:val="FirstParagraph"/>
      </w:pPr>
      <w:r>
        <w:rPr>
          <w:i/>
        </w:rPr>
        <w:t xml:space="preserve">Prerequisite for everything else.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Fresh HF/AgNO₃ per batch; documented cleaning protocol; blank spectrum recorded after each fabrication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change</w:t>
            </w:r>
          </w:p>
        </w:tc>
        <w:tc>
          <w:p>
            <w:pPr>
              <w:pStyle w:val="Compact"/>
              <w:jc w:val="left"/>
            </w:pPr>
            <w:r>
              <w:t xml:space="preserve">Record a bare-substrate spectrum</w:t>
            </w:r>
            <w:r>
              <w:t xml:space="preserve"> </w:t>
            </w:r>
            <w:r>
              <w:rPr>
                <w:b/>
              </w:rPr>
              <w:t xml:space="preserve">before</w:t>
            </w:r>
            <w:r>
              <w:t xml:space="preserve"> </w:t>
            </w:r>
            <w:r>
              <w:t xml:space="preserve">any probe molecule, to identify where contamination enters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molecule</w:t>
            </w:r>
          </w:p>
        </w:tc>
        <w:tc>
          <w:p>
            <w:pPr>
              <w:pStyle w:val="Compact"/>
              <w:jc w:val="left"/>
            </w:pPr>
            <w:r>
              <w:t xml:space="preserve">Rhodamine 6G, single concentration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criterion</w:t>
            </w:r>
          </w:p>
        </w:tc>
        <w:tc>
          <w:p>
            <w:pPr>
              <w:pStyle w:val="Compact"/>
              <w:jc w:val="left"/>
            </w:pPr>
            <w:r>
              <w:t xml:space="preserve">R6G enhancement reproducible across ≥3 substrates and ≥5 spots each, with the June band positions recovered</w:t>
            </w:r>
          </w:p>
        </w:tc>
      </w:tr>
    </w:tbl>
    <w:p>
      <w:pPr>
        <w:pStyle w:val="BodyText"/>
      </w:pPr>
      <w:r>
        <w:t xml:space="preserve">Reducing to a single R6G concentration is deliberate. The July trials varied</w:t>
      </w:r>
      <w:r>
        <w:t xml:space="preserve"> </w:t>
      </w:r>
      <w:r>
        <w:t xml:space="preserve">concentration and fabrication simultaneously, so a failure could not be traced.</w:t>
      </w:r>
      <w:r>
        <w:t xml:space="preserve"> </w:t>
      </w:r>
      <w:r>
        <w:t xml:space="preserve">Fix one variable at a time.</w:t>
      </w:r>
    </w:p>
    <w:p>
      <w:pPr>
        <w:pStyle w:val="Heading3"/>
      </w:pPr>
      <w:bookmarkStart w:id="30" w:name="stage-2-boronic-acid-monolayer"/>
      <w:r>
        <w:t xml:space="preserve">Stage 2 — Boronic acid monolayer</w:t>
      </w:r>
      <w:bookmarkEnd w:id="3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4-MPBA self-assembly on the Ag surface via the thiol 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Confirm the 1072 and 1585 cm⁻¹ reporter bands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criterion</w:t>
            </w:r>
          </w:p>
        </w:tc>
        <w:tc>
          <w:p>
            <w:pPr>
              <w:pStyle w:val="Compact"/>
              <w:jc w:val="left"/>
            </w:pPr>
            <w:r>
              <w:t xml:space="preserve">Reporter bands present, stable over ≥1 h, and reproducible across substrates (CV &lt; 15%)</w:t>
            </w:r>
          </w:p>
        </w:tc>
      </w:tr>
    </w:tbl>
    <w:p>
      <w:pPr>
        <w:pStyle w:val="BodyText"/>
      </w:pPr>
      <w:r>
        <w:t xml:space="preserve">This stage doubles as a substrate quality-control metric. A well-formed monolayer</w:t>
      </w:r>
      <w:r>
        <w:t xml:space="preserve"> </w:t>
      </w:r>
      <w:r>
        <w:t xml:space="preserve">gives a consistent reporter signal; an inconsistent one indicates the underlying</w:t>
      </w:r>
      <w:r>
        <w:t xml:space="preserve"> </w:t>
      </w:r>
      <w:r>
        <w:t xml:space="preserve">substrate is still variable.</w:t>
      </w:r>
      <w:r>
        <w:t xml:space="preserve"> </w:t>
      </w:r>
      <w:r>
        <w:rPr>
          <w:b/>
        </w:rPr>
        <w:t xml:space="preserve">This is a better QC test than R6G</w:t>
      </w:r>
      <w:r>
        <w:t xml:space="preserve"> </w:t>
      </w:r>
      <w:r>
        <w:t xml:space="preserve">because it</w:t>
      </w:r>
      <w:r>
        <w:t xml:space="preserve"> </w:t>
      </w:r>
      <w:r>
        <w:t xml:space="preserve">probes the actual working surface.</w:t>
      </w:r>
    </w:p>
    <w:p>
      <w:pPr>
        <w:pStyle w:val="Heading3"/>
      </w:pPr>
      <w:bookmarkStart w:id="31" w:name="stage-3-confirm-diol-binding"/>
      <w:r>
        <w:t xml:space="preserve">Stage 3 — Confirm diol binding</w:t>
      </w:r>
      <w:bookmarkEnd w:id="3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Expose the functionalised surface to a simple sugar (fructose binds most strongly among common sugars)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Readout</w:t>
            </w:r>
          </w:p>
        </w:tc>
        <w:tc>
          <w:p>
            <w:pPr>
              <w:pStyle w:val="Compact"/>
              <w:jc w:val="left"/>
            </w:pPr>
            <w:r>
              <w:t xml:space="preserve">Change in the 1072 and 1585 cm⁻¹ reporter bands on boronate ester 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criterion</w:t>
            </w:r>
          </w:p>
        </w:tc>
        <w:tc>
          <w:p>
            <w:pPr>
              <w:pStyle w:val="Compact"/>
              <w:jc w:val="left"/>
            </w:pPr>
            <w:r>
              <w:t xml:space="preserve">Reproducible, reversible spectral change on binding and on acid washing</w:t>
            </w:r>
          </w:p>
        </w:tc>
      </w:tr>
    </w:tbl>
    <w:p>
      <w:pPr>
        <w:pStyle w:val="BodyText"/>
      </w:pPr>
      <w:r>
        <w:t xml:space="preserve">This proves the capture chemistry works before introducing the complexity of NAM</w:t>
      </w:r>
      <w:r>
        <w:t xml:space="preserve"> </w:t>
      </w:r>
      <w:r>
        <w:t xml:space="preserve">or bacteria.</w:t>
      </w:r>
    </w:p>
    <w:p>
      <w:pPr>
        <w:pStyle w:val="Heading3"/>
      </w:pPr>
      <w:bookmarkStart w:id="32" w:name="stage-4-nam-detection-in-buffer"/>
      <w:r>
        <w:t xml:space="preserve">Stage 4 — NAM detection in buffer</w:t>
      </w:r>
      <w:bookmarkEnd w:id="32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Concentrations</w:t>
            </w:r>
          </w:p>
        </w:tc>
        <w:tc>
          <w:p>
            <w:pPr>
              <w:pStyle w:val="Compact"/>
              <w:jc w:val="left"/>
            </w:pPr>
            <w:r>
              <w:t xml:space="preserve">Decade series, 1 mg/mL down to 1 µg/mL initially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window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800–1000 cm⁻¹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bands</w:t>
            </w:r>
          </w:p>
        </w:tc>
        <w:tc>
          <w:p>
            <w:pPr>
              <w:pStyle w:val="Compact"/>
              <w:jc w:val="left"/>
            </w:pPr>
            <w:r>
              <w:t xml:space="preserve">930, 956, 871, 830 cm⁻¹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bands</w:t>
            </w:r>
          </w:p>
        </w:tc>
        <w:tc>
          <w:p>
            <w:pPr>
              <w:pStyle w:val="Compact"/>
              <w:jc w:val="left"/>
            </w:pPr>
            <w:r>
              <w:t xml:space="preserve">1072 or 1585 cm⁻¹ (4-MPBA)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I(930)/I(1072) versus concentration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Replication</w:t>
            </w:r>
          </w:p>
        </w:tc>
        <w:tc>
          <w:p>
            <w:pPr>
              <w:pStyle w:val="Compact"/>
              <w:jc w:val="left"/>
            </w:pPr>
            <w:r>
              <w:t xml:space="preserve">≥5 spots per concentration, fresh substrate per concentration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criterion</w:t>
            </w:r>
          </w:p>
        </w:tc>
        <w:tc>
          <w:p>
            <w:pPr>
              <w:pStyle w:val="Compact"/>
              <w:jc w:val="left"/>
            </w:pPr>
            <w:r>
              <w:t xml:space="preserve">Monotonic dose–response over ≥2 decades; band positions matching the reference spectrum within ±10 cm⁻¹</w:t>
            </w:r>
          </w:p>
        </w:tc>
      </w:tr>
    </w:tbl>
    <w:p>
      <w:pPr>
        <w:pStyle w:val="BodyText"/>
      </w:pPr>
      <w:r>
        <w:t xml:space="preserve">Also record the full 400–1800 cm⁻¹ range even though only part is used for</w:t>
      </w:r>
      <w:r>
        <w:t xml:space="preserve"> </w:t>
      </w:r>
      <w:r>
        <w:t xml:space="preserve">quantification — the relative intensity changes across the whole spectrum carry</w:t>
      </w:r>
      <w:r>
        <w:t xml:space="preserve"> </w:t>
      </w:r>
      <w:r>
        <w:t xml:space="preserve">the adsorption-geometry information described in §3.4.</w:t>
      </w:r>
    </w:p>
    <w:p>
      <w:pPr>
        <w:pStyle w:val="Heading3"/>
      </w:pPr>
      <w:bookmarkStart w:id="33" w:name="stage-5-limit-of-detection"/>
      <w:r>
        <w:t xml:space="preserve">Stage 5 — Limit of detection</w:t>
      </w:r>
      <w:bookmarkEnd w:id="33"/>
    </w:p>
    <w:p>
      <w:pPr>
        <w:pStyle w:val="FirstParagraph"/>
      </w:pPr>
      <w:r>
        <w:t xml:space="preserve">Extend the concentration series downward until the 930 cm⁻¹ band falls below</w:t>
      </w:r>
      <w:r>
        <w:t xml:space="preserve"> </w:t>
      </w:r>
      <w:r>
        <w:t xml:space="preserve">three times the local noise, using the same two-criterion validation developed</w:t>
      </w:r>
      <w:r>
        <w:t xml:space="preserve"> </w:t>
      </w:r>
      <w:r>
        <w:t xml:space="preserve">for the powder work.</w:t>
      </w:r>
    </w:p>
    <w:p>
      <w:pPr>
        <w:pStyle w:val="BodyText"/>
      </w:pPr>
      <w:r>
        <w:rPr>
          <w:b/>
        </w:rPr>
        <w:t xml:space="preserve">Go criterion:</w:t>
      </w:r>
      <w:r>
        <w:t xml:space="preserve"> </w:t>
      </w:r>
      <w:r>
        <w:t xml:space="preserve">LOD established with stated confidence, ideally below 1 µg/mL.</w:t>
      </w:r>
    </w:p>
    <w:p>
      <w:pPr>
        <w:pStyle w:val="Heading3"/>
      </w:pPr>
      <w:bookmarkStart w:id="34" w:name="stage-6-selectivity"/>
      <w:r>
        <w:t xml:space="preserve">Stage 6 — Selectivity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N-acetylglucosamine</w:t>
            </w:r>
          </w:p>
        </w:tc>
        <w:tc>
          <w:p>
            <w:pPr>
              <w:pStyle w:val="Compact"/>
              <w:jc w:val="left"/>
            </w:pPr>
            <w:r>
              <w:t xml:space="preserve">The closest structural analogue; discrimination here is the real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Glucose</w:t>
            </w:r>
          </w:p>
        </w:tc>
        <w:tc>
          <w:p>
            <w:pPr>
              <w:pStyle w:val="Compact"/>
              <w:jc w:val="left"/>
            </w:pPr>
            <w:r>
              <w:t xml:space="preserve">The principal interferent in blood, at 5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 + glucose mixture</w:t>
            </w:r>
          </w:p>
        </w:tc>
        <w:tc>
          <w:p>
            <w:pPr>
              <w:pStyle w:val="Compact"/>
              <w:jc w:val="left"/>
            </w:pPr>
            <w:r>
              <w:t xml:space="preserve">Quantify competitive displacement</w:t>
            </w:r>
          </w:p>
        </w:tc>
      </w:tr>
    </w:tbl>
    <w:p>
      <w:pPr>
        <w:pStyle w:val="BodyText"/>
      </w:pPr>
      <w:r>
        <w:rPr>
          <w:b/>
        </w:rPr>
        <w:t xml:space="preserve">Go criterion:</w:t>
      </w:r>
      <w:r>
        <w:t xml:space="preserve"> </w:t>
      </w:r>
      <w:r>
        <w:t xml:space="preserve">NAM detectable in the presence of physiological glucose, or a</w:t>
      </w:r>
      <w:r>
        <w:t xml:space="preserve"> </w:t>
      </w:r>
      <w:r>
        <w:t xml:space="preserve">documented sample-preparation requirement to remove it.</w:t>
      </w:r>
    </w:p>
    <w:p>
      <w:pPr>
        <w:pStyle w:val="BodyText"/>
      </w:pPr>
      <w:r>
        <w:t xml:space="preserve">The GlcNAc comparison is where the DFT work pays off directly. The lactyl group</w:t>
      </w:r>
      <w:r>
        <w:t xml:space="preserve"> </w:t>
      </w:r>
      <w:r>
        <w:t xml:space="preserve">is what chemically distinguishes NAM, and bands carrying lactyl character —</w:t>
      </w:r>
      <w:r>
        <w:t xml:space="preserve"> </w:t>
      </w:r>
      <w:r>
        <w:t xml:space="preserve">1337–1385 cm⁻¹ and the carboxyl stretch above 1750 cm⁻¹ — are in principle the</w:t>
      </w:r>
      <w:r>
        <w:t xml:space="preserve"> </w:t>
      </w:r>
      <w:r>
        <w:t xml:space="preserve">discriminating features. Note, however, that these fall in the region congested</w:t>
      </w:r>
      <w:r>
        <w:t xml:space="preserve"> </w:t>
      </w:r>
      <w:r>
        <w:t xml:space="preserve">by the reporter, so this measurement may need a different reporter or a</w:t>
      </w:r>
      <w:r>
        <w:t xml:space="preserve"> </w:t>
      </w:r>
      <w:r>
        <w:t xml:space="preserve">label-free surface.</w:t>
      </w:r>
    </w:p>
    <w:p>
      <w:pPr>
        <w:pStyle w:val="Heading3"/>
      </w:pPr>
      <w:bookmarkStart w:id="35" w:name="stage-7-complex-matrix"/>
      <w:r>
        <w:t xml:space="preserve">Stage 7 — Complex matrix</w:t>
      </w:r>
      <w:bookmarkEnd w:id="35"/>
    </w:p>
    <w:p>
      <w:pPr>
        <w:pStyle w:val="FirstParagraph"/>
      </w:pPr>
      <w:r>
        <w:t xml:space="preserve">Serum, then whole blood, then spiked bacterial samples. Not yet planned in</w:t>
      </w:r>
      <w:r>
        <w:t xml:space="preserve"> </w:t>
      </w:r>
      <w:r>
        <w:t xml:space="preserve">detail; scope depends on the outcome of Stage 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arallel-computational-work"/>
      <w:r>
        <w:t xml:space="preserve">5. Parallel computational work</w:t>
      </w:r>
      <w:bookmarkEnd w:id="36"/>
    </w:p>
    <w:p>
      <w:pPr>
        <w:pStyle w:val="FirstParagraph"/>
      </w:pPr>
      <w:r>
        <w:t xml:space="preserve">These require no instrument time and can proceed while substrate work continues.</w:t>
      </w:r>
    </w:p>
    <w:p>
      <w:pPr>
        <w:pStyle w:val="BodyText"/>
      </w:pPr>
      <w:r>
        <w:rPr>
          <w:b/>
        </w:rPr>
        <w:t xml:space="preserve">α anomer calculation.</w:t>
      </w:r>
      <w:r>
        <w:t xml:space="preserve"> </w:t>
      </w:r>
      <w:r>
        <w:t xml:space="preserve">The sample is an anomeric mixture but only the β anomer</w:t>
      </w:r>
      <w:r>
        <w:t xml:space="preserve"> </w:t>
      </w:r>
      <w:r>
        <w:t xml:space="preserve">was computed. This would test whether the unassigned 830 and 956 cm⁻¹ bands have</w:t>
      </w:r>
      <w:r>
        <w:t xml:space="preserve"> </w:t>
      </w:r>
      <w:r>
        <w:t xml:space="preserve">an anomeric origin, closing the last gap in the assignment.</w:t>
      </w:r>
    </w:p>
    <w:p>
      <w:pPr>
        <w:pStyle w:val="BodyText"/>
      </w:pPr>
      <w:r>
        <w:rPr>
          <w:b/>
        </w:rPr>
        <w:t xml:space="preserve">N-acetylglucosamine at matched level of theory.</w:t>
      </w:r>
      <w:r>
        <w:t xml:space="preserve"> </w:t>
      </w:r>
      <w:r>
        <w:t xml:space="preserve">A GlcNAc calculation exists</w:t>
      </w:r>
      <w:r>
        <w:t xml:space="preserve"> </w:t>
      </w:r>
      <w:r>
        <w:t xml:space="preserve">in the project files but at unknown settings. Recomputing at</w:t>
      </w:r>
      <w:r>
        <w:t xml:space="preserve"> </w:t>
      </w:r>
      <w:r>
        <w:t xml:space="preserve">B3LYP-D3BJ/6-311++G(d,p) would identify which bands discriminate the two</w:t>
      </w:r>
      <w:r>
        <w:t xml:space="preserve"> </w:t>
      </w:r>
      <w:r>
        <w:t xml:space="preserve">peptidoglycan sugars — directly supporting Stage 6, and a strong addition to the</w:t>
      </w:r>
      <w:r>
        <w:t xml:space="preserve"> </w:t>
      </w:r>
      <w:r>
        <w:t xml:space="preserve">manuscript in its own right.</w:t>
      </w:r>
    </w:p>
    <w:p>
      <w:pPr>
        <w:pStyle w:val="BodyText"/>
      </w:pPr>
      <w:r>
        <w:rPr>
          <w:b/>
        </w:rPr>
        <w:t xml:space="preserve">Boronate ester model.</w:t>
      </w:r>
      <w:r>
        <w:t xml:space="preserve"> </w:t>
      </w:r>
      <w:r>
        <w:t xml:space="preserve">Computing NAM or a model diol bound to phenylboronic</w:t>
      </w:r>
      <w:r>
        <w:t xml:space="preserve"> </w:t>
      </w:r>
      <w:r>
        <w:t xml:space="preserve">acid would predict which bands shift on binding, giving an expected signature to</w:t>
      </w:r>
      <w:r>
        <w:t xml:space="preserve"> </w:t>
      </w:r>
      <w:r>
        <w:t xml:space="preserve">look for rather than an empirical search.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rincipal-risks"/>
      <w:r>
        <w:t xml:space="preserve">6. Principal risks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Substrate reproducibility not restored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Systematic contamination isolation; consider commercial SERS substrate as a control to separate substrate problems from chemistry problems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Boronic acid binds NAM weakly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Medium–high</w:t>
            </w:r>
          </w:p>
        </w:tc>
        <w:tc>
          <w:p>
            <w:pPr>
              <w:pStyle w:val="Compact"/>
              <w:jc w:val="left"/>
            </w:pPr>
            <w:r>
              <w:t xml:space="preserve">NAM’s C-2 acetamido and C-3 lactyl block the usual 1,2-diol site — see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 bands swamp analyte bands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the 800–1000 cm⁻¹ window; ratiometric readout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Glucose outcompetes NAM</w:t>
            </w:r>
          </w:p>
        </w:tc>
        <w:tc>
          <w:p>
            <w:pPr>
              <w:pStyle w:val="Compact"/>
              <w:jc w:val="left"/>
            </w:pPr>
            <w:r>
              <w:t xml:space="preserve">High in blood</w:t>
            </w:r>
          </w:p>
        </w:tc>
        <w:tc>
          <w:p>
            <w:pPr>
              <w:pStyle w:val="Compact"/>
              <w:jc w:val="left"/>
            </w:pPr>
            <w:r>
              <w:t xml:space="preserve">Sample preparation; lower-pKa ligand; multivalent avidity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Laser damage on plasmonic substrate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Field concentration lowers the damage threshold below the powder values; re-establish limits on the actual substrate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d302f2a672d03634825316c5e9c38b42d0eea30"/>
      <w:r>
        <w:t xml:space="preserve">7. An honest concern that should be tested early</w:t>
      </w:r>
      <w:bookmarkEnd w:id="38"/>
    </w:p>
    <w:p>
      <w:pPr>
        <w:pStyle w:val="FirstParagraph"/>
      </w:pPr>
      <w:r>
        <w:t xml:space="preserve">Boronate ester formation requires a suitable cis-diol. In NAM,</w:t>
      </w:r>
      <w:r>
        <w:t xml:space="preserve"> </w:t>
      </w:r>
      <w:r>
        <w:rPr>
          <w:b/>
        </w:rPr>
        <w:t xml:space="preserve">C-2 carries the</w:t>
      </w:r>
      <w:r>
        <w:rPr>
          <w:b/>
        </w:rPr>
        <w:t xml:space="preserve"> </w:t>
      </w:r>
      <w:r>
        <w:rPr>
          <w:b/>
        </w:rPr>
        <w:t xml:space="preserve">acetamido group and C-3 the lactyl ether</w:t>
      </w:r>
      <w:r>
        <w:t xml:space="preserve">, so the 1,2-diol site normally used</w:t>
      </w:r>
      <w:r>
        <w:t xml:space="preserve"> </w:t>
      </w:r>
      <w:r>
        <w:t xml:space="preserve">for boronic acid binding is not available. Free NAM may therefore bind boronic</w:t>
      </w:r>
      <w:r>
        <w:t xml:space="preserve"> </w:t>
      </w:r>
      <w:r>
        <w:t xml:space="preserve">acid only weakly, through the C-4 and C-6 hydroxyls, which are not adjacent.</w:t>
      </w:r>
    </w:p>
    <w:p>
      <w:pPr>
        <w:pStyle w:val="BodyText"/>
      </w:pPr>
      <w:r>
        <w:t xml:space="preserve">This does not undermine the sensor concept — on</w:t>
      </w:r>
      <w:r>
        <w:t xml:space="preserve"> </w:t>
      </w:r>
      <w:r>
        <w:rPr>
          <w:b/>
        </w:rPr>
        <w:t xml:space="preserve">intact bacteria</w:t>
      </w:r>
      <w:r>
        <w:t xml:space="preserve">, capture is</w:t>
      </w:r>
      <w:r>
        <w:t xml:space="preserve"> </w:t>
      </w:r>
      <w:r>
        <w:t xml:space="preserve">thought to occur mainly through LPS and teichoic acids, which are diol-rich, not</w:t>
      </w:r>
      <w:r>
        <w:t xml:space="preserve"> </w:t>
      </w:r>
      <w:r>
        <w:t xml:space="preserve">through the peptidoglycan backbone. But it does mean that</w:t>
      </w:r>
      <w:r>
        <w:t xml:space="preserve"> </w:t>
      </w:r>
      <w:r>
        <w:rPr>
          <w:b/>
        </w:rPr>
        <w:t xml:space="preserve">free NAM in solution</w:t>
      </w:r>
      <w:r>
        <w:rPr>
          <w:b/>
        </w:rPr>
        <w:t xml:space="preserve"> </w:t>
      </w:r>
      <w:r>
        <w:rPr>
          <w:b/>
        </w:rPr>
        <w:t xml:space="preserve">may be a poor test analyte for boronic acid capture</w:t>
      </w:r>
      <w:r>
        <w:t xml:space="preserve">, even though it is the</w:t>
      </w:r>
      <w:r>
        <w:t xml:space="preserve"> </w:t>
      </w:r>
      <w:r>
        <w:t xml:space="preserve">biomarker of interest.</w:t>
      </w:r>
    </w:p>
    <w:p>
      <w:pPr>
        <w:pStyle w:val="BodyText"/>
      </w:pPr>
      <w:r>
        <w:rPr>
          <w:b/>
        </w:rPr>
        <w:t xml:space="preserve">Recommended test, early and cheap:</w:t>
      </w:r>
      <w:r>
        <w:t xml:space="preserve"> </w:t>
      </w:r>
      <w:r>
        <w:t xml:space="preserve">before committing to the full</w:t>
      </w:r>
      <w:r>
        <w:t xml:space="preserve"> </w:t>
      </w:r>
      <w:r>
        <w:t xml:space="preserve">concentration series, run a simple binding check — expose the functionalised</w:t>
      </w:r>
      <w:r>
        <w:t xml:space="preserve"> </w:t>
      </w:r>
      <w:r>
        <w:t xml:space="preserve">surface to NAM solution and to fructose solution at comparable concentration and</w:t>
      </w:r>
      <w:r>
        <w:t xml:space="preserve"> </w:t>
      </w:r>
      <w:r>
        <w:t xml:space="preserve">compare the reporter-band response. If NAM gives little or no response while</w:t>
      </w:r>
      <w:r>
        <w:t xml:space="preserve"> </w:t>
      </w:r>
      <w:r>
        <w:t xml:space="preserve">fructose does, the capture chemistry is working but NAM is not a suitable target</w:t>
      </w:r>
      <w:r>
        <w:t xml:space="preserve"> </w:t>
      </w:r>
      <w:r>
        <w:t xml:space="preserve">for it, and the strategy needs rethinking at that point rather than after Stage 5.</w:t>
      </w:r>
    </w:p>
    <w:p>
      <w:pPr>
        <w:pStyle w:val="BodyText"/>
      </w:pPr>
      <w:r>
        <w:t xml:space="preserve">Possible responses if that turns out to be the case:</w:t>
      </w:r>
    </w:p>
    <w:p>
      <w:pPr>
        <w:numPr>
          <w:ilvl w:val="0"/>
          <w:numId w:val="1005"/>
        </w:numPr>
        <w:pStyle w:val="Compact"/>
      </w:pPr>
      <w:r>
        <w:t xml:space="preserve">detect NAM by direct SERS adsorption without boronic acid capture</w:t>
      </w:r>
    </w:p>
    <w:p>
      <w:pPr>
        <w:numPr>
          <w:ilvl w:val="0"/>
          <w:numId w:val="1005"/>
        </w:numPr>
        <w:pStyle w:val="Compact"/>
      </w:pPr>
      <w:r>
        <w:t xml:space="preserve">target intact bacteria or cell-wall fragments rather than free NAM</w:t>
      </w:r>
    </w:p>
    <w:p>
      <w:pPr>
        <w:numPr>
          <w:ilvl w:val="0"/>
          <w:numId w:val="1005"/>
        </w:numPr>
        <w:pStyle w:val="Compact"/>
      </w:pPr>
      <w:r>
        <w:t xml:space="preserve">use boronic acid for bacterial capture and the Raman fingerprint for</w:t>
      </w:r>
      <w:r>
        <w:t xml:space="preserve"> </w:t>
      </w:r>
      <w:r>
        <w:t xml:space="preserve">identification, treating NAM as a spectral marker rather than a binding target</w:t>
      </w:r>
    </w:p>
    <w:p>
      <w:pPr>
        <w:pStyle w:val="FirstParagraph"/>
      </w:pPr>
      <w:r>
        <w:t xml:space="preserve">The third option is the architecture already proposed, and it does not require</w:t>
      </w:r>
      <w:r>
        <w:t xml:space="preserve"> </w:t>
      </w:r>
      <w:r>
        <w:t xml:space="preserve">NAM to bind boronic acid at all. Worth stating clearly so the strategy is not</w:t>
      </w:r>
      <w:r>
        <w:t xml:space="preserve"> </w:t>
      </w:r>
      <w:r>
        <w:t xml:space="preserve">mistakenly judged on the wrong criterion.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indicative-timeline"/>
      <w:r>
        <w:t xml:space="preserve">8. Indicative timeline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Weeks 1–3</w:t>
            </w:r>
          </w:p>
        </w:tc>
        <w:tc>
          <w:p>
            <w:pPr>
              <w:pStyle w:val="Compact"/>
              <w:jc w:val="left"/>
            </w:pPr>
            <w:r>
              <w:t xml:space="preserve">Stage 1 — substrate reproducibility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Weeks 3–4</w:t>
            </w:r>
          </w:p>
        </w:tc>
        <w:tc>
          <w:p>
            <w:pPr>
              <w:pStyle w:val="Compact"/>
              <w:jc w:val="left"/>
            </w:pPr>
            <w:r>
              <w:t xml:space="preserve">Stage 2 — monolayer; Stage 3 — diol binding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Early NAM binding test (§7)</w:t>
            </w:r>
            <w:r>
              <w:t xml:space="preserve"> </w:t>
            </w:r>
            <w:r>
              <w:t xml:space="preserve">— decision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Weeks 5–7</w:t>
            </w:r>
          </w:p>
        </w:tc>
        <w:tc>
          <w:p>
            <w:pPr>
              <w:pStyle w:val="Compact"/>
              <w:jc w:val="left"/>
            </w:pPr>
            <w:r>
              <w:t xml:space="preserve">Stage 4 — concentration series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Weeks 7–8</w:t>
            </w:r>
          </w:p>
        </w:tc>
        <w:tc>
          <w:p>
            <w:pPr>
              <w:pStyle w:val="Compact"/>
              <w:jc w:val="left"/>
            </w:pPr>
            <w:r>
              <w:t xml:space="preserve">Stage 5 — limit of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Weeks 9–11</w:t>
            </w:r>
          </w:p>
        </w:tc>
        <w:tc>
          <w:p>
            <w:pPr>
              <w:pStyle w:val="Compact"/>
              <w:jc w:val="left"/>
            </w:pPr>
            <w:r>
              <w:t xml:space="preserve">Stage 6 — selectivity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Throughout</w:t>
            </w:r>
          </w:p>
        </w:tc>
        <w:tc>
          <w:p>
            <w:pPr>
              <w:pStyle w:val="Compact"/>
              <w:jc w:val="left"/>
            </w:pPr>
            <w:r>
              <w:t xml:space="preserve">Parallel computational work; NAM manuscript submission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ummary"/>
      <w:r>
        <w:t xml:space="preserve">9. Summary</w:t>
      </w:r>
      <w:bookmarkEnd w:id="40"/>
    </w:p>
    <w:p>
      <w:pPr>
        <w:pStyle w:val="FirstParagraph"/>
      </w:pPr>
      <w:r>
        <w:t xml:space="preserve">The detection strategy rests on three decisions, each grounded in work already</w:t>
      </w:r>
      <w:r>
        <w:t xml:space="preserve"> </w:t>
      </w:r>
      <w:r>
        <w:t xml:space="preserve">completed: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Monitor 800–1000 cm⁻¹</w:t>
      </w:r>
      <w:r>
        <w:t xml:space="preserve">, where NAM’s four strongest bands lie and the</w:t>
      </w:r>
      <w:r>
        <w:t xml:space="preserve"> </w:t>
      </w:r>
      <w:r>
        <w:t xml:space="preserve">capture reporter does not interfere.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Measure ratiometrically</w:t>
      </w:r>
      <w:r>
        <w:t xml:space="preserve"> </w:t>
      </w:r>
      <w:r>
        <w:t xml:space="preserve">against the 4-MPBA reporter bands, removing</w:t>
      </w:r>
      <w:r>
        <w:t xml:space="preserve"> </w:t>
      </w:r>
      <w:r>
        <w:t xml:space="preserve">dependence on absolute intensity.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Test NAM binding to boronic acid early</w:t>
      </w:r>
      <w:r>
        <w:t xml:space="preserve">, because the molecule’s substitution</w:t>
      </w:r>
      <w:r>
        <w:t xml:space="preserve"> </w:t>
      </w:r>
      <w:r>
        <w:t xml:space="preserve">pattern gives real reason to doubt it, and finding out at week 4 costs far</w:t>
      </w:r>
      <w:r>
        <w:t xml:space="preserve"> </w:t>
      </w:r>
      <w:r>
        <w:t xml:space="preserve">less than finding out at week 12.</w:t>
      </w:r>
    </w:p>
    <w:p>
      <w:pPr>
        <w:pStyle w:val="FirstParagraph"/>
      </w:pPr>
      <w:r>
        <w:t xml:space="preserve">The immediate blocker remains substrate reproducibility. Until that is fixed,</w:t>
      </w:r>
      <w:r>
        <w:t xml:space="preserve"> </w:t>
      </w:r>
      <w:r>
        <w:t xml:space="preserve">the computational work in §5 is the most productive use of time.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2026-08-07T05:49:20Z</dcterms:created>
  <dcterms:modified xsi:type="dcterms:W3CDTF">2026-08-07T05:49:20Z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