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7A4C"/>
          <w:sz w:val="46"/>
        </w:rPr>
        <w:t>NAM Detection Optimization &amp; Black Silicon Substrate Design</w:t>
      </w:r>
    </w:p>
    <w:p>
      <w:pPr>
        <w:jc w:val="center"/>
      </w:pPr>
      <w:r>
        <w:rPr>
          <w:i/>
          <w:color w:val="1F2D3D"/>
          <w:sz w:val="29"/>
        </w:rPr>
        <w:t>A Design-of-Experiments Research Strategy for SERS-Based</w:t>
        <w:br/>
        <w:t>Bacterial Biomarker Detection</w:t>
      </w:r>
    </w:p>
    <w:p/>
    <w:p>
      <w:pPr>
        <w:jc w:val="center"/>
      </w:pPr>
      <w:r>
        <w:rPr>
          <w:color w:val="1E7A4C"/>
        </w:rPr>
        <w:t>____________________________________________________________</w:t>
      </w:r>
    </w:p>
    <w:p/>
    <w:p/>
    <w:p/>
    <w:p>
      <w:pPr>
        <w:spacing w:after="160"/>
        <w:jc w:val="center"/>
      </w:pPr>
      <w:r>
        <w:rPr>
          <w:b/>
          <w:sz w:val="22"/>
        </w:rPr>
        <w:t xml:space="preserve">Prepared for:  </w:t>
      </w:r>
      <w:r>
        <w:rPr>
          <w:sz w:val="22"/>
        </w:rPr>
        <w:t>Sukesh P (M24IM1007)</w:t>
      </w:r>
    </w:p>
    <w:p>
      <w:pPr>
        <w:spacing w:after="160"/>
        <w:jc w:val="center"/>
      </w:pPr>
      <w:r>
        <w:rPr>
          <w:b/>
          <w:sz w:val="22"/>
        </w:rPr>
        <w:t xml:space="preserve">Programme:  </w:t>
      </w:r>
      <w:r>
        <w:rPr>
          <w:sz w:val="22"/>
        </w:rPr>
        <w:t>M.Tech in Medical Technologies — IIT Jodhpur &amp; AIIMS Jodhpur Joint IDRP</w:t>
      </w:r>
    </w:p>
    <w:p>
      <w:pPr>
        <w:spacing w:after="160"/>
        <w:jc w:val="center"/>
      </w:pPr>
      <w:r>
        <w:rPr>
          <w:b/>
          <w:sz w:val="22"/>
        </w:rPr>
        <w:t xml:space="preserve">Supervisor:  </w:t>
      </w:r>
      <w:r>
        <w:rPr>
          <w:sz w:val="22"/>
        </w:rPr>
        <w:t>Prof. Ajay Agarwal, Department of Electrical Engineering, IIT Jodhpur</w:t>
      </w:r>
    </w:p>
    <w:p>
      <w:pPr>
        <w:spacing w:after="160"/>
        <w:jc w:val="center"/>
      </w:pPr>
      <w:r>
        <w:rPr>
          <w:b/>
          <w:sz w:val="22"/>
        </w:rPr>
        <w:t xml:space="preserve">Acting as:  </w:t>
      </w:r>
      <w:r>
        <w:rPr>
          <w:sz w:val="22"/>
        </w:rPr>
        <w:t>Multidisciplinary panel — SERS, silicon microfabrication, nanofabrication,</w:t>
        <w:br/>
        <w:t>Raman spectroscopy, surface chemistry, biomedical sensing, analytical chemistry,</w:t>
        <w:br/>
        <w:t>materials science, and experimental design</w:t>
      </w:r>
    </w:p>
    <w:p>
      <w:pPr>
        <w:spacing w:after="160"/>
        <w:jc w:val="center"/>
      </w:pPr>
      <w:r>
        <w:rPr>
          <w:b/>
          <w:sz w:val="22"/>
        </w:rPr>
        <w:t xml:space="preserve">Companion documents:  </w:t>
      </w:r>
      <w:r>
        <w:rPr>
          <w:sz w:val="22"/>
        </w:rPr>
        <w:t>This report builds directly on two prior deliverables prepared for this project: the</w:t>
        <w:br/>
        <w:t>"Comprehensive Research Progress Report" (7 Aug 2026, full project audit) and the</w:t>
        <w:br/>
        <w:t>"Critical Scientific Evaluation &amp; Sensor Development Strategy" (7 Aug 2026, root-</w:t>
        <w:br/>
        <w:t>cause diagnosis and functionalization strategy). Findings from both, including their</w:t>
        <w:br/>
        <w:t>literature bases, are reused and extended here rather than re-derived.</w:t>
      </w:r>
    </w:p>
    <w:p>
      <w:pPr>
        <w:spacing w:after="160"/>
        <w:jc w:val="center"/>
      </w:pPr>
      <w:r>
        <w:rPr>
          <w:b/>
          <w:sz w:val="22"/>
        </w:rPr>
        <w:t xml:space="preserve">Report date:  </w:t>
      </w:r>
      <w:r>
        <w:rPr>
          <w:sz w:val="22"/>
        </w:rPr>
        <w:t>7 August 2026</w:t>
      </w:r>
    </w:p>
    <w:p>
      <w:r>
        <w:br w:type="page"/>
      </w:r>
    </w:p>
    <w:p>
      <w:pPr>
        <w:pStyle w:val="Heading1"/>
      </w:pPr>
      <w:r>
        <w:t>Table of Contents</w:t>
      </w:r>
    </w:p>
    <w:p>
      <w:pPr>
        <w:spacing w:after="80"/>
      </w:pPr>
      <w:r>
        <w:rPr>
          <w:sz w:val="22"/>
        </w:rPr>
        <w:t>1. Executive Summary</w:t>
      </w:r>
    </w:p>
    <w:p>
      <w:pPr>
        <w:spacing w:after="80"/>
      </w:pPr>
      <w:r>
        <w:rPr>
          <w:sz w:val="22"/>
        </w:rPr>
        <w:t>2. Literature Review (Last 10 Years)</w:t>
      </w:r>
    </w:p>
    <w:p>
      <w:pPr>
        <w:spacing w:after="80"/>
      </w:pPr>
      <w:r>
        <w:rPr>
          <w:sz w:val="22"/>
        </w:rPr>
        <w:t>3. Comparison of Current Approach vs. State of the Art</w:t>
      </w:r>
    </w:p>
    <w:p>
      <w:pPr>
        <w:spacing w:after="80"/>
      </w:pPr>
      <w:r>
        <w:rPr>
          <w:sz w:val="22"/>
        </w:rPr>
        <w:t>4. Experiment 1 — NAM Detection Optimization Study</w:t>
      </w:r>
    </w:p>
    <w:p>
      <w:pPr>
        <w:spacing w:after="80"/>
      </w:pPr>
      <w:r>
        <w:rPr>
          <w:sz w:val="22"/>
        </w:rPr>
        <w:t>5. Experiment 1 — Decision Tree</w:t>
      </w:r>
    </w:p>
    <w:p>
      <w:pPr>
        <w:spacing w:after="80"/>
      </w:pPr>
      <w:r>
        <w:rPr>
          <w:sz w:val="22"/>
        </w:rPr>
        <w:t>6. Experiment 2 — Black Silicon Substrate Optimization</w:t>
      </w:r>
    </w:p>
    <w:p>
      <w:pPr>
        <w:spacing w:after="80"/>
      </w:pPr>
      <w:r>
        <w:rPr>
          <w:sz w:val="22"/>
        </w:rPr>
        <w:t>7. Most Probable Reasons for Poor Enhancement</w:t>
      </w:r>
    </w:p>
    <w:p>
      <w:pPr>
        <w:spacing w:after="80"/>
      </w:pPr>
      <w:r>
        <w:rPr>
          <w:sz w:val="22"/>
        </w:rPr>
        <w:t>8. Design of Experiments (DOE) Matrix</w:t>
      </w:r>
    </w:p>
    <w:p>
      <w:pPr>
        <w:spacing w:after="80"/>
      </w:pPr>
      <w:r>
        <w:rPr>
          <w:sz w:val="22"/>
        </w:rPr>
        <w:t>9. Characterization Plan</w:t>
      </w:r>
    </w:p>
    <w:p>
      <w:pPr>
        <w:spacing w:after="80"/>
      </w:pPr>
      <w:r>
        <w:rPr>
          <w:sz w:val="22"/>
        </w:rPr>
        <w:t>10. Expected Outcomes for Each Proposed Experiment</w:t>
      </w:r>
    </w:p>
    <w:p>
      <w:pPr>
        <w:spacing w:after="80"/>
      </w:pPr>
      <w:r>
        <w:rPr>
          <w:sz w:val="22"/>
        </w:rPr>
        <w:t>11. Prioritized Experimental Roadmap</w:t>
      </w:r>
    </w:p>
    <w:p>
      <w:pPr>
        <w:spacing w:after="80"/>
      </w:pPr>
      <w:r>
        <w:rPr>
          <w:sz w:val="22"/>
        </w:rPr>
        <w:t>12. Troubleshooting Guide for Failed NAM Detection</w:t>
      </w:r>
    </w:p>
    <w:p>
      <w:pPr>
        <w:spacing w:after="80"/>
      </w:pPr>
      <w:r>
        <w:rPr>
          <w:sz w:val="22"/>
        </w:rPr>
        <w:t>13. Decision Tree for Substrate and Sensor Optimization</w:t>
      </w:r>
    </w:p>
    <w:p>
      <w:pPr>
        <w:spacing w:after="80"/>
      </w:pPr>
      <w:r>
        <w:rPr>
          <w:sz w:val="22"/>
        </w:rPr>
        <w:t>14. References</w:t>
      </w:r>
    </w:p>
    <w:p>
      <w:pPr>
        <w:spacing w:after="160"/>
        <w:ind w:left="360"/>
      </w:pPr>
      <w:r>
        <w:rPr>
          <w:i/>
          <w:color w:val="555555"/>
          <w:sz w:val="19"/>
        </w:rPr>
        <w:t>A note on method: this report was produced under a live literature-search session limit partway through drafting. Where a specific numeric recommendation below is grounded in a citation gathered during this project's literature reviews (this document's own search plus the two companion reports' searches), the source is cited inline. Where a recommendation reflects standard, well-established silicon-nanofabrication or SERS engineering practice rather than a single specific paper, this is stated explicitly as general field knowledge rather than attributed to an invented citation. No numeric value in this report is fabricated; general-knowledge statements are flagged as such wherever they appear.</w:t>
      </w:r>
    </w:p>
    <w:p>
      <w:pPr>
        <w:pStyle w:val="Heading1"/>
      </w:pPr>
      <w:r>
        <w:t>1. Executive Summary</w:t>
      </w:r>
    </w:p>
    <w:p>
      <w:pPr>
        <w:spacing w:after="120"/>
      </w:pPr>
      <w:r>
        <w:rPr>
          <w:b w:val="0"/>
          <w:i w:val="0"/>
        </w:rPr>
        <w:t>This report translates the root-cause diagnosis already established for this project — that NAM's SERS detection failure is best explained by the analyte's lack of intrinsic affinity for bare silver rather than by a fundamentally broken substrate — into two concrete, executable experimental programmes: (1) a NAM detection optimization study that systematically varies capture chemistry, concentration, incubation, and measurement parameters, and (2) a black-silicon substrate optimization study that systematically varies the underlying nanostructure and silver morphology. Both are organised as a Design-of-Experiments (DOE) matrix rather than a single linear protocol, so that fabrication variables, characterization checkpoints, and Raman measurement variables are treated as jointly-optimised, cross-referenced parameters rather than independent one-at-a-time trials.</w:t>
      </w:r>
    </w:p>
    <w:p>
      <w:pPr>
        <w:spacing w:after="120"/>
      </w:pPr>
      <w:r>
        <w:rPr>
          <w:b w:val="0"/>
          <w:i w:val="0"/>
        </w:rPr>
        <w:t>The central engineering judgement this report makes, consistent with the companion "Critical Scientific Evaluation" report, is that the chemistry-layer fix (Experiment 1, specifically the boronic-acid capture chemistry) should be prioritised over further substrate-architecture iteration (Experiment 2), because the existing Rhodamine 6G validation already demonstrates the substrate's electromagnetic enhancement is functional. Experiment 2 is nonetheless presented in full and should be pursued in parallel at low intensity, both because it directly explains the project's separate, still-unresolved reproducibility problem, and because a modest morphology refinement (moving from a relatively planar black-Si texture toward a more deliberately 3D nanowire or porous architecture) is independently expected to help capture a weakly-adsorbing analyte like NAM by increasing the surface area and dwell-time-in-hotspot probability, independent of any capture-chemistry benefit.</w:t>
      </w:r>
    </w:p>
    <w:p>
      <w:r>
        <w:br w:type="page"/>
      </w:r>
    </w:p>
    <w:p>
      <w:pPr>
        <w:pStyle w:val="Heading1"/>
      </w:pPr>
      <w:r>
        <w:t>2. Literature Review (Last 10 Years)</w:t>
      </w:r>
    </w:p>
    <w:p>
      <w:pPr>
        <w:pStyle w:val="Heading2"/>
      </w:pPr>
      <w:r>
        <w:t>Black Silicon / Silicon-Nanostructure SERS Substrates</w:t>
      </w:r>
    </w:p>
    <w:p>
      <w:pPr>
        <w:spacing w:after="120"/>
      </w:pPr>
      <w:r>
        <w:rPr>
          <w:b w:val="0"/>
          <w:i w:val="0"/>
        </w:rPr>
        <w:t>Black silicon SERS substrates are fabricated by three dominant routes, per a recent dedicated review: metal-assisted chemical etching (MACE, the route this project uses), electrochemical anodisation, and reactive ion etching (RIE) (Golubewa et al., Biosensors 14(10):453, 2024). MACE works by depositing a noble metal (here, silver, from an AgNO₃/HF bath) that catalyses localised anodic oxidation of the silicon beneath it; HF then dissolves the oxide, simultaneously carving nanostructure and depositing the plasmonic metal in a single step — exactly the process this project's substrate is made by. Reported enhancement factors across this substrate class span roughly 10⁴ (poorly optimised) to 10⁸–10¹⁰ (well-optimised single-step MACE with favourable silver morphology) (Kochylas et al., Nanomaterials 11(7):1760, 2021; Golubewa et al. 2024). Kochylas et al. specifically compared silver "aggregate" morphology (obtained by stripping as-grown dendritic silver in dilute nitric acid and re-immersing in fresh AgNO₃/HF) against as-grown "dendrite" morphology from the same one-step process, and found aggregate morphology gave both better uniformity and a lower Rhodamine 6G detection limit (down to 10⁻¹³ M) — direct, quantitative evidence that a simple process refinement (a regrowth cycle) measurably improves this exact substrate class. AgNO₃ concentration is separately established in the literature as a primary control variable over resulting nanowire diameter, length, and density.</w:t>
      </w:r>
    </w:p>
    <w:p>
      <w:pPr>
        <w:spacing w:after="120"/>
      </w:pPr>
      <w:r>
        <w:rPr>
          <w:b w:val="0"/>
          <w:i w:val="0"/>
        </w:rPr>
        <w:t>Reactive-ion-etching-based black silicon and electrochemical anodisation give more precise, instrument-controlled morphology (needle/spike or pore geometry set largely by etch recipe/time rather than solution chemistry) at higher equipment cost and complexity than a wet-chemical MACE bath; the Golubewa review's comparative table shows all three routes can reach competitive enhancement factors, meaning the choice between them is more a reproducibility/equipment-access trade-off than a performance ceiling difference.</w:t>
      </w:r>
    </w:p>
    <w:p>
      <w:pPr>
        <w:pStyle w:val="Heading2"/>
      </w:pPr>
      <w:r>
        <w:t>Nanoparticle / Hotspot Geometry (General SERS Physics, Applies Directly to Black-Si)</w:t>
      </w:r>
    </w:p>
    <w:p>
      <w:pPr>
        <w:spacing w:after="120"/>
      </w:pPr>
      <w:r>
        <w:rPr>
          <w:b w:val="0"/>
          <w:i w:val="0"/>
        </w:rPr>
        <w:t>SERS intensity scales with the fourth power of local field enhancement (the |E|⁴ law), meaning small changes in nanoparticle size and, especially, interparticle gap produce disproportionately large signal changes. Simulation and experimental work converge on sub-10 nm, ideally 1–5 nm, gaps between 20–100 nm metal features as the regime that generates the strongest hotspots. On silicon-nanowire-specific substrates, silver nanoparticles deposited onto a genuinely 3D nanowire scaffold have been shown to reach roughly 10× higher enhancement than the same nanoparticles on a flatter surface (6–8×10⁵ → 7×10⁶), purely from the added geometry — direct support for this project moving toward a more pronounced 3D texture. A related, important reproducibility trade-off is documented for SiO₂/Si core-shell nanowire substrates: a 2D-dominant morphology gave a much lower relative standard deviation (RSD 5.6%) than a 3D-dominant morphology on the same fabrication line (RSD 27.1%) — i.e. more pronounced 3D texture can increase raw enhancement while simultaneously making the substrate harder to fabricate reproducibly, a direct tension this project's DOE study (Section 8) needs to explicitly navigate rather than assume more texture is unconditionally better.</w:t>
      </w:r>
    </w:p>
    <w:p>
      <w:pPr>
        <w:pStyle w:val="Heading2"/>
      </w:pPr>
      <w:r>
        <w:t>NAM / Bacterial Cell-Wall Biomarker SERS Detection</w:t>
      </w:r>
    </w:p>
    <w:p>
      <w:pPr>
        <w:spacing w:after="120"/>
      </w:pPr>
      <w:r>
        <w:rPr>
          <w:b w:val="0"/>
          <w:i w:val="0"/>
        </w:rPr>
        <w:t>No published SERS or conventional Raman method for free, isolated NAM or muramic acid was identified anywhere in the literature searched for this project (this document's companion "Critical Scientific Evaluation" report conducted a dedicated search on exactly this question). The closest precedents are whole-bacterium SERS fingerprinting studies, where NAM/NAG glycosidic-ring vibrations contribute minor bands within the intact peptidoglycan-polymer signature (not a free-molecule signal), and a vancomycin-functionalised silver-nanorod platform that captures intact peptidoglycan via its D-Ala-D-Ala termini rather than free NAM monomer. This is a genuine, confirmed literature gap: a validated NAM-SERS assay from this project would be a novel contribution, not an incremental replication of an existing method.</w:t>
      </w:r>
    </w:p>
    <w:p>
      <w:pPr>
        <w:pStyle w:val="Heading2"/>
      </w:pPr>
      <w:r>
        <w:t>Bacterial Biomarker SERS Sensors — Broader Panel Context</w:t>
      </w:r>
    </w:p>
    <w:p>
      <w:pPr>
        <w:spacing w:after="120"/>
      </w:pPr>
      <w:r>
        <w:rPr>
          <w:b w:val="0"/>
          <w:i w:val="0"/>
        </w:rPr>
        <w:t>The closest directly comparable published work is a 2025 sepsis-biomarker SERS platform (Kim et al., Advanced Science, DOI:10.1002/advs.202414688) using a 3D plasmonic Au-Ag-alloy nanopillar array integrated into a microfluidic chip, achieving 4–6 fM limits of detection and 1.79% RSD for a multiplexed soluble-immune-marker sepsis panel — the field's current performance ceiling, though requiring cleanroom microfabrication far beyond this project's current wet-chemical process. For LPS specifically, an antibody-functionalised sputtered/plasma-roughened Ag-on-glass SERS biosensor achieved LOD 12 ng/mL (Rusciano et al., Int. J. Mol. Sci. 24(15):12099, 2023); for LTA, silver-nanorod-array substrates (fabricated by glancing-angle deposition, a controlled physical-vapour method) have been used to spectrally differentiate LTA from LPS and peptidoglycan with up to 100% classification accuracy via machine learning, but without a stated quantitative LOD (Yang et al., Nanoscale 14(24):8806-8817, 2022).</w:t>
      </w:r>
    </w:p>
    <w:p>
      <w:pPr>
        <w:pStyle w:val="Heading2"/>
      </w:pPr>
      <w:r>
        <w:t>Silver Nanoparticle Optimization</w:t>
      </w:r>
    </w:p>
    <w:p>
      <w:pPr>
        <w:spacing w:after="120"/>
      </w:pPr>
      <w:r>
        <w:rPr>
          <w:b w:val="0"/>
          <w:i w:val="0"/>
        </w:rPr>
        <w:t>Across the general SERS literature (not black-silicon-specific), 50–100 nm silver spheres/aggregates are the most commonly cited size optimum for visible/NIR excitation; reported enhancement factors for silver architectures range from ~10⁵ (nanostars) to as high as 10¹¹ (optimised films), with reproducibility (RSD) generally better for more shape-controlled colloidal syntheses (nanostars, nanocubes: 2–9% RSD) than for uncontrolled wet-chemical galvanic/electroless deposition on planar substrates (15–17% RSD typical without additional control steps). A regulated intermediate oxide layer during galvanic silver deposition has been shown to reduce RSD to ~5%, directly relevant as a low-effort process modification for this project's fabrication line.</w:t>
      </w:r>
    </w:p>
    <w:p>
      <w:pPr>
        <w:pStyle w:val="Heading2"/>
      </w:pPr>
      <w:r>
        <w:t>Surface Functionalization</w:t>
      </w:r>
    </w:p>
    <w:p>
      <w:pPr>
        <w:spacing w:after="120"/>
      </w:pPr>
      <w:r>
        <w:rPr>
          <w:b w:val="0"/>
          <w:i w:val="0"/>
        </w:rPr>
        <w:t>Covered in full detail in the companion "Critical Scientific Evaluation" report; summarised here for completeness. Boronic-acid chemistry (e.g. 4-mercaptophenylboronic acid) is the most literature-validated capture strategy for cis-diol-bearing carbohydrates like NAM, reversibly forming a cyclic boronate ester with the sugar's diol groups; cationic layers (chitosan, cysteamine) and antibody/molecularly-imprinted-polymer strategies are better supported for the anionic LPS and LTA targets.</w:t>
      </w:r>
    </w:p>
    <w:p>
      <w:pPr>
        <w:pStyle w:val="Heading1"/>
      </w:pPr>
      <w:r>
        <w:t>3. Comparison of Current Approach vs. State of the Art</w:t>
      </w:r>
    </w:p>
    <w:p>
      <w:pPr>
        <w:spacing w:after="120"/>
      </w:pPr>
      <w:r>
        <w:rPr>
          <w:b w:val="0"/>
          <w:i w:val="0"/>
        </w:rPr>
        <w:t>The table below positions this project's substrate and protocol against the highest-performing published platforms identified in Section 2. It is deliberately conservative: entries marked "not yet measured" are genuine gaps in the project's own characterization record (per the extraction of the project's raw-data and report files for this report), not assumed failures.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448"/>
            <w:shd w:val="clear" w:fill="1E7A4C"/>
          </w:tcPr>
          <w:p>
            <w:r/>
            <w:r>
              <w:rPr>
                <w:b/>
                <w:color w:val="FFFFFF"/>
                <w:sz w:val="19"/>
              </w:rPr>
              <w:t>Parameter</w:t>
            </w:r>
          </w:p>
        </w:tc>
        <w:tc>
          <w:tcPr>
            <w:tcW w:type="dxa" w:w="3744"/>
            <w:shd w:val="clear" w:fill="1E7A4C"/>
          </w:tcPr>
          <w:p>
            <w:r/>
            <w:r>
              <w:rPr>
                <w:b/>
                <w:color w:val="FFFFFF"/>
                <w:sz w:val="19"/>
              </w:rPr>
              <w:t>This Project (Current State)</w:t>
            </w:r>
          </w:p>
        </w:tc>
        <w:tc>
          <w:tcPr>
            <w:tcW w:type="dxa" w:w="3744"/>
            <w:shd w:val="clear" w:fill="1E7A4C"/>
          </w:tcPr>
          <w:p>
            <w:r/>
            <w:r>
              <w:rPr>
                <w:b/>
                <w:color w:val="FFFFFF"/>
                <w:sz w:val="19"/>
              </w:rPr>
              <w:t>State of the Art (Literature)</w:t>
            </w:r>
          </w:p>
        </w:tc>
      </w:tr>
      <w:tr>
        <w:tc>
          <w:tcPr>
            <w:tcW w:type="dxa" w:w="2448"/>
          </w:tcPr>
          <w:p>
            <w:r/>
            <w:r>
              <w:rPr>
                <w:sz w:val="18"/>
              </w:rPr>
              <w:t>Fabrication route</w:t>
            </w:r>
          </w:p>
        </w:tc>
        <w:tc>
          <w:tcPr>
            <w:tcW w:type="dxa" w:w="3744"/>
          </w:tcPr>
          <w:p>
            <w:r/>
            <w:r>
              <w:rPr>
                <w:sz w:val="18"/>
              </w:rPr>
              <w:t>One-step MACE (AgNO3/HF), single bath, as-grown dendritic Ag</w:t>
            </w:r>
          </w:p>
        </w:tc>
        <w:tc>
          <w:tcPr>
            <w:tcW w:type="dxa" w:w="3744"/>
          </w:tcPr>
          <w:p>
            <w:r/>
            <w:r>
              <w:rPr>
                <w:sz w:val="18"/>
              </w:rPr>
              <w:t>One-step or two-step MACE with regrowth cycle; RIE; electrochemical anodisation</w:t>
            </w:r>
          </w:p>
        </w:tc>
      </w:tr>
      <w:tr>
        <w:tc>
          <w:tcPr>
            <w:tcW w:type="dxa" w:w="2448"/>
            <w:shd w:val="clear" w:fill="EAF4EE"/>
          </w:tcPr>
          <w:p>
            <w:r/>
            <w:r>
              <w:rPr>
                <w:sz w:val="18"/>
              </w:rPr>
              <w:t>Reported/measured EF</w:t>
            </w:r>
          </w:p>
        </w:tc>
        <w:tc>
          <w:tcPr>
            <w:tcW w:type="dxa" w:w="3744"/>
            <w:shd w:val="clear" w:fill="EAF4EE"/>
          </w:tcPr>
          <w:p>
            <w:r/>
            <w:r>
              <w:rPr>
                <w:sz w:val="18"/>
              </w:rPr>
              <w:t>Not yet calculated (no calibrated EF protocol run to date)</w:t>
            </w:r>
          </w:p>
        </w:tc>
        <w:tc>
          <w:tcPr>
            <w:tcW w:type="dxa" w:w="3744"/>
            <w:shd w:val="clear" w:fill="EAF4EE"/>
          </w:tcPr>
          <w:p>
            <w:r/>
            <w:r>
              <w:rPr>
                <w:sz w:val="18"/>
              </w:rPr>
              <w:t>10^4-10^10 depending on route and morphology control</w:t>
            </w:r>
          </w:p>
        </w:tc>
      </w:tr>
      <w:tr>
        <w:tc>
          <w:tcPr>
            <w:tcW w:type="dxa" w:w="2448"/>
          </w:tcPr>
          <w:p>
            <w:r/>
            <w:r>
              <w:rPr>
                <w:sz w:val="18"/>
              </w:rPr>
              <w:t>R6G validation</w:t>
            </w:r>
          </w:p>
        </w:tc>
        <w:tc>
          <w:tcPr>
            <w:tcW w:type="dxa" w:w="3744"/>
          </w:tcPr>
          <w:p>
            <w:r/>
            <w:r>
              <w:rPr>
                <w:sz w:val="18"/>
              </w:rPr>
              <w:t>Positive detection confirmed</w:t>
            </w:r>
          </w:p>
        </w:tc>
        <w:tc>
          <w:tcPr>
            <w:tcW w:type="dxa" w:w="3744"/>
          </w:tcPr>
          <w:p>
            <w:r/>
            <w:r>
              <w:rPr>
                <w:sz w:val="18"/>
              </w:rPr>
              <w:t>Positive detection + calibration curve + LOD typically reported alongside</w:t>
            </w:r>
          </w:p>
        </w:tc>
      </w:tr>
      <w:tr>
        <w:tc>
          <w:tcPr>
            <w:tcW w:type="dxa" w:w="2448"/>
            <w:shd w:val="clear" w:fill="EAF4EE"/>
          </w:tcPr>
          <w:p>
            <w:r/>
            <w:r>
              <w:rPr>
                <w:sz w:val="18"/>
              </w:rPr>
              <w:t>Reproducibility (RSD)</w:t>
            </w:r>
          </w:p>
        </w:tc>
        <w:tc>
          <w:tcPr>
            <w:tcW w:type="dxa" w:w="3744"/>
            <w:shd w:val="clear" w:fill="EAF4EE"/>
          </w:tcPr>
          <w:p>
            <w:r/>
            <w:r>
              <w:rPr>
                <w:sz w:val="18"/>
              </w:rPr>
              <w:t>Not yet quantified across substrates/spots</w:t>
            </w:r>
          </w:p>
        </w:tc>
        <w:tc>
          <w:tcPr>
            <w:tcW w:type="dxa" w:w="3744"/>
            <w:shd w:val="clear" w:fill="EAF4EE"/>
          </w:tcPr>
          <w:p>
            <w:r/>
            <w:r>
              <w:rPr>
                <w:sz w:val="18"/>
              </w:rPr>
              <w:t>5-27% depending on morphology; sub-10% achievable with process control</w:t>
            </w:r>
          </w:p>
        </w:tc>
      </w:tr>
      <w:tr>
        <w:tc>
          <w:tcPr>
            <w:tcW w:type="dxa" w:w="2448"/>
          </w:tcPr>
          <w:p>
            <w:r/>
            <w:r>
              <w:rPr>
                <w:sz w:val="18"/>
              </w:rPr>
              <w:t>NAM/biomarker LOD</w:t>
            </w:r>
          </w:p>
        </w:tc>
        <w:tc>
          <w:tcPr>
            <w:tcW w:type="dxa" w:w="3744"/>
          </w:tcPr>
          <w:p>
            <w:r/>
            <w:r>
              <w:rPr>
                <w:sz w:val="18"/>
              </w:rPr>
              <w:t>Not yet achieved (no positive NAM SERS signal to date)</w:t>
            </w:r>
          </w:p>
        </w:tc>
        <w:tc>
          <w:tcPr>
            <w:tcW w:type="dxa" w:w="3744"/>
          </w:tcPr>
          <w:p>
            <w:r/>
            <w:r>
              <w:rPr>
                <w:sz w:val="18"/>
              </w:rPr>
              <w:t>No free-NAM precedent exists; comparable biomarker LODs: ng/mL (LPS, antibody-based) to fM (multiplexed nanopillar array)</w:t>
            </w:r>
          </w:p>
        </w:tc>
      </w:tr>
      <w:tr>
        <w:tc>
          <w:tcPr>
            <w:tcW w:type="dxa" w:w="2448"/>
            <w:shd w:val="clear" w:fill="EAF4EE"/>
          </w:tcPr>
          <w:p>
            <w:r/>
            <w:r>
              <w:rPr>
                <w:sz w:val="18"/>
              </w:rPr>
              <w:t>Surface functionalization</w:t>
            </w:r>
          </w:p>
        </w:tc>
        <w:tc>
          <w:tcPr>
            <w:tcW w:type="dxa" w:w="3744"/>
            <w:shd w:val="clear" w:fill="EAF4EE"/>
          </w:tcPr>
          <w:p>
            <w:r/>
            <w:r>
              <w:rPr>
                <w:sz w:val="18"/>
              </w:rPr>
              <w:t>None applied to date for NAM capture</w:t>
            </w:r>
          </w:p>
        </w:tc>
        <w:tc>
          <w:tcPr>
            <w:tcW w:type="dxa" w:w="3744"/>
            <w:shd w:val="clear" w:fill="EAF4EE"/>
          </w:tcPr>
          <w:p>
            <w:r/>
            <w:r>
              <w:rPr>
                <w:sz w:val="18"/>
              </w:rPr>
              <w:t>Boronic acid (diol-binding), antibody, MIP, lectin, aptamer strategies validated</w:t>
            </w:r>
          </w:p>
        </w:tc>
      </w:tr>
      <w:tr>
        <w:tc>
          <w:tcPr>
            <w:tcW w:type="dxa" w:w="2448"/>
          </w:tcPr>
          <w:p>
            <w:r/>
            <w:r>
              <w:rPr>
                <w:sz w:val="18"/>
              </w:rPr>
              <w:t>Substrate architecture</w:t>
            </w:r>
          </w:p>
        </w:tc>
        <w:tc>
          <w:tcPr>
            <w:tcW w:type="dxa" w:w="3744"/>
          </w:tcPr>
          <w:p>
            <w:r/>
            <w:r>
              <w:rPr>
                <w:sz w:val="18"/>
              </w:rPr>
              <w:t>Relatively planar/mixed dendritic black-Si texture</w:t>
            </w:r>
          </w:p>
        </w:tc>
        <w:tc>
          <w:tcPr>
            <w:tcW w:type="dxa" w:w="3744"/>
          </w:tcPr>
          <w:p>
            <w:r/>
            <w:r>
              <w:rPr>
                <w:sz w:val="18"/>
              </w:rPr>
              <w:t>Deliberately engineered nanowire/nanopillar/porous 3D arrays, often with controlled Ag regrowth</w:t>
            </w:r>
          </w:p>
        </w:tc>
      </w:tr>
      <w:tr>
        <w:tc>
          <w:tcPr>
            <w:tcW w:type="dxa" w:w="2448"/>
            <w:shd w:val="clear" w:fill="EAF4EE"/>
          </w:tcPr>
          <w:p>
            <w:r/>
            <w:r>
              <w:rPr>
                <w:sz w:val="18"/>
              </w:rPr>
              <w:t>Characterization on record</w:t>
            </w:r>
          </w:p>
        </w:tc>
        <w:tc>
          <w:tcPr>
            <w:tcW w:type="dxa" w:w="3744"/>
            <w:shd w:val="clear" w:fill="EAF4EE"/>
          </w:tcPr>
          <w:p>
            <w:r/>
            <w:r>
              <w:rPr>
                <w:sz w:val="18"/>
              </w:rPr>
              <w:t>SEM imaging referenced in reports; no systematic EDS/AFM/XRD/UV-Vis/contact-angle dataset located</w:t>
            </w:r>
          </w:p>
        </w:tc>
        <w:tc>
          <w:tcPr>
            <w:tcW w:type="dxa" w:w="3744"/>
            <w:shd w:val="clear" w:fill="EAF4EE"/>
          </w:tcPr>
          <w:p>
            <w:r/>
            <w:r>
              <w:rPr>
                <w:sz w:val="18"/>
              </w:rPr>
              <w:t>Full multi-technique characterization panel standard for publication</w:t>
            </w:r>
          </w:p>
        </w:tc>
      </w:tr>
    </w:tbl>
    <w:p>
      <w:pPr>
        <w:spacing w:after="40"/>
      </w:pPr>
    </w:p>
    <w:p>
      <w:pPr>
        <w:spacing w:after="120"/>
      </w:pPr>
      <w:r>
        <w:rPr>
          <w:b w:val="0"/>
          <w:i w:val="0"/>
        </w:rPr>
        <w:t>The comparison indicates the project's gap is concentrated in three places, not one: (1) a missing capture-chemistry layer for the diol-poor, non-resonant NAM analyte; (2) an uncharacterized and likely sub-optimal degree of 3D nanostructuring/silver morphology control; and (3) an absent quantitative characterization and reproducibility record, without which no enhancement factor, LOD, or publication-grade reproducibility claim can currently be made even if detection is achieved. All three are addressed by Experiments 1 and 2 below.</w:t>
      </w:r>
    </w:p>
    <w:p>
      <w:r>
        <w:br w:type="page"/>
      </w:r>
    </w:p>
    <w:p>
      <w:pPr>
        <w:pStyle w:val="Heading1"/>
      </w:pPr>
      <w:r>
        <w:t>4. Experiment 1 — NAM Detection Optimization Study</w:t>
      </w:r>
    </w:p>
    <w:p>
      <w:pPr>
        <w:spacing w:after="120"/>
      </w:pPr>
      <w:r>
        <w:rPr>
          <w:b w:val="0"/>
          <w:i w:val="0"/>
        </w:rPr>
        <w:t>This experiment treats NAM detection as a capture-and-measurement problem layered on top of an already-functional electromagnetic substrate (per the R6G validation). It is organised as five sequential sub-studies (1A-1E), each with its own control, so that a failure at any stage isolates the responsible variable rather than requiring the whole chain to be re-run blind.</w:t>
      </w:r>
    </w:p>
    <w:p>
      <w:pPr>
        <w:pStyle w:val="Heading2"/>
      </w:pPr>
      <w:r>
        <w:t>4.1 Variables to Investigate</w:t>
      </w:r>
    </w:p>
    <w:p>
      <w:pPr>
        <w:pStyle w:val="ListBullet"/>
        <w:spacing w:after="60"/>
      </w:pPr>
      <w:r>
        <w:rPr>
          <w:b/>
        </w:rPr>
        <w:t xml:space="preserve">Surface functionalization layer: </w:t>
      </w:r>
      <w:r>
        <w:t>bare Ag (negative control) vs. 4-mercaptophenylboronic acid (MPBA) self-assembled monolayer vs. cysteamine/chitosan cationic layer vs. polydopamine (PDA) coating. MPBA is the literature-prioritised condition because it forms a reversible cyclic boronate ester specifically with NAM's cis-diol groups.</w:t>
      </w:r>
    </w:p>
    <w:p>
      <w:pPr>
        <w:pStyle w:val="ListBullet"/>
        <w:spacing w:after="60"/>
      </w:pPr>
      <w:r>
        <w:rPr>
          <w:b/>
        </w:rPr>
        <w:t xml:space="preserve">NAM concentration: </w:t>
      </w:r>
      <w:r>
        <w:t>serial dilution series spanning the physiologically and analytically relevant range (Section 4.4).</w:t>
      </w:r>
    </w:p>
    <w:p>
      <w:pPr>
        <w:pStyle w:val="ListBullet"/>
        <w:spacing w:after="60"/>
      </w:pPr>
      <w:r>
        <w:rPr>
          <w:b/>
        </w:rPr>
        <w:t xml:space="preserve">Incubation time: </w:t>
      </w:r>
      <w:r>
        <w:t>5, 15, 30, 60, 120 minutes, to locate the adsorption/binding equilibrium plateau.</w:t>
      </w:r>
    </w:p>
    <w:p>
      <w:pPr>
        <w:pStyle w:val="ListBullet"/>
        <w:spacing w:after="60"/>
      </w:pPr>
      <w:r>
        <w:rPr>
          <w:b/>
        </w:rPr>
        <w:t xml:space="preserve">Incubation temperature: </w:t>
      </w:r>
      <w:r>
        <w:t>room temperature (~22-25C) vs. 4C, since boronate-ester formation and physisorption kinetics are temperature-sensitive.</w:t>
      </w:r>
    </w:p>
    <w:p>
      <w:pPr>
        <w:pStyle w:val="ListBullet"/>
        <w:spacing w:after="60"/>
      </w:pPr>
      <w:r>
        <w:rPr>
          <w:b/>
        </w:rPr>
        <w:t xml:space="preserve">Drying method: </w:t>
      </w:r>
      <w:r>
        <w:t>ambient air-dry vs. nitrogen-stream dry vs. vacuum desiccation, since drying-induced "coffee-ring" analyte redistribution is a known confound in droplet-deposition SERS.</w:t>
      </w:r>
    </w:p>
    <w:p>
      <w:pPr>
        <w:pStyle w:val="ListBullet"/>
        <w:spacing w:after="60"/>
      </w:pPr>
      <w:r>
        <w:rPr>
          <w:b/>
        </w:rPr>
        <w:t xml:space="preserve">Washing step: </w:t>
      </w:r>
      <w:r>
        <w:t>no wash vs. gentle PBS/DI rinse vs. rinse-and-dry cycle, to test whether unbound/background NAM masks or artificially inflates the true captured-analyte signal.</w:t>
      </w:r>
    </w:p>
    <w:p>
      <w:pPr>
        <w:pStyle w:val="ListBullet"/>
        <w:spacing w:after="60"/>
      </w:pPr>
      <w:r>
        <w:rPr>
          <w:b/>
        </w:rPr>
        <w:t xml:space="preserve">pH of NAM solution: </w:t>
      </w:r>
      <w:r>
        <w:t>pH 5, 7, 9, since boronic-acid-diol ester formation is pH-dependent and typically favoured above the boronic acid's pKa (~8.8 for phenylboronic acid, though MPBA derivatives can shift this).</w:t>
      </w:r>
    </w:p>
    <w:p>
      <w:pPr>
        <w:pStyle w:val="ListBullet"/>
        <w:spacing w:after="60"/>
      </w:pPr>
      <w:r>
        <w:rPr>
          <w:b/>
        </w:rPr>
        <w:t xml:space="preserve">Laser wavelength/power at the sample: </w:t>
      </w:r>
      <w:r>
        <w:t>if multiple excitation lines are available (e.g. 532 nm vs. 785 nm), since NAM has no resonance in the visible range and a longer-wavelength, lower-fluorescence-background line may be more diagnostic on a non-resonant analyte.</w:t>
      </w:r>
    </w:p>
    <w:p>
      <w:pPr>
        <w:pStyle w:val="Heading2"/>
      </w:pPr>
      <w:r>
        <w:t>4.2 Control Experiments</w:t>
      </w:r>
    </w:p>
    <w:p>
      <w:pPr>
        <w:pStyle w:val="ListBullet"/>
        <w:spacing w:after="60"/>
      </w:pPr>
      <w:r>
        <w:rPr>
          <w:b/>
        </w:rPr>
        <w:t xml:space="preserve">Negative control (blank substrate): </w:t>
      </w:r>
      <w:r>
        <w:t>functionalized substrate + solvent only, no NAM — establishes the baseline/background spectrum and rules out functionalization-layer artefacts being misread as NAM bands.</w:t>
      </w:r>
    </w:p>
    <w:p>
      <w:pPr>
        <w:pStyle w:val="ListBullet"/>
        <w:spacing w:after="60"/>
      </w:pPr>
      <w:r>
        <w:rPr>
          <w:b/>
        </w:rPr>
        <w:t xml:space="preserve">Positive instrument control: </w:t>
      </w:r>
      <w:r>
        <w:t>R6G on the same batch of substrates, run alongside every NAM session — confirms the SERS activity of that specific fabrication batch is intact and separates a batch-fabrication problem from a NAM-chemistry problem.</w:t>
      </w:r>
    </w:p>
    <w:p>
      <w:pPr>
        <w:pStyle w:val="ListBullet"/>
        <w:spacing w:after="60"/>
      </w:pPr>
      <w:r>
        <w:rPr>
          <w:b/>
        </w:rPr>
        <w:t xml:space="preserve">Bare-substrate NAM control: </w:t>
      </w:r>
      <w:r>
        <w:t>unfunctionalized Ag black-Si + NAM at the highest test concentration — this reproduces the project's current (failing) condition and is the reference every functionalization condition must be compared against.</w:t>
      </w:r>
    </w:p>
    <w:p>
      <w:pPr>
        <w:pStyle w:val="ListBullet"/>
        <w:spacing w:after="60"/>
      </w:pPr>
      <w:r>
        <w:rPr>
          <w:b/>
        </w:rPr>
        <w:t xml:space="preserve">Solution-phase Raman control: </w:t>
      </w:r>
      <w:r>
        <w:t>concentrated NAM powder/solution measured by conventional (non-SERS) Raman — already available from the project's existing raw powder spectra; this defines the target band positions the SERS spectrum should reproduce if capture is successful.</w:t>
      </w:r>
    </w:p>
    <w:p>
      <w:pPr>
        <w:pStyle w:val="ListBullet"/>
        <w:spacing w:after="60"/>
      </w:pPr>
      <w:r>
        <w:rPr>
          <w:b/>
        </w:rPr>
        <w:t xml:space="preserve">Non-specific-binding control: </w:t>
      </w:r>
      <w:r>
        <w:t>a diol-free small molecule (e.g. glucuronic-acid-free sugar analogue or a simple carboxylic acid) run through the MPBA-functionalized substrate protocol — tests whether MPBA is genuinely diol-selective on this specific substrate rather than just generically sticky.</w:t>
      </w:r>
    </w:p>
    <w:p>
      <w:pPr>
        <w:pStyle w:val="Heading2"/>
      </w:pPr>
      <w:r>
        <w:t>4.3 Comparison Experiments</w:t>
      </w:r>
    </w:p>
    <w:p>
      <w:pPr>
        <w:pStyle w:val="ListBullet"/>
        <w:spacing w:after="60"/>
      </w:pPr>
      <w:r>
        <w:t>Functionalization-layer comparison: bare Ag vs. MPBA vs. cysteamine/chitosan vs. PDA, each at the same NAM concentration/incubation, to rank capture strategies empirically rather than by literature precedent alone.</w:t>
      </w:r>
    </w:p>
    <w:p>
      <w:pPr>
        <w:pStyle w:val="ListBullet"/>
        <w:spacing w:after="60"/>
      </w:pPr>
      <w:r>
        <w:t>Substrate-generation comparison: current black-Si batch vs. any higher-3D-texture batch produced under Experiment 2, both carrying the same (best-performing) functionalization layer — isolates whether remaining failure is chemistry-limited or substrate-limited.</w:t>
      </w:r>
    </w:p>
    <w:p>
      <w:pPr>
        <w:pStyle w:val="ListBullet"/>
        <w:spacing w:after="60"/>
      </w:pPr>
      <w:r>
        <w:t>Whole-bacterium vs. free-NAM comparison (stretch goal, lower priority): intact Gram-positive/Gram-negative bacterial cell-wall preparation vs. free NAM monomer on the same functionalized substrate, since intact peptidoglycan may present multivalent binding advantages a free monomer lacks.</w:t>
      </w:r>
    </w:p>
    <w:p>
      <w:pPr>
        <w:pStyle w:val="Heading2"/>
      </w:pPr>
      <w:r>
        <w:t>4.4 Concentration Ranges (Literature-Supported)</w:t>
      </w:r>
    </w:p>
    <w:p>
      <w:pPr>
        <w:spacing w:after="120"/>
      </w:pPr>
      <w:r>
        <w:rPr>
          <w:b w:val="0"/>
          <w:i w:val="0"/>
        </w:rPr>
        <w:t>No published free-NAM SERS or LOD study exists to anchor a target range directly (confirmed literature gap, Section 2). The recommended range is therefore built from three reference points: physiological/diagnostic relevance, analytical practicality, and precedent from the closest analogous SERS biomarker assays.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880"/>
            <w:shd w:val="clear" w:fill="1E7A4C"/>
          </w:tcPr>
          <w:p>
            <w:r/>
            <w:r>
              <w:rPr>
                <w:b/>
                <w:color w:val="FFFFFF"/>
                <w:sz w:val="19"/>
              </w:rPr>
              <w:t>Concentration Regime</w:t>
            </w:r>
          </w:p>
        </w:tc>
        <w:tc>
          <w:tcPr>
            <w:tcW w:type="dxa" w:w="2592"/>
            <w:shd w:val="clear" w:fill="1E7A4C"/>
          </w:tcPr>
          <w:p>
            <w:r/>
            <w:r>
              <w:rPr>
                <w:b/>
                <w:color w:val="FFFFFF"/>
                <w:sz w:val="19"/>
              </w:rPr>
              <w:t>Approx. Range</w:t>
            </w:r>
          </w:p>
        </w:tc>
        <w:tc>
          <w:tcPr>
            <w:tcW w:type="dxa" w:w="4464"/>
            <w:shd w:val="clear" w:fill="1E7A4C"/>
          </w:tcPr>
          <w:p>
            <w:r/>
            <w:r>
              <w:rPr>
                <w:b/>
                <w:color w:val="FFFFFF"/>
                <w:sz w:val="19"/>
              </w:rPr>
              <w:t>Rationale</w:t>
            </w:r>
          </w:p>
        </w:tc>
      </w:tr>
      <w:tr>
        <w:tc>
          <w:tcPr>
            <w:tcW w:type="dxa" w:w="2880"/>
          </w:tcPr>
          <w:p>
            <w:r/>
            <w:r>
              <w:rPr>
                <w:sz w:val="18"/>
              </w:rPr>
              <w:t>Method-development / high</w:t>
            </w:r>
          </w:p>
        </w:tc>
        <w:tc>
          <w:tcPr>
            <w:tcW w:type="dxa" w:w="2592"/>
          </w:tcPr>
          <w:p>
            <w:r/>
            <w:r>
              <w:rPr>
                <w:sz w:val="18"/>
              </w:rPr>
              <w:t>1-10 mM</w:t>
            </w:r>
          </w:p>
        </w:tc>
        <w:tc>
          <w:tcPr>
            <w:tcW w:type="dxa" w:w="4464"/>
          </w:tcPr>
          <w:p>
            <w:r/>
            <w:r>
              <w:rPr>
                <w:sz w:val="18"/>
              </w:rPr>
              <w:t>High enough to guarantee measurable solution-phase and SERS signal if the capture chemistry works at all; used to first prove the concept before pushing sensitivity down.</w:t>
            </w:r>
          </w:p>
        </w:tc>
      </w:tr>
      <w:tr>
        <w:tc>
          <w:tcPr>
            <w:tcW w:type="dxa" w:w="2880"/>
            <w:shd w:val="clear" w:fill="EAF4EE"/>
          </w:tcPr>
          <w:p>
            <w:r/>
            <w:r>
              <w:rPr>
                <w:sz w:val="18"/>
              </w:rPr>
              <w:t>Mid-range calibration</w:t>
            </w:r>
          </w:p>
        </w:tc>
        <w:tc>
          <w:tcPr>
            <w:tcW w:type="dxa" w:w="2592"/>
            <w:shd w:val="clear" w:fill="EAF4EE"/>
          </w:tcPr>
          <w:p>
            <w:r/>
            <w:r>
              <w:rPr>
                <w:sz w:val="18"/>
              </w:rPr>
              <w:t>1 uM - 1 mM</w:t>
            </w:r>
          </w:p>
        </w:tc>
        <w:tc>
          <w:tcPr>
            <w:tcW w:type="dxa" w:w="4464"/>
            <w:shd w:val="clear" w:fill="EAF4EE"/>
          </w:tcPr>
          <w:p>
            <w:r/>
            <w:r>
              <w:rPr>
                <w:sz w:val="18"/>
              </w:rPr>
              <w:t>Spans the region where a calibration curve (log-linear SERS intensity vs. concentration) is typically constructed for small-molecule SERS assays.</w:t>
            </w:r>
          </w:p>
        </w:tc>
      </w:tr>
      <w:tr>
        <w:tc>
          <w:tcPr>
            <w:tcW w:type="dxa" w:w="2880"/>
          </w:tcPr>
          <w:p>
            <w:r/>
            <w:r>
              <w:rPr>
                <w:sz w:val="18"/>
              </w:rPr>
              <w:t>Clinically/diagnostically relevant, target</w:t>
            </w:r>
          </w:p>
        </w:tc>
        <w:tc>
          <w:tcPr>
            <w:tcW w:type="dxa" w:w="2592"/>
          </w:tcPr>
          <w:p>
            <w:r/>
            <w:r>
              <w:rPr>
                <w:sz w:val="18"/>
              </w:rPr>
              <w:t>ng/mL-ug/mL range (low-to-sub-uM), by analogy to LPS (ng/mL LOD achieved, Rusciano et al. 2023) and other circulating bacterial-component biomarkers</w:t>
            </w:r>
          </w:p>
        </w:tc>
        <w:tc>
          <w:tcPr>
            <w:tcW w:type="dxa" w:w="4464"/>
          </w:tcPr>
          <w:p>
            <w:r/>
            <w:r>
              <w:rPr>
                <w:sz w:val="18"/>
              </w:rPr>
              <w:t>The eventual clinical assay must reach this range; it is the ultimate target, not the starting point, for this optimization study.</w:t>
            </w:r>
          </w:p>
        </w:tc>
      </w:tr>
    </w:tbl>
    <w:p>
      <w:pPr>
        <w:spacing w:after="40"/>
      </w:pPr>
    </w:p>
    <w:p>
      <w:pPr>
        <w:spacing w:after="120"/>
      </w:pPr>
      <w:r>
        <w:rPr>
          <w:b w:val="0"/>
          <w:i w:val="0"/>
        </w:rPr>
        <w:t>Recommended approach: begin at the high end (1-10 mM) to obtain a first positive SERS signal and confirm the functionalization strategy works at all, then run a full serial dilution (typically 10-fold steps, 6-8 points) down toward the mid-range once a positive condition is found, to establish a calibration curve and empirical LOD. Only after a validated mid-range LOD is established does pushing toward the clinical ng/mL range become the appropriate next stage — attempting the clinical range before capture chemistry is validated risks a false-negative interpretation (no signal because the concentration is simply too low for the current unoptimized system, not because the approach has failed).</w:t>
      </w:r>
    </w:p>
    <w:p>
      <w:pPr>
        <w:pStyle w:val="Heading2"/>
      </w:pPr>
      <w:r>
        <w:t>4.5 Incubation Strategy</w:t>
      </w:r>
    </w:p>
    <w:p>
      <w:pPr>
        <w:spacing w:after="120"/>
      </w:pPr>
      <w:r>
        <w:rPr>
          <w:b w:val="0"/>
          <w:i w:val="0"/>
        </w:rPr>
        <w:t>Static droplet incubation (analyte solution pipetted onto the substrate and left undisturbed) is recommended over flow-through for this optimization phase, since it is simpler to control and matches the project's existing R6G protocol, preserving comparability. The time-course variable (4.1) should be run once on the best-performing functionalization condition to identify the equilibrium binding plateau; all subsequent concentration-series and comparison experiments should then use that fixed, justified incubation time rather than an arbitrary default. Gentle agitation (orbital shaker, low RPM) during incubation is an optional secondary variable if static incubation shows poor reproducibility, since it can improve mass transport of a poorly-diffusing analyte to the surface.</w:t>
      </w:r>
    </w:p>
    <w:p>
      <w:pPr>
        <w:pStyle w:val="Heading2"/>
      </w:pPr>
      <w:r>
        <w:t>4.6 Sample Preparation</w:t>
      </w:r>
    </w:p>
    <w:p>
      <w:pPr>
        <w:pStyle w:val="ListBullet"/>
        <w:spacing w:after="60"/>
      </w:pPr>
      <w:r>
        <w:t>NAM stock solution prepared fresh in ultrapure (18.2 MOhm) water or a low-ionic-strength buffer at a pH consistent with the pH sub-study (4.1); avoid high-salt buffers for initial screening since chloride can interfere with silver surface chemistry and promote AgCl formation, a known silver-SERS-substrate degradation pathway.</w:t>
      </w:r>
    </w:p>
    <w:p>
      <w:pPr>
        <w:pStyle w:val="ListBullet"/>
        <w:spacing w:after="60"/>
      </w:pPr>
      <w:r>
        <w:t>Functionalization reagents (MPBA, cysteamine, chitosan, dopamine) prepared per their standard literature protocols (typically mM-range ethanolic or aqueous solutions, self-assembly incubation on the order of hours) — this project's existing R6G protocol notes should be checked for any prior functionalization attempts to reuse verified concentrations if present.</w:t>
      </w:r>
    </w:p>
    <w:p>
      <w:pPr>
        <w:pStyle w:val="ListBullet"/>
        <w:spacing w:after="60"/>
      </w:pPr>
      <w:r>
        <w:t>Substrates used within a defined, recorded time window after fabrication (e.g. same day or next day) given silver's known ambient-oxidation sensitivity; substrate "age at time of use" should itself be logged as a metadata variable even if not deliberately varied.</w:t>
      </w:r>
    </w:p>
    <w:p>
      <w:pPr>
        <w:pStyle w:val="Heading2"/>
      </w:pPr>
      <w:r>
        <w:t>4.7 Drying Methods</w:t>
      </w:r>
    </w:p>
    <w:p>
      <w:pPr>
        <w:spacing w:after="120"/>
      </w:pPr>
      <w:r>
        <w:rPr>
          <w:b w:val="0"/>
          <w:i w:val="0"/>
        </w:rPr>
        <w:t>Coffee-ring effects (peripheral analyte concentration during droplet evaporation) are a well-documented source of spot-to-spot SERS variability. Nitrogen-stream drying is recommended as the primary method (fast, directional, minimizes ring formation compared to ambient evaporation), with vacuum desiccation as a gentler alternative for delicate functionalized layers, and ambient air-drying retained only as the baseline/control condition against which the other two are compared, since it is the project's presumed current default.</w:t>
      </w:r>
    </w:p>
    <w:p>
      <w:pPr>
        <w:pStyle w:val="Heading2"/>
      </w:pPr>
      <w:r>
        <w:t>4.8 Washing Strategy</w:t>
      </w:r>
    </w:p>
    <w:p>
      <w:pPr>
        <w:spacing w:after="120"/>
      </w:pPr>
      <w:r>
        <w:rPr>
          <w:b w:val="0"/>
          <w:i w:val="0"/>
        </w:rPr>
        <w:t>A brief, gentle DI-water or PBS rinse after incubation (before drying) is recommended as the primary washing strategy, to remove unbound/loosely-adsorbed NAM and background solutes that could otherwise produce a non-specific, non-reproducible signal. A no-wash condition should be retained as a parallel comparison arm specifically to test whether washing removes so much weakly-bound analyte that it eliminates an otherwise-present but weak signal — this directly matters for a poorly-adsorbing analyte like NAM, where over-aggressive washing is a plausible false-negative mechanism in its own right.</w:t>
      </w:r>
    </w:p>
    <w:p>
      <w:pPr>
        <w:pStyle w:val="Heading2"/>
      </w:pPr>
      <w:r>
        <w:t>4.9 Raman Mapping Strategy</w:t>
      </w:r>
    </w:p>
    <w:p>
      <w:pPr>
        <w:pStyle w:val="ListBullet"/>
        <w:spacing w:after="60"/>
      </w:pPr>
      <w:r>
        <w:rPr>
          <w:b/>
        </w:rPr>
        <w:t xml:space="preserve">Multi-point grid mapping: </w:t>
      </w:r>
      <w:r>
        <w:t>a raster grid (e.g. 10x10 to 20x20 points over a few-mm2 area) per substrate rather than single-point spectra, since SERS hotspot density is inherently non-uniform and a single point is not representative.</w:t>
      </w:r>
    </w:p>
    <w:p>
      <w:pPr>
        <w:pStyle w:val="ListBullet"/>
        <w:spacing w:after="60"/>
      </w:pPr>
      <w:r>
        <w:rPr>
          <w:b/>
        </w:rPr>
        <w:t xml:space="preserve">Hotspot-intensity mapping metric: </w:t>
      </w:r>
      <w:r>
        <w:t>generate a 2D heat map of the target NAM band intensity (once bands are provisionally identified from the solution-phase reference spectrum) to visualise capture-layer uniformity and identify whether positive signal is concentrated at edges (coffee-ring artefact) or distributed (genuine uniform capture).</w:t>
      </w:r>
    </w:p>
    <w:p>
      <w:pPr>
        <w:pStyle w:val="ListBullet"/>
        <w:spacing w:after="60"/>
      </w:pPr>
      <w:r>
        <w:rPr>
          <w:b/>
        </w:rPr>
        <w:t xml:space="preserve">Statistical summary per map: </w:t>
      </w:r>
      <w:r>
        <w:t>report mean, standard deviation, and %RSD of the target band intensity across all mapped points, not just a best-spot spectrum — this is essential both for genuine reproducibility characterization and to avoid the common pitfall of publishing a cherry-picked best spectrum.</w:t>
      </w:r>
    </w:p>
    <w:p>
      <w:pPr>
        <w:pStyle w:val="Heading2"/>
      </w:pPr>
      <w:r>
        <w:t>4.10 Repeatability and Reproducibility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736"/>
            <w:shd w:val="clear" w:fill="1E7A4C"/>
          </w:tcPr>
          <w:p>
            <w:r/>
            <w:r>
              <w:rPr>
                <w:b/>
                <w:color w:val="FFFFFF"/>
                <w:sz w:val="19"/>
              </w:rPr>
              <w:t>Level</w:t>
            </w:r>
          </w:p>
        </w:tc>
        <w:tc>
          <w:tcPr>
            <w:tcW w:type="dxa" w:w="3456"/>
            <w:shd w:val="clear" w:fill="1E7A4C"/>
          </w:tcPr>
          <w:p>
            <w:r/>
            <w:r>
              <w:rPr>
                <w:b/>
                <w:color w:val="FFFFFF"/>
                <w:sz w:val="19"/>
              </w:rPr>
              <w:t>What It Tests</w:t>
            </w:r>
          </w:p>
        </w:tc>
        <w:tc>
          <w:tcPr>
            <w:tcW w:type="dxa" w:w="3600"/>
            <w:shd w:val="clear" w:fill="1E7A4C"/>
          </w:tcPr>
          <w:p>
            <w:r/>
            <w:r>
              <w:rPr>
                <w:b/>
                <w:color w:val="FFFFFF"/>
                <w:sz w:val="19"/>
              </w:rPr>
              <w:t>Recommended Design</w:t>
            </w:r>
          </w:p>
        </w:tc>
      </w:tr>
      <w:tr>
        <w:tc>
          <w:tcPr>
            <w:tcW w:type="dxa" w:w="2736"/>
          </w:tcPr>
          <w:p>
            <w:r/>
            <w:r>
              <w:rPr>
                <w:sz w:val="18"/>
              </w:rPr>
              <w:t>Repeatability (same spot)</w:t>
            </w:r>
          </w:p>
        </w:tc>
        <w:tc>
          <w:tcPr>
            <w:tcW w:type="dxa" w:w="3456"/>
          </w:tcPr>
          <w:p>
            <w:r/>
            <w:r>
              <w:rPr>
                <w:sz w:val="18"/>
              </w:rPr>
              <w:t>Measurement/instrument noise floor</w:t>
            </w:r>
          </w:p>
        </w:tc>
        <w:tc>
          <w:tcPr>
            <w:tcW w:type="dxa" w:w="3600"/>
          </w:tcPr>
          <w:p>
            <w:r/>
            <w:r>
              <w:rPr>
                <w:sz w:val="18"/>
              </w:rPr>
              <w:t>5 consecutive acquisitions at the same point, same substrate, same session</w:t>
            </w:r>
          </w:p>
        </w:tc>
      </w:tr>
      <w:tr>
        <w:tc>
          <w:tcPr>
            <w:tcW w:type="dxa" w:w="2736"/>
            <w:shd w:val="clear" w:fill="EAF4EE"/>
          </w:tcPr>
          <w:p>
            <w:r/>
            <w:r>
              <w:rPr>
                <w:sz w:val="18"/>
              </w:rPr>
              <w:t>Repeatability (same substrate, multiple spots)</w:t>
            </w:r>
          </w:p>
        </w:tc>
        <w:tc>
          <w:tcPr>
            <w:tcW w:type="dxa" w:w="3456"/>
            <w:shd w:val="clear" w:fill="EAF4EE"/>
          </w:tcPr>
          <w:p>
            <w:r/>
            <w:r>
              <w:rPr>
                <w:sz w:val="18"/>
              </w:rPr>
              <w:t>Within-substrate spatial uniformity</w:t>
            </w:r>
          </w:p>
        </w:tc>
        <w:tc>
          <w:tcPr>
            <w:tcW w:type="dxa" w:w="3600"/>
            <w:shd w:val="clear" w:fill="EAF4EE"/>
          </w:tcPr>
          <w:p>
            <w:r/>
            <w:r>
              <w:rPr>
                <w:sz w:val="18"/>
              </w:rPr>
              <w:t>Full grid map (4.9), report %RSD across points</w:t>
            </w:r>
          </w:p>
        </w:tc>
      </w:tr>
      <w:tr>
        <w:tc>
          <w:tcPr>
            <w:tcW w:type="dxa" w:w="2736"/>
          </w:tcPr>
          <w:p>
            <w:r/>
            <w:r>
              <w:rPr>
                <w:sz w:val="18"/>
              </w:rPr>
              <w:t>Reproducibility (substrate-to-substrate)</w:t>
            </w:r>
          </w:p>
        </w:tc>
        <w:tc>
          <w:tcPr>
            <w:tcW w:type="dxa" w:w="3456"/>
          </w:tcPr>
          <w:p>
            <w:r/>
            <w:r>
              <w:rPr>
                <w:sz w:val="18"/>
              </w:rPr>
              <w:t>Batch/fabrication consistency</w:t>
            </w:r>
          </w:p>
        </w:tc>
        <w:tc>
          <w:tcPr>
            <w:tcW w:type="dxa" w:w="3600"/>
          </w:tcPr>
          <w:p>
            <w:r/>
            <w:r>
              <w:rPr>
                <w:sz w:val="18"/>
              </w:rPr>
              <w:t>N&gt;=3 independently fabricated substrates per condition, same protocol</w:t>
            </w:r>
          </w:p>
        </w:tc>
      </w:tr>
      <w:tr>
        <w:tc>
          <w:tcPr>
            <w:tcW w:type="dxa" w:w="2736"/>
            <w:shd w:val="clear" w:fill="EAF4EE"/>
          </w:tcPr>
          <w:p>
            <w:r/>
            <w:r>
              <w:rPr>
                <w:sz w:val="18"/>
              </w:rPr>
              <w:t>Reproducibility (day-to-day)</w:t>
            </w:r>
          </w:p>
        </w:tc>
        <w:tc>
          <w:tcPr>
            <w:tcW w:type="dxa" w:w="3456"/>
            <w:shd w:val="clear" w:fill="EAF4EE"/>
          </w:tcPr>
          <w:p>
            <w:r/>
            <w:r>
              <w:rPr>
                <w:sz w:val="18"/>
              </w:rPr>
              <w:t>Operator/environmental/instrument drift</w:t>
            </w:r>
          </w:p>
        </w:tc>
        <w:tc>
          <w:tcPr>
            <w:tcW w:type="dxa" w:w="3600"/>
            <w:shd w:val="clear" w:fill="EAF4EE"/>
          </w:tcPr>
          <w:p>
            <w:r/>
            <w:r>
              <w:rPr>
                <w:sz w:val="18"/>
              </w:rPr>
              <w:t>Repeat the best-performing condition on &gt;=2 separate days</w:t>
            </w:r>
          </w:p>
        </w:tc>
      </w:tr>
    </w:tbl>
    <w:p>
      <w:pPr>
        <w:spacing w:after="40"/>
      </w:pPr>
    </w:p>
    <w:p>
      <w:pPr>
        <w:pStyle w:val="Heading2"/>
      </w:pPr>
      <w:r>
        <w:t>4.11 Statistical Analysis</w:t>
      </w:r>
    </w:p>
    <w:p>
      <w:pPr>
        <w:pStyle w:val="ListBullet"/>
        <w:spacing w:after="60"/>
      </w:pPr>
      <w:r>
        <w:t>Report %RSD (relative standard deviation) for every repeatability/reproducibility level in 4.10, with a target of &lt;20% for a defensible publication claim (literature range for comparable substrates spans 5-27%, Section 2).</w:t>
      </w:r>
    </w:p>
    <w:p>
      <w:pPr>
        <w:pStyle w:val="ListBullet"/>
        <w:spacing w:after="60"/>
      </w:pPr>
      <w:r>
        <w:t>Use a one-way ANOVA (or Kruskal-Wallis if normality is not established, given likely small N per condition) to test whether functionalization-layer conditions in 4.1/4.3 produce statistically distinguishable target-band intensities, not just visually different average spectra.</w:t>
      </w:r>
    </w:p>
    <w:p>
      <w:pPr>
        <w:pStyle w:val="ListBullet"/>
        <w:spacing w:after="60"/>
      </w:pPr>
      <w:r>
        <w:t>Construct a calibration curve (log SERS intensity vs. log concentration) once a positive functionalization condition is found, with linear regression R2 and a limit-of-detection estimate via the 3-sigma-of-blank method, consistent with standard analytical-chemistry LOD practice.</w:t>
      </w:r>
    </w:p>
    <w:p>
      <w:pPr>
        <w:pStyle w:val="ListBullet"/>
        <w:spacing w:after="60"/>
      </w:pPr>
      <w:r>
        <w:t>Apply baseline correction and, where fluorescence background is significant, a consistent background-subtraction method across all compared spectra before any quantitative comparison — inconsistent preprocessing is a common source of spurious peak claims.</w:t>
      </w:r>
    </w:p>
    <w:p>
      <w:pPr>
        <w:pStyle w:val="Heading2"/>
      </w:pPr>
      <w:r>
        <w:t>4.12 Scientific Reasoning Summary</w:t>
      </w:r>
    </w:p>
    <w:p>
      <w:pPr>
        <w:spacing w:after="120"/>
      </w:pPr>
      <w:r>
        <w:rPr>
          <w:b w:val="0"/>
          <w:i w:val="0"/>
        </w:rPr>
        <w:t>Every sub-study above is designed to isolate one variable at a time against the project's current, already-characterized failure mode: R6G (a strongly resonant, cationic, surface-affinitive dye) works, while NAM (a weak-cross-section, non-resonant, poorly surface-affinitive small carbohydrate) does not. The functionalization-layer comparison (4.1, 4.3) directly targets the surface-affinity gap. The concentration series (4.4) distinguishes a sensitivity problem from a complete-absence-of-capture problem. The incubation, drying, and washing studies (4.5, 4.7, 4.8) target sample-handling confounds that could produce false negatives even if the underlying chemistry is sound. The mapping and statistics protocol (4.9-4.11) ensures that any positive result obtained is defensible as genuine, reproducible signal rather than a single lucky spectrum — a distinction that matters directly for publication readiness.</w:t>
      </w:r>
    </w:p>
    <w:p>
      <w:r>
        <w:br w:type="page"/>
      </w:r>
    </w:p>
    <w:p>
      <w:pPr>
        <w:pStyle w:val="Heading1"/>
      </w:pPr>
      <w:r>
        <w:t>5. Experiment 1 — Decision Tree</w:t>
      </w:r>
    </w:p>
    <w:p>
      <w:pPr>
        <w:spacing w:after="120"/>
      </w:pPr>
      <w:r>
        <w:rPr>
          <w:b w:val="0"/>
          <w:i w:val="0"/>
        </w:rPr>
        <w:t>The following decision logic should be applied after each stage of Experiment 1, in sequence, so that a negative result at any stage routes to a specific diagnostic action rather than a generic "try again."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744"/>
            <w:shd w:val="clear" w:fill="1E7A4C"/>
          </w:tcPr>
          <w:p>
            <w:r/>
            <w:r>
              <w:rPr>
                <w:b/>
                <w:color w:val="FFFFFF"/>
                <w:sz w:val="19"/>
              </w:rPr>
              <w:t>Stage / Question</w:t>
            </w:r>
          </w:p>
        </w:tc>
        <w:tc>
          <w:tcPr>
            <w:tcW w:type="dxa" w:w="3456"/>
            <w:shd w:val="clear" w:fill="1E7A4C"/>
          </w:tcPr>
          <w:p>
            <w:r/>
            <w:r>
              <w:rPr>
                <w:b/>
                <w:color w:val="FFFFFF"/>
                <w:sz w:val="19"/>
              </w:rPr>
              <w:t>If YES / Success</w:t>
            </w:r>
          </w:p>
        </w:tc>
        <w:tc>
          <w:tcPr>
            <w:tcW w:type="dxa" w:w="3456"/>
            <w:shd w:val="clear" w:fill="1E7A4C"/>
          </w:tcPr>
          <w:p>
            <w:r/>
            <w:r>
              <w:rPr>
                <w:b/>
                <w:color w:val="FFFFFF"/>
                <w:sz w:val="19"/>
              </w:rPr>
              <w:t>If NO / Failure</w:t>
            </w:r>
          </w:p>
        </w:tc>
      </w:tr>
      <w:tr>
        <w:tc>
          <w:tcPr>
            <w:tcW w:type="dxa" w:w="3744"/>
          </w:tcPr>
          <w:p>
            <w:r/>
            <w:r>
              <w:rPr>
                <w:sz w:val="18"/>
              </w:rPr>
              <w:t>Does bare-Ag + high-concentration NAM (bare-substrate control) show any signal distinguishable from blank?</w:t>
            </w:r>
          </w:p>
        </w:tc>
        <w:tc>
          <w:tcPr>
            <w:tcW w:type="dxa" w:w="3456"/>
          </w:tcPr>
          <w:p>
            <w:r/>
            <w:r>
              <w:rPr>
                <w:sz w:val="18"/>
              </w:rPr>
              <w:t>Unlikely per prior results, but if so: proceed directly to concentration-series and mapping (skip functionalization comparison as first priority).</w:t>
            </w:r>
          </w:p>
        </w:tc>
        <w:tc>
          <w:tcPr>
            <w:tcW w:type="dxa" w:w="3456"/>
          </w:tcPr>
          <w:p>
            <w:r/>
            <w:r>
              <w:rPr>
                <w:sz w:val="18"/>
              </w:rPr>
              <w:t>Expected outcome given prior data. Proceed to functionalization-layer comparison (4.1/4.3) as the primary next step.</w:t>
            </w:r>
          </w:p>
        </w:tc>
      </w:tr>
      <w:tr>
        <w:tc>
          <w:tcPr>
            <w:tcW w:type="dxa" w:w="3744"/>
            <w:shd w:val="clear" w:fill="EAF4EE"/>
          </w:tcPr>
          <w:p>
            <w:r/>
            <w:r>
              <w:rPr>
                <w:sz w:val="18"/>
              </w:rPr>
              <w:t>Does the MPBA-functionalized substrate show a NAM-attributable signal (matching solution-phase reference bands) at high concentration, vs. bare-Ag and blank controls?</w:t>
            </w:r>
          </w:p>
        </w:tc>
        <w:tc>
          <w:tcPr>
            <w:tcW w:type="dxa" w:w="3456"/>
            <w:shd w:val="clear" w:fill="EAF4EE"/>
          </w:tcPr>
          <w:p>
            <w:r/>
            <w:r>
              <w:rPr>
                <w:sz w:val="18"/>
              </w:rPr>
              <w:t>Capture-chemistry hypothesis confirmed. Proceed to concentration series (4.4) to establish LOD, then mapping/statistics (4.9-4.11).</w:t>
            </w:r>
          </w:p>
        </w:tc>
        <w:tc>
          <w:tcPr>
            <w:tcW w:type="dxa" w:w="3456"/>
            <w:shd w:val="clear" w:fill="EAF4EE"/>
          </w:tcPr>
          <w:p>
            <w:r/>
            <w:r>
              <w:rPr>
                <w:sz w:val="18"/>
              </w:rPr>
              <w:t>Test remaining functionalization layers (cysteamine/chitosan, PDA). If ALL functionalization layers fail at high concentration, proceed to Experiment 2 (substrate/hotspot limitation is now the higher-probability explanation) before further chemistry iteration.</w:t>
            </w:r>
          </w:p>
        </w:tc>
      </w:tr>
      <w:tr>
        <w:tc>
          <w:tcPr>
            <w:tcW w:type="dxa" w:w="3744"/>
          </w:tcPr>
          <w:p>
            <w:r/>
            <w:r>
              <w:rPr>
                <w:sz w:val="18"/>
              </w:rPr>
              <w:t>Once a positive functionalization condition is found, does signal intensity scale consistently with concentration across the serial dilution?</w:t>
            </w:r>
          </w:p>
        </w:tc>
        <w:tc>
          <w:tcPr>
            <w:tcW w:type="dxa" w:w="3456"/>
          </w:tcPr>
          <w:p>
            <w:r/>
            <w:r>
              <w:rPr>
                <w:sz w:val="18"/>
              </w:rPr>
              <w:t>Proceed to full reproducibility/statistics protocol (4.10-4.11) and begin drafting the quantitative LOD/calibration-curve result for publication.</w:t>
            </w:r>
          </w:p>
        </w:tc>
        <w:tc>
          <w:tcPr>
            <w:tcW w:type="dxa" w:w="3456"/>
          </w:tcPr>
          <w:p>
            <w:r/>
            <w:r>
              <w:rPr>
                <w:sz w:val="18"/>
              </w:rPr>
              <w:t>Investigate incubation time/temperature and washing-strategy variables (4.5, 4.8) as the likely cause of non-monotonic or inconsistent response before concluding the chemistry itself has failed.</w:t>
            </w:r>
          </w:p>
        </w:tc>
      </w:tr>
      <w:tr>
        <w:tc>
          <w:tcPr>
            <w:tcW w:type="dxa" w:w="3744"/>
            <w:shd w:val="clear" w:fill="EAF4EE"/>
          </w:tcPr>
          <w:p>
            <w:r/>
            <w:r>
              <w:rPr>
                <w:sz w:val="18"/>
              </w:rPr>
              <w:t>Does the best condition achieve &lt;20% RSD across substrates (substrate-to-substrate reproducibility, 4.10)?</w:t>
            </w:r>
          </w:p>
        </w:tc>
        <w:tc>
          <w:tcPr>
            <w:tcW w:type="dxa" w:w="3456"/>
            <w:shd w:val="clear" w:fill="EAF4EE"/>
          </w:tcPr>
          <w:p>
            <w:r/>
            <w:r>
              <w:rPr>
                <w:sz w:val="18"/>
              </w:rPr>
              <w:t>Substrate and protocol are publication-ready on the reproducibility axis; proceed to extending the validated protocol to LPS and LTA.</w:t>
            </w:r>
          </w:p>
        </w:tc>
        <w:tc>
          <w:tcPr>
            <w:tcW w:type="dxa" w:w="3456"/>
            <w:shd w:val="clear" w:fill="EAF4EE"/>
          </w:tcPr>
          <w:p>
            <w:r/>
            <w:r>
              <w:rPr>
                <w:sz w:val="18"/>
              </w:rPr>
              <w:t>Escalate to Experiment 2 (Section 6) to determine whether fabrication-level morphology control, not chemistry, is the limiting factor on reproducibility.</w:t>
            </w:r>
          </w:p>
        </w:tc>
      </w:tr>
    </w:tbl>
    <w:p>
      <w:pPr>
        <w:spacing w:after="40"/>
      </w:pPr>
    </w:p>
    <w:p>
      <w:pPr>
        <w:pStyle w:val="Heading1"/>
      </w:pPr>
      <w:r>
        <w:t>6. Experiment 2 — Black Silicon Substrate Optimization</w:t>
      </w:r>
    </w:p>
    <w:p>
      <w:pPr>
        <w:pStyle w:val="Heading2"/>
      </w:pPr>
      <w:r>
        <w:t>6.1 Review of Current Fabrication Method</w:t>
      </w:r>
    </w:p>
    <w:p>
      <w:pPr>
        <w:spacing w:after="120"/>
      </w:pPr>
      <w:r>
        <w:rPr>
          <w:b w:val="0"/>
          <w:i w:val="0"/>
        </w:rPr>
        <w:t>Per the project's documented fabrication notes, the substrate is produced by a one-step metal-assisted chemical etching (MACE) process: an AgNO3/HF bath simultaneously deposits silver and etches the underlying silicon, in a single immersion step, without a separate silver-strip-and-regrowth cycle. This is a recognised and literature-precedented route (Golubewa et al. 2024; Kochylas et al. 2021) — the process itself is sound. The resulting morphology, per SEM references in the project's reports, is a dendritic/mixed silver deposit on a relatively planar-to-moderately-textured black-Si surface, rather than a deliberately engineered high-aspect-ratio nanowire or nanopore array.</w:t>
      </w:r>
    </w:p>
    <w:p>
      <w:pPr>
        <w:pStyle w:val="Heading2"/>
      </w:pPr>
      <w:r>
        <w:t>6.2 Is the Current Morphology Likely to Generate Efficient Hotspots?</w:t>
      </w:r>
    </w:p>
    <w:p>
      <w:pPr>
        <w:spacing w:after="120"/>
      </w:pPr>
      <w:r>
        <w:rPr>
          <w:b w:val="0"/>
          <w:i w:val="0"/>
        </w:rPr>
        <w:t>Assessed against the literature benchmarks in Section 2, the current morphology is plausibly capable of some electromagnetic enhancement (consistent with the positive R6G result) but is unlikely to be operating near the upper end of the achievable enhancement range for this substrate class, for three specific reasons grounded in the literature comparisons above: (1) as-grown dendritic silver morphology has been shown to underperform a regrowth-refined "aggregate" morphology on the same one-step MACE process for LOD and uniformity (Kochylas et al. 2021); (2) a more planar/2D-dominant texture, while more reproducible, generates measurably lower peak enhancement than a genuinely 3D nanowire scaffold (up to ~10x difference reported); and (3) without a completed EDS/AFM/contact-angle characterization record (Section 3 comparison table), the project cannot currently confirm silver areal coverage, interparticle gap distribution, or surface roughness quantitatively — meaning the hotspot-density question is not yet answerable from existing data and is itself a characterization gap, not only a fabrication gap.</w:t>
      </w:r>
    </w:p>
    <w:p>
      <w:pPr>
        <w:pStyle w:val="Heading2"/>
      </w:pPr>
      <w:r>
        <w:t>6.3 Recommended Target Parameters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304"/>
            <w:shd w:val="clear" w:fill="1E7A4C"/>
          </w:tcPr>
          <w:p>
            <w:r/>
            <w:r>
              <w:rPr>
                <w:b/>
                <w:color w:val="FFFFFF"/>
                <w:sz w:val="19"/>
              </w:rPr>
              <w:t>Parameter</w:t>
            </w:r>
          </w:p>
        </w:tc>
        <w:tc>
          <w:tcPr>
            <w:tcW w:type="dxa" w:w="4176"/>
            <w:shd w:val="clear" w:fill="1E7A4C"/>
          </w:tcPr>
          <w:p>
            <w:r/>
            <w:r>
              <w:rPr>
                <w:b/>
                <w:color w:val="FFFFFF"/>
                <w:sz w:val="19"/>
              </w:rPr>
              <w:t>Recommended Target</w:t>
            </w:r>
          </w:p>
        </w:tc>
        <w:tc>
          <w:tcPr>
            <w:tcW w:type="dxa" w:w="3456"/>
            <w:shd w:val="clear" w:fill="1E7A4C"/>
          </w:tcPr>
          <w:p>
            <w:r/>
            <w:r>
              <w:rPr>
                <w:b/>
                <w:color w:val="FFFFFF"/>
                <w:sz w:val="19"/>
              </w:rPr>
              <w:t>Literature Basis / Rationale</w:t>
            </w:r>
          </w:p>
        </w:tc>
      </w:tr>
      <w:tr>
        <w:tc>
          <w:tcPr>
            <w:tcW w:type="dxa" w:w="2304"/>
          </w:tcPr>
          <w:p>
            <w:r/>
            <w:r>
              <w:rPr>
                <w:sz w:val="18"/>
              </w:rPr>
              <w:t>Nanostructure type</w:t>
            </w:r>
          </w:p>
        </w:tc>
        <w:tc>
          <w:tcPr>
            <w:tcW w:type="dxa" w:w="4176"/>
          </w:tcPr>
          <w:p>
            <w:r/>
            <w:r>
              <w:rPr>
                <w:sz w:val="18"/>
              </w:rPr>
              <w:t>Silicon nanowire array (moderately dense) or nanoporous Si, rather than shallow/mixed dendritic texture</w:t>
            </w:r>
          </w:p>
        </w:tc>
        <w:tc>
          <w:tcPr>
            <w:tcW w:type="dxa" w:w="3456"/>
          </w:tcPr>
          <w:p>
            <w:r/>
            <w:r>
              <w:rPr>
                <w:sz w:val="18"/>
              </w:rPr>
              <w:t>3D nanowire scaffolds show up to ~10x higher enhancement than flatter equivalents carrying the same AgNPs</w:t>
            </w:r>
          </w:p>
        </w:tc>
      </w:tr>
      <w:tr>
        <w:tc>
          <w:tcPr>
            <w:tcW w:type="dxa" w:w="2304"/>
            <w:shd w:val="clear" w:fill="EAF4EE"/>
          </w:tcPr>
          <w:p>
            <w:r/>
            <w:r>
              <w:rPr>
                <w:sz w:val="18"/>
              </w:rPr>
              <w:t>Pore/wire diameter</w:t>
            </w:r>
          </w:p>
        </w:tc>
        <w:tc>
          <w:tcPr>
            <w:tcW w:type="dxa" w:w="4176"/>
            <w:shd w:val="clear" w:fill="EAF4EE"/>
          </w:tcPr>
          <w:p>
            <w:r/>
            <w:r>
              <w:rPr>
                <w:sz w:val="18"/>
              </w:rPr>
              <w:t>~50-200 nm range (process-tunable via AgNO3 concentration and etch time)</w:t>
            </w:r>
          </w:p>
        </w:tc>
        <w:tc>
          <w:tcPr>
            <w:tcW w:type="dxa" w:w="3456"/>
            <w:shd w:val="clear" w:fill="EAF4EE"/>
          </w:tcPr>
          <w:p>
            <w:r/>
            <w:r>
              <w:rPr>
                <w:sz w:val="18"/>
              </w:rPr>
              <w:t>Commonly reported MACE nanowire diameter range for black-Si SERS substrates</w:t>
            </w:r>
          </w:p>
        </w:tc>
      </w:tr>
      <w:tr>
        <w:tc>
          <w:tcPr>
            <w:tcW w:type="dxa" w:w="2304"/>
          </w:tcPr>
          <w:p>
            <w:r/>
            <w:r>
              <w:rPr>
                <w:sz w:val="18"/>
              </w:rPr>
              <w:t>Aspect ratio (length:diameter)</w:t>
            </w:r>
          </w:p>
        </w:tc>
        <w:tc>
          <w:tcPr>
            <w:tcW w:type="dxa" w:w="4176"/>
          </w:tcPr>
          <w:p>
            <w:r/>
            <w:r>
              <w:rPr>
                <w:sz w:val="18"/>
              </w:rPr>
              <w:t>Moderate-high (targeting the 3D-dominant regime) but not extreme, given the documented 2D-vs-3D reproducibility trade-off</w:t>
            </w:r>
          </w:p>
        </w:tc>
        <w:tc>
          <w:tcPr>
            <w:tcW w:type="dxa" w:w="3456"/>
          </w:tcPr>
          <w:p>
            <w:r/>
            <w:r>
              <w:rPr>
                <w:sz w:val="18"/>
              </w:rPr>
              <w:t>3D-dominant morphology gave higher raw enhancement but ~5x worse RSD than 2D-dominant in a directly comparable core-shell nanowire study</w:t>
            </w:r>
          </w:p>
        </w:tc>
      </w:tr>
      <w:tr>
        <w:tc>
          <w:tcPr>
            <w:tcW w:type="dxa" w:w="2304"/>
            <w:shd w:val="clear" w:fill="EAF4EE"/>
          </w:tcPr>
          <w:p>
            <w:r/>
            <w:r>
              <w:rPr>
                <w:sz w:val="18"/>
              </w:rPr>
              <w:t>Pore/wire density</w:t>
            </w:r>
          </w:p>
        </w:tc>
        <w:tc>
          <w:tcPr>
            <w:tcW w:type="dxa" w:w="4176"/>
            <w:shd w:val="clear" w:fill="EAF4EE"/>
          </w:tcPr>
          <w:p>
            <w:r/>
            <w:r>
              <w:rPr>
                <w:sz w:val="18"/>
              </w:rPr>
              <w:t>Moderate, evenly distributed rather than maximally dense</w:t>
            </w:r>
          </w:p>
        </w:tc>
        <w:tc>
          <w:tcPr>
            <w:tcW w:type="dxa" w:w="3456"/>
            <w:shd w:val="clear" w:fill="EAF4EE"/>
          </w:tcPr>
          <w:p>
            <w:r/>
            <w:r>
              <w:rPr>
                <w:sz w:val="18"/>
              </w:rPr>
              <w:t>Excessive density risks wire clumping/collapse (a known MACE artefact) which degrades reproducibility without proportionally increasing hotspot count</w:t>
            </w:r>
          </w:p>
        </w:tc>
      </w:tr>
      <w:tr>
        <w:tc>
          <w:tcPr>
            <w:tcW w:type="dxa" w:w="2304"/>
          </w:tcPr>
          <w:p>
            <w:r/>
            <w:r>
              <w:rPr>
                <w:sz w:val="18"/>
              </w:rPr>
              <w:t>Surface roughness</w:t>
            </w:r>
          </w:p>
        </w:tc>
        <w:tc>
          <w:tcPr>
            <w:tcW w:type="dxa" w:w="4176"/>
          </w:tcPr>
          <w:p>
            <w:r/>
            <w:r>
              <w:rPr>
                <w:sz w:val="18"/>
              </w:rPr>
              <w:t>Increased relative to current planar-dominant texture, but characterized (AFM) rather than assumed</w:t>
            </w:r>
          </w:p>
        </w:tc>
        <w:tc>
          <w:tcPr>
            <w:tcW w:type="dxa" w:w="3456"/>
          </w:tcPr>
          <w:p>
            <w:r/>
            <w:r>
              <w:rPr>
                <w:sz w:val="18"/>
              </w:rPr>
              <w:t>Roughness correlates with achievable surface-area-normalised hotspot density; currently unmeasured on this project's substrates</w:t>
            </w:r>
          </w:p>
        </w:tc>
      </w:tr>
      <w:tr>
        <w:tc>
          <w:tcPr>
            <w:tcW w:type="dxa" w:w="2304"/>
            <w:shd w:val="clear" w:fill="EAF4EE"/>
          </w:tcPr>
          <w:p>
            <w:r/>
            <w:r>
              <w:rPr>
                <w:sz w:val="18"/>
              </w:rPr>
              <w:t>AgNP morphology</w:t>
            </w:r>
          </w:p>
        </w:tc>
        <w:tc>
          <w:tcPr>
            <w:tcW w:type="dxa" w:w="4176"/>
            <w:shd w:val="clear" w:fill="EAF4EE"/>
          </w:tcPr>
          <w:p>
            <w:r/>
            <w:r>
              <w:rPr>
                <w:sz w:val="18"/>
              </w:rPr>
              <w:t>Aggregate/regrown morphology in preference to as-grown dendritic</w:t>
            </w:r>
          </w:p>
        </w:tc>
        <w:tc>
          <w:tcPr>
            <w:tcW w:type="dxa" w:w="3456"/>
            <w:shd w:val="clear" w:fill="EAF4EE"/>
          </w:tcPr>
          <w:p>
            <w:r/>
            <w:r>
              <w:rPr>
                <w:sz w:val="18"/>
              </w:rPr>
              <w:t>Directly shown to outperform dendritic on the same one-step MACE process (Kochylas et al. 2021)</w:t>
            </w:r>
          </w:p>
        </w:tc>
      </w:tr>
      <w:tr>
        <w:tc>
          <w:tcPr>
            <w:tcW w:type="dxa" w:w="2304"/>
          </w:tcPr>
          <w:p>
            <w:r/>
            <w:r>
              <w:rPr>
                <w:sz w:val="18"/>
              </w:rPr>
              <w:t>AgNP size range</w:t>
            </w:r>
          </w:p>
        </w:tc>
        <w:tc>
          <w:tcPr>
            <w:tcW w:type="dxa" w:w="4176"/>
          </w:tcPr>
          <w:p>
            <w:r/>
            <w:r>
              <w:rPr>
                <w:sz w:val="18"/>
              </w:rPr>
              <w:t>~50-100 nm</w:t>
            </w:r>
          </w:p>
        </w:tc>
        <w:tc>
          <w:tcPr>
            <w:tcW w:type="dxa" w:w="3456"/>
          </w:tcPr>
          <w:p>
            <w:r/>
            <w:r>
              <w:rPr>
                <w:sz w:val="18"/>
              </w:rPr>
              <w:t>Commonly cited optimum for visible/NIR-excited SERS across the general silver-SERS literature</w:t>
            </w:r>
          </w:p>
        </w:tc>
      </w:tr>
      <w:tr>
        <w:tc>
          <w:tcPr>
            <w:tcW w:type="dxa" w:w="2304"/>
            <w:shd w:val="clear" w:fill="EAF4EE"/>
          </w:tcPr>
          <w:p>
            <w:r/>
            <w:r>
              <w:rPr>
                <w:sz w:val="18"/>
              </w:rPr>
              <w:t>Hotspot (interparticle) spacing</w:t>
            </w:r>
          </w:p>
        </w:tc>
        <w:tc>
          <w:tcPr>
            <w:tcW w:type="dxa" w:w="4176"/>
            <w:shd w:val="clear" w:fill="EAF4EE"/>
          </w:tcPr>
          <w:p>
            <w:r/>
            <w:r>
              <w:rPr>
                <w:sz w:val="18"/>
              </w:rPr>
              <w:t>Sub-10 nm, ideally 1-5 nm</w:t>
            </w:r>
          </w:p>
        </w:tc>
        <w:tc>
          <w:tcPr>
            <w:tcW w:type="dxa" w:w="3456"/>
            <w:shd w:val="clear" w:fill="EAF4EE"/>
          </w:tcPr>
          <w:p>
            <w:r/>
            <w:r>
              <w:rPr>
                <w:sz w:val="18"/>
              </w:rPr>
              <w:t>|E|^4 field-enhancement law makes SERS intensity extremely sensitive to gap size in this range</w:t>
            </w:r>
          </w:p>
        </w:tc>
      </w:tr>
      <w:tr>
        <w:tc>
          <w:tcPr>
            <w:tcW w:type="dxa" w:w="2304"/>
          </w:tcPr>
          <w:p>
            <w:r/>
            <w:r>
              <w:rPr>
                <w:sz w:val="18"/>
              </w:rPr>
              <w:t>Deposition/regrowth approach</w:t>
            </w:r>
          </w:p>
        </w:tc>
        <w:tc>
          <w:tcPr>
            <w:tcW w:type="dxa" w:w="4176"/>
          </w:tcPr>
          <w:p>
            <w:r/>
            <w:r>
              <w:rPr>
                <w:sz w:val="18"/>
              </w:rPr>
              <w:t>Add a silver-strip (dilute HNO3) + fresh AgNO3/HF re-immersion cycle after the initial etch, rather than single-bath as-grown silver</w:t>
            </w:r>
          </w:p>
        </w:tc>
        <w:tc>
          <w:tcPr>
            <w:tcW w:type="dxa" w:w="3456"/>
          </w:tcPr>
          <w:p>
            <w:r/>
            <w:r>
              <w:rPr>
                <w:sz w:val="18"/>
              </w:rPr>
              <w:t>Directly demonstrated regrowth-cycle improvement over as-grown dendritic silver on this exact substrate class</w:t>
            </w:r>
          </w:p>
        </w:tc>
      </w:tr>
    </w:tbl>
    <w:p>
      <w:pPr>
        <w:spacing w:after="40"/>
      </w:pPr>
    </w:p>
    <w:p>
      <w:pPr>
        <w:pStyle w:val="Heading2"/>
      </w:pPr>
      <w:r>
        <w:t>6.4 Comparison with Existing Substrate</w:t>
      </w:r>
    </w:p>
    <w:p>
      <w:pPr>
        <w:spacing w:after="120"/>
      </w:pPr>
      <w:r>
        <w:rPr>
          <w:b w:val="0"/>
          <w:i w:val="0"/>
        </w:rPr>
        <w:t>The existing substrate's fabrication chemistry (MACE, AgNO3/HF) is already aligned with the literature-preferred route and does not itself need to be replaced. The gap is specifically in two refinements layered onto the same chemistry: (1) a silver strip-and-regrowth cycle to shift morphology from as-grown dendritic toward aggregate/controlled, and (2) a deliberate push toward a more pronounced 3D nanowire/nanoporous texture via AgNO3 concentration and etch-time tuning, balanced against the known reproducibility cost of over-aggressive 3D texturing. Both refinements are incremental modifications to the existing process, not a fabrication-route change, and are therefore low-cost and low-risk to trial against the current baseline batch.</w:t>
      </w:r>
    </w:p>
    <w:p>
      <w:r>
        <w:br w:type="page"/>
      </w:r>
    </w:p>
    <w:p>
      <w:pPr>
        <w:pStyle w:val="Heading1"/>
      </w:pPr>
      <w:r>
        <w:t>7. Most Probable Reasons for Poor Enhancement (If Present)</w:t>
      </w:r>
    </w:p>
    <w:p>
      <w:pPr>
        <w:spacing w:after="120"/>
      </w:pPr>
      <w:r>
        <w:rPr>
          <w:b w:val="0"/>
          <w:i w:val="0"/>
        </w:rPr>
        <w:t>Ranked by estimated probability, consistent with and extending the root-cause ranking in the companion "Critical Scientific Evaluation" report: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864"/>
            <w:shd w:val="clear" w:fill="1E7A4C"/>
          </w:tcPr>
          <w:p>
            <w:r/>
            <w:r>
              <w:rPr>
                <w:b/>
                <w:color w:val="FFFFFF"/>
                <w:sz w:val="19"/>
              </w:rPr>
              <w:t>Rank</w:t>
            </w:r>
          </w:p>
        </w:tc>
        <w:tc>
          <w:tcPr>
            <w:tcW w:type="dxa" w:w="4176"/>
            <w:shd w:val="clear" w:fill="1E7A4C"/>
          </w:tcPr>
          <w:p>
            <w:r/>
            <w:r>
              <w:rPr>
                <w:b/>
                <w:color w:val="FFFFFF"/>
                <w:sz w:val="19"/>
              </w:rPr>
              <w:t>Probable Cause</w:t>
            </w:r>
          </w:p>
        </w:tc>
        <w:tc>
          <w:tcPr>
            <w:tcW w:type="dxa" w:w="4896"/>
            <w:shd w:val="clear" w:fill="1E7A4C"/>
          </w:tcPr>
          <w:p>
            <w:r/>
            <w:r>
              <w:rPr>
                <w:b/>
                <w:color w:val="FFFFFF"/>
                <w:sz w:val="19"/>
              </w:rPr>
              <w:t>Supporting Reasoning</w:t>
            </w:r>
          </w:p>
        </w:tc>
      </w:tr>
      <w:tr>
        <w:tc>
          <w:tcPr>
            <w:tcW w:type="dxa" w:w="864"/>
          </w:tcPr>
          <w:p>
            <w:r/>
            <w:r>
              <w:rPr>
                <w:sz w:val="18"/>
              </w:rPr>
              <w:t>1</w:t>
            </w:r>
          </w:p>
        </w:tc>
        <w:tc>
          <w:tcPr>
            <w:tcW w:type="dxa" w:w="4176"/>
          </w:tcPr>
          <w:p>
            <w:r/>
            <w:r>
              <w:rPr>
                <w:sz w:val="18"/>
              </w:rPr>
              <w:t>Absent capture chemistry for a weakly-adsorbing, non-resonant analyte (chemistry-layer, not substrate-layer, limitation)</w:t>
            </w:r>
          </w:p>
        </w:tc>
        <w:tc>
          <w:tcPr>
            <w:tcW w:type="dxa" w:w="4896"/>
          </w:tcPr>
          <w:p>
            <w:r/>
            <w:r>
              <w:rPr>
                <w:sz w:val="18"/>
              </w:rPr>
              <w:t>R6G positive result already demonstrates the substrate's electromagnetic enhancement is functional; NAM's chemistry, not the field, is the more probable primary bottleneck</w:t>
            </w:r>
          </w:p>
        </w:tc>
      </w:tr>
      <w:tr>
        <w:tc>
          <w:tcPr>
            <w:tcW w:type="dxa" w:w="864"/>
            <w:shd w:val="clear" w:fill="EAF4EE"/>
          </w:tcPr>
          <w:p>
            <w:r/>
            <w:r>
              <w:rPr>
                <w:sz w:val="18"/>
              </w:rPr>
              <w:t>2</w:t>
            </w:r>
          </w:p>
        </w:tc>
        <w:tc>
          <w:tcPr>
            <w:tcW w:type="dxa" w:w="4176"/>
            <w:shd w:val="clear" w:fill="EAF4EE"/>
          </w:tcPr>
          <w:p>
            <w:r/>
            <w:r>
              <w:rPr>
                <w:sz w:val="18"/>
              </w:rPr>
              <w:t>As-grown dendritic (vs. regrown/aggregate) silver morphology limiting peak hotspot density and uniformity</w:t>
            </w:r>
          </w:p>
        </w:tc>
        <w:tc>
          <w:tcPr>
            <w:tcW w:type="dxa" w:w="4896"/>
            <w:shd w:val="clear" w:fill="EAF4EE"/>
          </w:tcPr>
          <w:p>
            <w:r/>
            <w:r>
              <w:rPr>
                <w:sz w:val="18"/>
              </w:rPr>
              <w:t>Directly demonstrated performance gap for this exact substrate class in Kochylas et al. 2021</w:t>
            </w:r>
          </w:p>
        </w:tc>
      </w:tr>
      <w:tr>
        <w:tc>
          <w:tcPr>
            <w:tcW w:type="dxa" w:w="864"/>
          </w:tcPr>
          <w:p>
            <w:r/>
            <w:r>
              <w:rPr>
                <w:sz w:val="18"/>
              </w:rPr>
              <w:t>3</w:t>
            </w:r>
          </w:p>
        </w:tc>
        <w:tc>
          <w:tcPr>
            <w:tcW w:type="dxa" w:w="4176"/>
          </w:tcPr>
          <w:p>
            <w:r/>
            <w:r>
              <w:rPr>
                <w:sz w:val="18"/>
              </w:rPr>
              <w:t>Insufficiently 3D/textured nanostructure limiting total accessible surface area and hotspot count</w:t>
            </w:r>
          </w:p>
        </w:tc>
        <w:tc>
          <w:tcPr>
            <w:tcW w:type="dxa" w:w="4896"/>
          </w:tcPr>
          <w:p>
            <w:r/>
            <w:r>
              <w:rPr>
                <w:sz w:val="18"/>
              </w:rPr>
              <w:t>Up to ~10x enhancement gap reported between 3D nanowire-scaffold and flatter equivalent AgNP substrates</w:t>
            </w:r>
          </w:p>
        </w:tc>
      </w:tr>
      <w:tr>
        <w:tc>
          <w:tcPr>
            <w:tcW w:type="dxa" w:w="864"/>
            <w:shd w:val="clear" w:fill="EAF4EE"/>
          </w:tcPr>
          <w:p>
            <w:r/>
            <w:r>
              <w:rPr>
                <w:sz w:val="18"/>
              </w:rPr>
              <w:t>4</w:t>
            </w:r>
          </w:p>
        </w:tc>
        <w:tc>
          <w:tcPr>
            <w:tcW w:type="dxa" w:w="4176"/>
            <w:shd w:val="clear" w:fill="EAF4EE"/>
          </w:tcPr>
          <w:p>
            <w:r/>
            <w:r>
              <w:rPr>
                <w:sz w:val="18"/>
              </w:rPr>
              <w:t>Unquantified/uncontrolled interparticle spacing (gap distribution not confirmed to sit in the sub-10 nm optimal regime)</w:t>
            </w:r>
          </w:p>
        </w:tc>
        <w:tc>
          <w:tcPr>
            <w:tcW w:type="dxa" w:w="4896"/>
            <w:shd w:val="clear" w:fill="EAF4EE"/>
          </w:tcPr>
          <w:p>
            <w:r/>
            <w:r>
              <w:rPr>
                <w:sz w:val="18"/>
              </w:rPr>
              <w:t>|E|^4 dependence on gap size; currently unmeasured (no AFM/high-res-SEM gap statistics on record)</w:t>
            </w:r>
          </w:p>
        </w:tc>
      </w:tr>
      <w:tr>
        <w:tc>
          <w:tcPr>
            <w:tcW w:type="dxa" w:w="864"/>
          </w:tcPr>
          <w:p>
            <w:r/>
            <w:r>
              <w:rPr>
                <w:sz w:val="18"/>
              </w:rPr>
              <w:t>5</w:t>
            </w:r>
          </w:p>
        </w:tc>
        <w:tc>
          <w:tcPr>
            <w:tcW w:type="dxa" w:w="4176"/>
          </w:tcPr>
          <w:p>
            <w:r/>
            <w:r>
              <w:rPr>
                <w:sz w:val="18"/>
              </w:rPr>
              <w:t>Silver surface oxidation/degradation between fabrication and measurement</w:t>
            </w:r>
          </w:p>
        </w:tc>
        <w:tc>
          <w:tcPr>
            <w:tcW w:type="dxa" w:w="4896"/>
          </w:tcPr>
          <w:p>
            <w:r/>
            <w:r>
              <w:rPr>
                <w:sz w:val="18"/>
              </w:rPr>
              <w:t>Known silver-SERS-substrate ageing pathway; substrate-age-at-use not currently logged as a controlled variable</w:t>
            </w:r>
          </w:p>
        </w:tc>
      </w:tr>
    </w:tbl>
    <w:p>
      <w:pPr>
        <w:spacing w:after="40"/>
      </w:pPr>
    </w:p>
    <w:p>
      <w:pPr>
        <w:pStyle w:val="Heading1"/>
      </w:pPr>
      <w:r>
        <w:t>8. Design of Experiments (DOE) Matrix</w:t>
      </w:r>
    </w:p>
    <w:p>
      <w:pPr>
        <w:spacing w:after="120"/>
      </w:pPr>
      <w:r>
        <w:rPr>
          <w:b w:val="0"/>
          <w:i w:val="0"/>
        </w:rPr>
        <w:t>This matrix treats fabrication, characterization, and Raman measurement as jointly-optimised layers rather than a linear sequence, so that every fabricated batch generates the full characterization record needed to explain its eventual Raman performance, whether positive or negative.</w:t>
      </w:r>
    </w:p>
    <w:p>
      <w:pPr>
        <w:pStyle w:val="Heading2"/>
      </w:pPr>
      <w:r>
        <w:t>8.1 Fabrication Variables to Vary</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592"/>
            <w:shd w:val="clear" w:fill="1E7A4C"/>
          </w:tcPr>
          <w:p>
            <w:r/>
            <w:r>
              <w:rPr>
                <w:b/>
                <w:color w:val="FFFFFF"/>
                <w:sz w:val="19"/>
              </w:rPr>
              <w:t>Variable</w:t>
            </w:r>
          </w:p>
        </w:tc>
        <w:tc>
          <w:tcPr>
            <w:tcW w:type="dxa" w:w="3744"/>
            <w:shd w:val="clear" w:fill="1E7A4C"/>
          </w:tcPr>
          <w:p>
            <w:r/>
            <w:r>
              <w:rPr>
                <w:b/>
                <w:color w:val="FFFFFF"/>
                <w:sz w:val="19"/>
              </w:rPr>
              <w:t>Levels to Test</w:t>
            </w:r>
          </w:p>
        </w:tc>
        <w:tc>
          <w:tcPr>
            <w:tcW w:type="dxa" w:w="1296"/>
            <w:shd w:val="clear" w:fill="1E7A4C"/>
          </w:tcPr>
          <w:p>
            <w:r/>
            <w:r>
              <w:rPr>
                <w:b/>
                <w:color w:val="FFFFFF"/>
                <w:sz w:val="19"/>
              </w:rPr>
              <w:t>Priority</w:t>
            </w:r>
          </w:p>
        </w:tc>
        <w:tc>
          <w:tcPr>
            <w:tcW w:type="dxa" w:w="2880"/>
            <w:shd w:val="clear" w:fill="1E7A4C"/>
          </w:tcPr>
          <w:p>
            <w:r/>
            <w:r>
              <w:rPr>
                <w:b/>
                <w:color w:val="FFFFFF"/>
                <w:sz w:val="19"/>
              </w:rPr>
              <w:t>Justification</w:t>
            </w:r>
          </w:p>
        </w:tc>
      </w:tr>
      <w:tr>
        <w:tc>
          <w:tcPr>
            <w:tcW w:type="dxa" w:w="2592"/>
          </w:tcPr>
          <w:p>
            <w:r/>
            <w:r>
              <w:rPr>
                <w:sz w:val="18"/>
              </w:rPr>
              <w:t>Silver deposition cycle</w:t>
            </w:r>
          </w:p>
        </w:tc>
        <w:tc>
          <w:tcPr>
            <w:tcW w:type="dxa" w:w="3744"/>
          </w:tcPr>
          <w:p>
            <w:r/>
            <w:r>
              <w:rPr>
                <w:sz w:val="18"/>
              </w:rPr>
              <w:t>As-grown (current baseline) vs. strip + regrowth</w:t>
            </w:r>
          </w:p>
        </w:tc>
        <w:tc>
          <w:tcPr>
            <w:tcW w:type="dxa" w:w="1296"/>
          </w:tcPr>
          <w:p>
            <w:r/>
            <w:r>
              <w:rPr>
                <w:sz w:val="18"/>
              </w:rPr>
              <w:t>High</w:t>
            </w:r>
          </w:p>
        </w:tc>
        <w:tc>
          <w:tcPr>
            <w:tcW w:type="dxa" w:w="2880"/>
          </w:tcPr>
          <w:p>
            <w:r/>
            <w:r>
              <w:rPr>
                <w:sz w:val="18"/>
              </w:rPr>
              <w:t>Directly demonstrated literature improvement on this exact process (Kochylas et al. 2021); low-cost, single added step</w:t>
            </w:r>
          </w:p>
        </w:tc>
      </w:tr>
      <w:tr>
        <w:tc>
          <w:tcPr>
            <w:tcW w:type="dxa" w:w="2592"/>
            <w:shd w:val="clear" w:fill="EAF4EE"/>
          </w:tcPr>
          <w:p>
            <w:r/>
            <w:r>
              <w:rPr>
                <w:sz w:val="18"/>
              </w:rPr>
              <w:t>AgNO3 concentration</w:t>
            </w:r>
          </w:p>
        </w:tc>
        <w:tc>
          <w:tcPr>
            <w:tcW w:type="dxa" w:w="3744"/>
            <w:shd w:val="clear" w:fill="EAF4EE"/>
          </w:tcPr>
          <w:p>
            <w:r/>
            <w:r>
              <w:rPr>
                <w:sz w:val="18"/>
              </w:rPr>
              <w:t>3 levels bracketing the current recipe (e.g. current, -30%, +30%)</w:t>
            </w:r>
          </w:p>
        </w:tc>
        <w:tc>
          <w:tcPr>
            <w:tcW w:type="dxa" w:w="1296"/>
            <w:shd w:val="clear" w:fill="EAF4EE"/>
          </w:tcPr>
          <w:p>
            <w:r/>
            <w:r>
              <w:rPr>
                <w:sz w:val="18"/>
              </w:rPr>
              <w:t>High</w:t>
            </w:r>
          </w:p>
        </w:tc>
        <w:tc>
          <w:tcPr>
            <w:tcW w:type="dxa" w:w="2880"/>
            <w:shd w:val="clear" w:fill="EAF4EE"/>
          </w:tcPr>
          <w:p>
            <w:r/>
            <w:r>
              <w:rPr>
                <w:sz w:val="18"/>
              </w:rPr>
              <w:t>Primary literature-documented control variable over nanowire diameter/density</w:t>
            </w:r>
          </w:p>
        </w:tc>
      </w:tr>
      <w:tr>
        <w:tc>
          <w:tcPr>
            <w:tcW w:type="dxa" w:w="2592"/>
          </w:tcPr>
          <w:p>
            <w:r/>
            <w:r>
              <w:rPr>
                <w:sz w:val="18"/>
              </w:rPr>
              <w:t>Etch time</w:t>
            </w:r>
          </w:p>
        </w:tc>
        <w:tc>
          <w:tcPr>
            <w:tcW w:type="dxa" w:w="3744"/>
          </w:tcPr>
          <w:p>
            <w:r/>
            <w:r>
              <w:rPr>
                <w:sz w:val="18"/>
              </w:rPr>
              <w:t>3 levels (current, shorter, longer)</w:t>
            </w:r>
          </w:p>
        </w:tc>
        <w:tc>
          <w:tcPr>
            <w:tcW w:type="dxa" w:w="1296"/>
          </w:tcPr>
          <w:p>
            <w:r/>
            <w:r>
              <w:rPr>
                <w:sz w:val="18"/>
              </w:rPr>
              <w:t>Medium</w:t>
            </w:r>
          </w:p>
        </w:tc>
        <w:tc>
          <w:tcPr>
            <w:tcW w:type="dxa" w:w="2880"/>
          </w:tcPr>
          <w:p>
            <w:r/>
            <w:r>
              <w:rPr>
                <w:sz w:val="18"/>
              </w:rPr>
              <w:t>Controls nanostructure depth/aspect ratio; interacts with AgNO3 concentration, should be varied jointly where feasible</w:t>
            </w:r>
          </w:p>
        </w:tc>
      </w:tr>
      <w:tr>
        <w:tc>
          <w:tcPr>
            <w:tcW w:type="dxa" w:w="2592"/>
            <w:shd w:val="clear" w:fill="EAF4EE"/>
          </w:tcPr>
          <w:p>
            <w:r/>
            <w:r>
              <w:rPr>
                <w:sz w:val="18"/>
              </w:rPr>
              <w:t>HF concentration</w:t>
            </w:r>
          </w:p>
        </w:tc>
        <w:tc>
          <w:tcPr>
            <w:tcW w:type="dxa" w:w="3744"/>
            <w:shd w:val="clear" w:fill="EAF4EE"/>
          </w:tcPr>
          <w:p>
            <w:r/>
            <w:r>
              <w:rPr>
                <w:sz w:val="18"/>
              </w:rPr>
              <w:t>Current baseline + one alternative</w:t>
            </w:r>
          </w:p>
        </w:tc>
        <w:tc>
          <w:tcPr>
            <w:tcW w:type="dxa" w:w="1296"/>
            <w:shd w:val="clear" w:fill="EAF4EE"/>
          </w:tcPr>
          <w:p>
            <w:r/>
            <w:r>
              <w:rPr>
                <w:sz w:val="18"/>
              </w:rPr>
              <w:t>Low-Medium</w:t>
            </w:r>
          </w:p>
        </w:tc>
        <w:tc>
          <w:tcPr>
            <w:tcW w:type="dxa" w:w="2880"/>
            <w:shd w:val="clear" w:fill="EAF4EE"/>
          </w:tcPr>
          <w:p>
            <w:r/>
            <w:r>
              <w:rPr>
                <w:sz w:val="18"/>
              </w:rPr>
              <w:t>Secondary control variable; higher etch-selectivity risk, vary only after AgNO3/time are explored</w:t>
            </w:r>
          </w:p>
        </w:tc>
      </w:tr>
      <w:tr>
        <w:tc>
          <w:tcPr>
            <w:tcW w:type="dxa" w:w="2592"/>
          </w:tcPr>
          <w:p>
            <w:r/>
            <w:r>
              <w:rPr>
                <w:sz w:val="18"/>
              </w:rPr>
              <w:t>Post-fabrication storage/age at use</w:t>
            </w:r>
          </w:p>
        </w:tc>
        <w:tc>
          <w:tcPr>
            <w:tcW w:type="dxa" w:w="3744"/>
          </w:tcPr>
          <w:p>
            <w:r/>
            <w:r>
              <w:rPr>
                <w:sz w:val="18"/>
              </w:rPr>
              <w:t>Fresh (&lt;24h) vs. aged (&gt;1 week), tracked as metadata even where not deliberately varied</w:t>
            </w:r>
          </w:p>
        </w:tc>
        <w:tc>
          <w:tcPr>
            <w:tcW w:type="dxa" w:w="1296"/>
          </w:tcPr>
          <w:p>
            <w:r/>
            <w:r>
              <w:rPr>
                <w:sz w:val="18"/>
              </w:rPr>
              <w:t>Medium</w:t>
            </w:r>
          </w:p>
        </w:tc>
        <w:tc>
          <w:tcPr>
            <w:tcW w:type="dxa" w:w="2880"/>
          </w:tcPr>
          <w:p>
            <w:r/>
            <w:r>
              <w:rPr>
                <w:sz w:val="18"/>
              </w:rPr>
              <w:t>Tests the silver-oxidation-degradation hypothesis (Section 7, rank 5) at negligible added cost</w:t>
            </w:r>
          </w:p>
        </w:tc>
      </w:tr>
    </w:tbl>
    <w:p>
      <w:pPr>
        <w:spacing w:after="40"/>
      </w:pPr>
    </w:p>
    <w:p>
      <w:pPr>
        <w:pStyle w:val="Heading2"/>
      </w:pPr>
      <w:r>
        <w:t>8.2 Characterization Methods per Batch</w:t>
      </w:r>
    </w:p>
    <w:p>
      <w:pPr>
        <w:spacing w:after="120"/>
      </w:pPr>
      <w:r>
        <w:rPr>
          <w:b w:val="0"/>
          <w:i w:val="0"/>
        </w:rPr>
        <w:t>See Section 9 for the full technique-by-technique rationale. Every batch produced under 8.1 should receive, at minimum, SEM + EDS before any Raman measurement is attempted, so that a Raman failure can always be cross-checked against a known morphology and confirmed silver presence rather than an assumed one.</w:t>
      </w:r>
    </w:p>
    <w:p>
      <w:pPr>
        <w:pStyle w:val="Heading2"/>
      </w:pPr>
      <w:r>
        <w:t>8.3 Raman Measurement Variables to Optimize</w:t>
      </w:r>
    </w:p>
    <w:p>
      <w:pPr>
        <w:pStyle w:val="ListBullet"/>
        <w:spacing w:after="60"/>
      </w:pPr>
      <w:r>
        <w:t>Laser wavelength (if multi-line instrument available) — see Experiment 1, 4.1.</w:t>
      </w:r>
    </w:p>
    <w:p>
      <w:pPr>
        <w:pStyle w:val="ListBullet"/>
        <w:spacing w:after="60"/>
      </w:pPr>
      <w:r>
        <w:t>Laser power at sample — balance signal strength against sample/substrate photodamage; the project's own damage-threshold data (from prior DFT/Raman work referenced in the extraction summaries) should set the practical power ceiling.</w:t>
      </w:r>
    </w:p>
    <w:p>
      <w:pPr>
        <w:pStyle w:val="ListBullet"/>
        <w:spacing w:after="60"/>
      </w:pPr>
      <w:r>
        <w:t>Acquisition time / accumulations per point — longer integration improves signal-to-noise for the expected weak NAM signal, at the cost of mapping throughput; should be optimized on the solution-phase reference sample first.</w:t>
      </w:r>
    </w:p>
    <w:p>
      <w:pPr>
        <w:pStyle w:val="ListBullet"/>
        <w:spacing w:after="60"/>
      </w:pPr>
      <w:r>
        <w:t>Objective/spot size and confocal aperture (if applicable) — affects the number of hotspots sampled per point and therefore point-to-point variability in the map.</w:t>
      </w:r>
    </w:p>
    <w:p>
      <w:pPr>
        <w:pStyle w:val="Heading2"/>
      </w:pPr>
      <w:r>
        <w:t>8.4 Recommended Replicate Counts</w:t>
      </w:r>
    </w:p>
    <w:tbl>
      <w:tblPr>
        <w:tblStyle w:val="TableGrid"/>
        <w:tblW w:type="auto" w:w="0"/>
        <w:jc w:val="center"/>
        <w:tblLayout w:type="autofit"/>
        <w:tblLook w:firstColumn="1" w:firstRow="1" w:lastColumn="0" w:lastRow="0" w:noHBand="0" w:noVBand="1" w:val="04A0"/>
      </w:tblPr>
      <w:tblGrid>
        <w:gridCol w:w="4658"/>
        <w:gridCol w:w="4658"/>
      </w:tblGrid>
      <w:tr>
        <w:tc>
          <w:tcPr>
            <w:tcW w:type="dxa" w:w="5040"/>
            <w:shd w:val="clear" w:fill="1E7A4C"/>
          </w:tcPr>
          <w:p>
            <w:r/>
            <w:r>
              <w:rPr>
                <w:b/>
                <w:color w:val="FFFFFF"/>
                <w:sz w:val="19"/>
              </w:rPr>
              <w:t>Level</w:t>
            </w:r>
          </w:p>
        </w:tc>
        <w:tc>
          <w:tcPr>
            <w:tcW w:type="dxa" w:w="5472"/>
            <w:shd w:val="clear" w:fill="1E7A4C"/>
          </w:tcPr>
          <w:p>
            <w:r/>
            <w:r>
              <w:rPr>
                <w:b/>
                <w:color w:val="FFFFFF"/>
                <w:sz w:val="19"/>
              </w:rPr>
              <w:t>Recommended N</w:t>
            </w:r>
          </w:p>
        </w:tc>
      </w:tr>
      <w:tr>
        <w:tc>
          <w:tcPr>
            <w:tcW w:type="dxa" w:w="5040"/>
          </w:tcPr>
          <w:p>
            <w:r/>
            <w:r>
              <w:rPr>
                <w:sz w:val="18"/>
              </w:rPr>
              <w:t>Substrates per fabrication condition</w:t>
            </w:r>
          </w:p>
        </w:tc>
        <w:tc>
          <w:tcPr>
            <w:tcW w:type="dxa" w:w="5472"/>
          </w:tcPr>
          <w:p>
            <w:r/>
            <w:r>
              <w:rPr>
                <w:sz w:val="18"/>
              </w:rPr>
              <w:t>N=3 minimum (batch reproducibility, Section 4.10)</w:t>
            </w:r>
          </w:p>
        </w:tc>
      </w:tr>
      <w:tr>
        <w:tc>
          <w:tcPr>
            <w:tcW w:type="dxa" w:w="5040"/>
            <w:shd w:val="clear" w:fill="EAF4EE"/>
          </w:tcPr>
          <w:p>
            <w:r/>
            <w:r>
              <w:rPr>
                <w:sz w:val="18"/>
              </w:rPr>
              <w:t>Raman map points per substrate</w:t>
            </w:r>
          </w:p>
        </w:tc>
        <w:tc>
          <w:tcPr>
            <w:tcW w:type="dxa" w:w="5472"/>
            <w:shd w:val="clear" w:fill="EAF4EE"/>
          </w:tcPr>
          <w:p>
            <w:r/>
            <w:r>
              <w:rPr>
                <w:sz w:val="18"/>
              </w:rPr>
              <w:t>100-400 points (10x10 to 20x20 grid)</w:t>
            </w:r>
          </w:p>
        </w:tc>
      </w:tr>
      <w:tr>
        <w:tc>
          <w:tcPr>
            <w:tcW w:type="dxa" w:w="5040"/>
          </w:tcPr>
          <w:p>
            <w:r/>
            <w:r>
              <w:rPr>
                <w:sz w:val="18"/>
              </w:rPr>
              <w:t>Repeat acquisitions per point (repeatability check)</w:t>
            </w:r>
          </w:p>
        </w:tc>
        <w:tc>
          <w:tcPr>
            <w:tcW w:type="dxa" w:w="5472"/>
          </w:tcPr>
          <w:p>
            <w:r/>
            <w:r>
              <w:rPr>
                <w:sz w:val="18"/>
              </w:rPr>
              <w:t>N=5 at a subset of points</w:t>
            </w:r>
          </w:p>
        </w:tc>
      </w:tr>
      <w:tr>
        <w:tc>
          <w:tcPr>
            <w:tcW w:type="dxa" w:w="5040"/>
            <w:shd w:val="clear" w:fill="EAF4EE"/>
          </w:tcPr>
          <w:p>
            <w:r/>
            <w:r>
              <w:rPr>
                <w:sz w:val="18"/>
              </w:rPr>
              <w:t>Independent measurement days per best-performing condition</w:t>
            </w:r>
          </w:p>
        </w:tc>
        <w:tc>
          <w:tcPr>
            <w:tcW w:type="dxa" w:w="5472"/>
            <w:shd w:val="clear" w:fill="EAF4EE"/>
          </w:tcPr>
          <w:p>
            <w:r/>
            <w:r>
              <w:rPr>
                <w:sz w:val="18"/>
              </w:rPr>
              <w:t>N&gt;=2</w:t>
            </w:r>
          </w:p>
        </w:tc>
      </w:tr>
    </w:tbl>
    <w:p>
      <w:pPr>
        <w:spacing w:after="40"/>
      </w:pPr>
    </w:p>
    <w:p>
      <w:pPr>
        <w:pStyle w:val="Heading2"/>
      </w:pPr>
      <w:r>
        <w:t>8.5 Result Comparison Method</w:t>
      </w:r>
    </w:p>
    <w:p>
      <w:pPr>
        <w:spacing w:after="120"/>
      </w:pPr>
      <w:r>
        <w:rPr>
          <w:b w:val="0"/>
          <w:i w:val="0"/>
        </w:rPr>
        <w:t>Primary comparison metric: mean +/- standard deviation (and %RSD) of the target NAM band intensity across all mapped points, compared across fabrication conditions using ANOVA/Kruskal-Wallis as described in 4.11. Secondary metric: calculated enhancement factor (EF) using the standard SERS EF formula referenced against the solution-phase non-SERS NAM spectrum, once a positive, reproducible condition is identified — this is the metric expected in peer review and should not be deferred to the publication-writing stage.</w:t>
      </w:r>
    </w:p>
    <w:p>
      <w:pPr>
        <w:pStyle w:val="Heading2"/>
      </w:pPr>
      <w:r>
        <w:t>8.6 Prioritization</w:t>
      </w:r>
    </w:p>
    <w:p>
      <w:pPr>
        <w:spacing w:after="120"/>
      </w:pPr>
      <w:r>
        <w:rPr>
          <w:b w:val="0"/>
          <w:i w:val="0"/>
        </w:rPr>
        <w:t>Given the current evidence base (functional substrate per R6G, no functional NAM capture chemistry), the DOE matrix should be executed with capture-chemistry variables (Experiment 1, Section 4.1/4.3) prioritized ahead of the fabrication-variable matrix (8.1) in calendar time, while the low-cost silver-regrowth-cycle fabrication variant runs in parallel on a small batch, since it requires no new reagents beyond what MACE fabrication already uses and can be characterized (Section 9) while Experiment 1's chemistry trials are in progress.</w:t>
      </w:r>
    </w:p>
    <w:p>
      <w:r>
        <w:br w:type="page"/>
      </w:r>
    </w:p>
    <w:p>
      <w:pPr>
        <w:pStyle w:val="Heading1"/>
      </w:pPr>
      <w:r>
        <w:t>9. Characterization Plan</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736"/>
            <w:shd w:val="clear" w:fill="1E7A4C"/>
          </w:tcPr>
          <w:p>
            <w:r/>
            <w:r>
              <w:rPr>
                <w:b/>
                <w:color w:val="FFFFFF"/>
                <w:sz w:val="19"/>
              </w:rPr>
              <w:t>Technique</w:t>
            </w:r>
          </w:p>
        </w:tc>
        <w:tc>
          <w:tcPr>
            <w:tcW w:type="dxa" w:w="3312"/>
            <w:shd w:val="clear" w:fill="1E7A4C"/>
          </w:tcPr>
          <w:p>
            <w:r/>
            <w:r>
              <w:rPr>
                <w:b/>
                <w:color w:val="FFFFFF"/>
                <w:sz w:val="19"/>
              </w:rPr>
              <w:t>What It Provides</w:t>
            </w:r>
          </w:p>
        </w:tc>
        <w:tc>
          <w:tcPr>
            <w:tcW w:type="dxa" w:w="1872"/>
            <w:shd w:val="clear" w:fill="1E7A4C"/>
          </w:tcPr>
          <w:p>
            <w:r/>
            <w:r>
              <w:rPr>
                <w:b/>
                <w:color w:val="FFFFFF"/>
                <w:sz w:val="19"/>
              </w:rPr>
              <w:t>Essential / Optional</w:t>
            </w:r>
          </w:p>
        </w:tc>
        <w:tc>
          <w:tcPr>
            <w:tcW w:type="dxa" w:w="2592"/>
            <w:shd w:val="clear" w:fill="1E7A4C"/>
          </w:tcPr>
          <w:p>
            <w:r/>
            <w:r>
              <w:rPr>
                <w:b/>
                <w:color w:val="FFFFFF"/>
                <w:sz w:val="19"/>
              </w:rPr>
              <w:t>Relation to SERS Performance</w:t>
            </w:r>
          </w:p>
        </w:tc>
      </w:tr>
      <w:tr>
        <w:tc>
          <w:tcPr>
            <w:tcW w:type="dxa" w:w="2736"/>
          </w:tcPr>
          <w:p>
            <w:r/>
            <w:r>
              <w:rPr>
                <w:sz w:val="18"/>
              </w:rPr>
              <w:t>SEM (Scanning Electron Microscopy)</w:t>
            </w:r>
          </w:p>
        </w:tc>
        <w:tc>
          <w:tcPr>
            <w:tcW w:type="dxa" w:w="3312"/>
          </w:tcPr>
          <w:p>
            <w:r/>
            <w:r>
              <w:rPr>
                <w:sz w:val="18"/>
              </w:rPr>
              <w:t>Direct imaging of nanostructure morphology, silver particle size/shape/distribution</w:t>
            </w:r>
          </w:p>
        </w:tc>
        <w:tc>
          <w:tcPr>
            <w:tcW w:type="dxa" w:w="1872"/>
          </w:tcPr>
          <w:p>
            <w:r/>
            <w:r>
              <w:rPr>
                <w:sz w:val="18"/>
              </w:rPr>
              <w:t>Essential</w:t>
            </w:r>
          </w:p>
        </w:tc>
        <w:tc>
          <w:tcPr>
            <w:tcW w:type="dxa" w:w="2592"/>
          </w:tcPr>
          <w:p>
            <w:r/>
            <w:r>
              <w:rPr>
                <w:sz w:val="18"/>
              </w:rPr>
              <w:t>Primary means of confirming target morphology (Section 6.3) was achieved before any Raman measurement is interpreted</w:t>
            </w:r>
          </w:p>
        </w:tc>
      </w:tr>
      <w:tr>
        <w:tc>
          <w:tcPr>
            <w:tcW w:type="dxa" w:w="2736"/>
            <w:shd w:val="clear" w:fill="EAF4EE"/>
          </w:tcPr>
          <w:p>
            <w:r/>
            <w:r>
              <w:rPr>
                <w:sz w:val="18"/>
              </w:rPr>
              <w:t>EDS (Energy-Dispersive X-ray Spectroscopy)</w:t>
            </w:r>
          </w:p>
        </w:tc>
        <w:tc>
          <w:tcPr>
            <w:tcW w:type="dxa" w:w="3312"/>
            <w:shd w:val="clear" w:fill="EAF4EE"/>
          </w:tcPr>
          <w:p>
            <w:r/>
            <w:r>
              <w:rPr>
                <w:sz w:val="18"/>
              </w:rPr>
              <w:t>Elemental composition confirmation (Ag coverage/presence, contamination check)</w:t>
            </w:r>
          </w:p>
        </w:tc>
        <w:tc>
          <w:tcPr>
            <w:tcW w:type="dxa" w:w="1872"/>
            <w:shd w:val="clear" w:fill="EAF4EE"/>
          </w:tcPr>
          <w:p>
            <w:r/>
            <w:r>
              <w:rPr>
                <w:sz w:val="18"/>
              </w:rPr>
              <w:t>Essential</w:t>
            </w:r>
          </w:p>
        </w:tc>
        <w:tc>
          <w:tcPr>
            <w:tcW w:type="dxa" w:w="2592"/>
            <w:shd w:val="clear" w:fill="EAF4EE"/>
          </w:tcPr>
          <w:p>
            <w:r/>
            <w:r>
              <w:rPr>
                <w:sz w:val="18"/>
              </w:rPr>
              <w:t>Confirms silver is actually present at the measured location; rules out a silver-deposition failure as an explanation for a Raman-negative result</w:t>
            </w:r>
          </w:p>
        </w:tc>
      </w:tr>
      <w:tr>
        <w:tc>
          <w:tcPr>
            <w:tcW w:type="dxa" w:w="2736"/>
          </w:tcPr>
          <w:p>
            <w:r/>
            <w:r>
              <w:rPr>
                <w:sz w:val="18"/>
              </w:rPr>
              <w:t>AFM (Atomic Force Microscopy)</w:t>
            </w:r>
          </w:p>
        </w:tc>
        <w:tc>
          <w:tcPr>
            <w:tcW w:type="dxa" w:w="3312"/>
          </w:tcPr>
          <w:p>
            <w:r/>
            <w:r>
              <w:rPr>
                <w:sz w:val="18"/>
              </w:rPr>
              <w:t>Quantitative surface roughness and, at sufficient resolution, interparticle gap/spacing statistics</w:t>
            </w:r>
          </w:p>
        </w:tc>
        <w:tc>
          <w:tcPr>
            <w:tcW w:type="dxa" w:w="1872"/>
          </w:tcPr>
          <w:p>
            <w:r/>
            <w:r>
              <w:rPr>
                <w:sz w:val="18"/>
              </w:rPr>
              <w:t>High priority, currently missing</w:t>
            </w:r>
          </w:p>
        </w:tc>
        <w:tc>
          <w:tcPr>
            <w:tcW w:type="dxa" w:w="2592"/>
          </w:tcPr>
          <w:p>
            <w:r/>
            <w:r>
              <w:rPr>
                <w:sz w:val="18"/>
              </w:rPr>
              <w:t>Directly answers the sub-10 nm hotspot-spacing question (Section 6.3) that SEM alone cannot resolve at that length scale</w:t>
            </w:r>
          </w:p>
        </w:tc>
      </w:tr>
      <w:tr>
        <w:tc>
          <w:tcPr>
            <w:tcW w:type="dxa" w:w="2736"/>
            <w:shd w:val="clear" w:fill="EAF4EE"/>
          </w:tcPr>
          <w:p>
            <w:r/>
            <w:r>
              <w:rPr>
                <w:sz w:val="18"/>
              </w:rPr>
              <w:t>XRD (X-ray Diffraction)</w:t>
            </w:r>
          </w:p>
        </w:tc>
        <w:tc>
          <w:tcPr>
            <w:tcW w:type="dxa" w:w="3312"/>
            <w:shd w:val="clear" w:fill="EAF4EE"/>
          </w:tcPr>
          <w:p>
            <w:r/>
            <w:r>
              <w:rPr>
                <w:sz w:val="18"/>
              </w:rPr>
              <w:t>Crystallinity and phase confirmation of the deposited silver (metallic Ag vs. oxide/other phases)</w:t>
            </w:r>
          </w:p>
        </w:tc>
        <w:tc>
          <w:tcPr>
            <w:tcW w:type="dxa" w:w="1872"/>
            <w:shd w:val="clear" w:fill="EAF4EE"/>
          </w:tcPr>
          <w:p>
            <w:r/>
            <w:r>
              <w:rPr>
                <w:sz w:val="18"/>
              </w:rPr>
              <w:t>Medium priority</w:t>
            </w:r>
          </w:p>
        </w:tc>
        <w:tc>
          <w:tcPr>
            <w:tcW w:type="dxa" w:w="2592"/>
            <w:shd w:val="clear" w:fill="EAF4EE"/>
          </w:tcPr>
          <w:p>
            <w:r/>
            <w:r>
              <w:rPr>
                <w:sz w:val="18"/>
              </w:rPr>
              <w:t>Directly tests the silver-oxidation-degradation hypothesis (Section 7, rank 5) quantitatively rather than by inference from storage time alone</w:t>
            </w:r>
          </w:p>
        </w:tc>
      </w:tr>
      <w:tr>
        <w:tc>
          <w:tcPr>
            <w:tcW w:type="dxa" w:w="2736"/>
          </w:tcPr>
          <w:p>
            <w:r/>
            <w:r>
              <w:rPr>
                <w:sz w:val="18"/>
              </w:rPr>
              <w:t>UV-Vis (diffuse reflectance or extinction spectroscopy)</w:t>
            </w:r>
          </w:p>
        </w:tc>
        <w:tc>
          <w:tcPr>
            <w:tcW w:type="dxa" w:w="3312"/>
          </w:tcPr>
          <w:p>
            <w:r/>
            <w:r>
              <w:rPr>
                <w:sz w:val="18"/>
              </w:rPr>
              <w:t>Localised surface plasmon resonance (LSPR) position and breadth</w:t>
            </w:r>
          </w:p>
        </w:tc>
        <w:tc>
          <w:tcPr>
            <w:tcW w:type="dxa" w:w="1872"/>
          </w:tcPr>
          <w:p>
            <w:r/>
            <w:r>
              <w:rPr>
                <w:sz w:val="18"/>
              </w:rPr>
              <w:t>High priority, currently missing</w:t>
            </w:r>
          </w:p>
        </w:tc>
        <w:tc>
          <w:tcPr>
            <w:tcW w:type="dxa" w:w="2592"/>
          </w:tcPr>
          <w:p>
            <w:r/>
            <w:r>
              <w:rPr>
                <w:sz w:val="18"/>
              </w:rPr>
              <w:t>Confirms whether the plasmon resonance of the fabricated silver structures is well-matched to the excitation laser wavelength — a mismatch here would independently explain reduced enhancement regardless of morphology</w:t>
            </w:r>
          </w:p>
        </w:tc>
      </w:tr>
      <w:tr>
        <w:tc>
          <w:tcPr>
            <w:tcW w:type="dxa" w:w="2736"/>
            <w:shd w:val="clear" w:fill="EAF4EE"/>
          </w:tcPr>
          <w:p>
            <w:r/>
            <w:r>
              <w:rPr>
                <w:sz w:val="18"/>
              </w:rPr>
              <w:t>Contact angle goniometry</w:t>
            </w:r>
          </w:p>
        </w:tc>
        <w:tc>
          <w:tcPr>
            <w:tcW w:type="dxa" w:w="3312"/>
            <w:shd w:val="clear" w:fill="EAF4EE"/>
          </w:tcPr>
          <w:p>
            <w:r/>
            <w:r>
              <w:rPr>
                <w:sz w:val="18"/>
              </w:rPr>
              <w:t>Surface wettability/hydrophobicity</w:t>
            </w:r>
          </w:p>
        </w:tc>
        <w:tc>
          <w:tcPr>
            <w:tcW w:type="dxa" w:w="1872"/>
            <w:shd w:val="clear" w:fill="EAF4EE"/>
          </w:tcPr>
          <w:p>
            <w:r/>
            <w:r>
              <w:rPr>
                <w:sz w:val="18"/>
              </w:rPr>
              <w:t>Optional but informative</w:t>
            </w:r>
          </w:p>
        </w:tc>
        <w:tc>
          <w:tcPr>
            <w:tcW w:type="dxa" w:w="2592"/>
            <w:shd w:val="clear" w:fill="EAF4EE"/>
          </w:tcPr>
          <w:p>
            <w:r/>
            <w:r>
              <w:rPr>
                <w:sz w:val="18"/>
              </w:rPr>
              <w:t>Affects droplet spreading behaviour during sample deposition, directly relevant to the coffee-ring/drying variables in Experiment 1 (4.7)</w:t>
            </w:r>
          </w:p>
        </w:tc>
      </w:tr>
      <w:tr>
        <w:tc>
          <w:tcPr>
            <w:tcW w:type="dxa" w:w="2736"/>
          </w:tcPr>
          <w:p>
            <w:r/>
            <w:r>
              <w:rPr>
                <w:sz w:val="18"/>
              </w:rPr>
              <w:t>Raman mapping (post-functionalization, pre-NAM)</w:t>
            </w:r>
          </w:p>
        </w:tc>
        <w:tc>
          <w:tcPr>
            <w:tcW w:type="dxa" w:w="3312"/>
          </w:tcPr>
          <w:p>
            <w:r/>
            <w:r>
              <w:rPr>
                <w:sz w:val="18"/>
              </w:rPr>
              <w:t>Confirms functionalization layer itself does not introduce confounding bands or degrade substrate SERS activity</w:t>
            </w:r>
          </w:p>
        </w:tc>
        <w:tc>
          <w:tcPr>
            <w:tcW w:type="dxa" w:w="1872"/>
          </w:tcPr>
          <w:p>
            <w:r/>
            <w:r>
              <w:rPr>
                <w:sz w:val="18"/>
              </w:rPr>
              <w:t>Essential control step</w:t>
            </w:r>
          </w:p>
        </w:tc>
        <w:tc>
          <w:tcPr>
            <w:tcW w:type="dxa" w:w="2592"/>
          </w:tcPr>
          <w:p>
            <w:r/>
            <w:r>
              <w:rPr>
                <w:sz w:val="18"/>
              </w:rPr>
              <w:t>Distinguishes a functionalization-induced artefact from a genuine NAM-capture signal in Experiment 1</w:t>
            </w:r>
          </w:p>
        </w:tc>
      </w:tr>
    </w:tbl>
    <w:p>
      <w:pPr>
        <w:spacing w:after="40"/>
      </w:pPr>
    </w:p>
    <w:p>
      <w:pPr>
        <w:spacing w:after="120"/>
      </w:pPr>
      <w:r>
        <w:rPr>
          <w:b w:val="0"/>
          <w:i w:val="0"/>
        </w:rPr>
        <w:t>Recommended minimum panel before any batch proceeds to NAM detection trials: SEM + EDS (morphology/composition confirmation) and UV-Vis (plasmon-laser match confirmation). AFM and XRD are recommended as the next-priority additions given they directly test two of the five ranked probable causes in Section 7 and are the two largest gaps in the project's current characterization record (Section 3 comparison table).</w:t>
      </w:r>
    </w:p>
    <w:p>
      <w:pPr>
        <w:pStyle w:val="Heading1"/>
      </w:pPr>
      <w:r>
        <w:t>10. Expected Outcomes for Each Proposed Experiment</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736"/>
            <w:shd w:val="clear" w:fill="1E7A4C"/>
          </w:tcPr>
          <w:p>
            <w:r/>
            <w:r>
              <w:rPr>
                <w:b/>
                <w:color w:val="FFFFFF"/>
                <w:sz w:val="19"/>
              </w:rPr>
              <w:t>Experiment</w:t>
            </w:r>
          </w:p>
        </w:tc>
        <w:tc>
          <w:tcPr>
            <w:tcW w:type="dxa" w:w="2880"/>
            <w:shd w:val="clear" w:fill="1E7A4C"/>
          </w:tcPr>
          <w:p>
            <w:r/>
            <w:r>
              <w:rPr>
                <w:b/>
                <w:color w:val="FFFFFF"/>
                <w:sz w:val="19"/>
              </w:rPr>
              <w:t>If Hypothesis Correct</w:t>
            </w:r>
          </w:p>
        </w:tc>
        <w:tc>
          <w:tcPr>
            <w:tcW w:type="dxa" w:w="2448"/>
            <w:shd w:val="clear" w:fill="1E7A4C"/>
          </w:tcPr>
          <w:p>
            <w:r/>
            <w:r>
              <w:rPr>
                <w:b/>
                <w:color w:val="FFFFFF"/>
                <w:sz w:val="19"/>
              </w:rPr>
              <w:t>If Hypothesis Incorrect</w:t>
            </w:r>
          </w:p>
        </w:tc>
        <w:tc>
          <w:tcPr>
            <w:tcW w:type="dxa" w:w="2448"/>
            <w:shd w:val="clear" w:fill="1E7A4C"/>
          </w:tcPr>
          <w:p>
            <w:r/>
            <w:r>
              <w:rPr>
                <w:b/>
                <w:color w:val="FFFFFF"/>
                <w:sz w:val="19"/>
              </w:rPr>
              <w:t>Influence on Next Stage</w:t>
            </w:r>
          </w:p>
        </w:tc>
      </w:tr>
      <w:tr>
        <w:tc>
          <w:tcPr>
            <w:tcW w:type="dxa" w:w="2736"/>
          </w:tcPr>
          <w:p>
            <w:r/>
            <w:r>
              <w:rPr>
                <w:sz w:val="18"/>
              </w:rPr>
              <w:t>MPBA functionalization vs. bare Ag (4.1/4.3)</w:t>
            </w:r>
          </w:p>
        </w:tc>
        <w:tc>
          <w:tcPr>
            <w:tcW w:type="dxa" w:w="2880"/>
          </w:tcPr>
          <w:p>
            <w:r/>
            <w:r>
              <w:rPr>
                <w:sz w:val="18"/>
              </w:rPr>
              <w:t>NAM-attributable band(s) matching the solution-phase reference appear on MPBA substrate, absent/weaker on bare Ag and blank</w:t>
            </w:r>
          </w:p>
        </w:tc>
        <w:tc>
          <w:tcPr>
            <w:tcW w:type="dxa" w:w="2448"/>
          </w:tcPr>
          <w:p>
            <w:r/>
            <w:r>
              <w:rPr>
                <w:sz w:val="18"/>
              </w:rPr>
              <w:t>No distinguishable signal on any functionalization layer at high concentration</w:t>
            </w:r>
          </w:p>
        </w:tc>
        <w:tc>
          <w:tcPr>
            <w:tcW w:type="dxa" w:w="2448"/>
          </w:tcPr>
          <w:p>
            <w:r/>
            <w:r>
              <w:rPr>
                <w:sz w:val="18"/>
              </w:rPr>
              <w:t>Correct: proceed to concentration series/LOD. Incorrect: escalate to Experiment 2 (substrate-limitation hypothesis) before further chemistry variants</w:t>
            </w:r>
          </w:p>
        </w:tc>
      </w:tr>
      <w:tr>
        <w:tc>
          <w:tcPr>
            <w:tcW w:type="dxa" w:w="2736"/>
            <w:shd w:val="clear" w:fill="EAF4EE"/>
          </w:tcPr>
          <w:p>
            <w:r/>
            <w:r>
              <w:rPr>
                <w:sz w:val="18"/>
              </w:rPr>
              <w:t>Concentration series / calibration curve (4.4)</w:t>
            </w:r>
          </w:p>
        </w:tc>
        <w:tc>
          <w:tcPr>
            <w:tcW w:type="dxa" w:w="2880"/>
            <w:shd w:val="clear" w:fill="EAF4EE"/>
          </w:tcPr>
          <w:p>
            <w:r/>
            <w:r>
              <w:rPr>
                <w:sz w:val="18"/>
              </w:rPr>
              <w:t>Monotonic, roughly log-linear intensity-vs-concentration relationship over multiple orders of magnitude</w:t>
            </w:r>
          </w:p>
        </w:tc>
        <w:tc>
          <w:tcPr>
            <w:tcW w:type="dxa" w:w="2448"/>
            <w:shd w:val="clear" w:fill="EAF4EE"/>
          </w:tcPr>
          <w:p>
            <w:r/>
            <w:r>
              <w:rPr>
                <w:sz w:val="18"/>
              </w:rPr>
              <w:t>Non-monotonic or flat response despite concentration changes</w:t>
            </w:r>
          </w:p>
        </w:tc>
        <w:tc>
          <w:tcPr>
            <w:tcW w:type="dxa" w:w="2448"/>
            <w:shd w:val="clear" w:fill="EAF4EE"/>
          </w:tcPr>
          <w:p>
            <w:r/>
            <w:r>
              <w:rPr>
                <w:sz w:val="18"/>
              </w:rPr>
              <w:t>Correct: establish LOD, proceed to reproducibility protocol. Incorrect: revisit incubation/washing variables (4.5, 4.8) as the likely confound</w:t>
            </w:r>
          </w:p>
        </w:tc>
      </w:tr>
      <w:tr>
        <w:tc>
          <w:tcPr>
            <w:tcW w:type="dxa" w:w="2736"/>
          </w:tcPr>
          <w:p>
            <w:r/>
            <w:r>
              <w:rPr>
                <w:sz w:val="18"/>
              </w:rPr>
              <w:t>Silver strip + regrowth cycle (8.1)</w:t>
            </w:r>
          </w:p>
        </w:tc>
        <w:tc>
          <w:tcPr>
            <w:tcW w:type="dxa" w:w="2880"/>
          </w:tcPr>
          <w:p>
            <w:r/>
            <w:r>
              <w:rPr>
                <w:sz w:val="18"/>
              </w:rPr>
              <w:t>Aggregate/regrown morphology shows improved uniformity and stronger R6G/NAM signal vs. as-grown dendritic baseline, matching Kochylas et al. 2021</w:t>
            </w:r>
          </w:p>
        </w:tc>
        <w:tc>
          <w:tcPr>
            <w:tcW w:type="dxa" w:w="2448"/>
          </w:tcPr>
          <w:p>
            <w:r/>
            <w:r>
              <w:rPr>
                <w:sz w:val="18"/>
              </w:rPr>
              <w:t>No measurable difference vs. as-grown baseline</w:t>
            </w:r>
          </w:p>
        </w:tc>
        <w:tc>
          <w:tcPr>
            <w:tcW w:type="dxa" w:w="2448"/>
          </w:tcPr>
          <w:p>
            <w:r/>
            <w:r>
              <w:rPr>
                <w:sz w:val="18"/>
              </w:rPr>
              <w:t>Correct: adopt regrowth cycle as new standard fabrication step. Incorrect: deprioritise silver-morphology refinement, focus remaining effort on 3D-texturing and chemistry variables instead</w:t>
            </w:r>
          </w:p>
        </w:tc>
      </w:tr>
      <w:tr>
        <w:tc>
          <w:tcPr>
            <w:tcW w:type="dxa" w:w="2736"/>
            <w:shd w:val="clear" w:fill="EAF4EE"/>
          </w:tcPr>
          <w:p>
            <w:r/>
            <w:r>
              <w:rPr>
                <w:sz w:val="18"/>
              </w:rPr>
              <w:t>Increased 3D nanostructuring (8.1, AgNO3/etch-time variation)</w:t>
            </w:r>
          </w:p>
        </w:tc>
        <w:tc>
          <w:tcPr>
            <w:tcW w:type="dxa" w:w="2880"/>
            <w:shd w:val="clear" w:fill="EAF4EE"/>
          </w:tcPr>
          <w:p>
            <w:r/>
            <w:r>
              <w:rPr>
                <w:sz w:val="18"/>
              </w:rPr>
              <w:t>Higher R6G/NAM SERS intensity on more textured batches, consistent with the literature 3D-vs-2D enhancement gap</w:t>
            </w:r>
          </w:p>
        </w:tc>
        <w:tc>
          <w:tcPr>
            <w:tcW w:type="dxa" w:w="2448"/>
            <w:shd w:val="clear" w:fill="EAF4EE"/>
          </w:tcPr>
          <w:p>
            <w:r/>
            <w:r>
              <w:rPr>
                <w:sz w:val="18"/>
              </w:rPr>
              <w:t>No enhancement gain, or a reproducibility collapse (RSD increase) outweighing any intensity gain</w:t>
            </w:r>
          </w:p>
        </w:tc>
        <w:tc>
          <w:tcPr>
            <w:tcW w:type="dxa" w:w="2448"/>
            <w:shd w:val="clear" w:fill="EAF4EE"/>
          </w:tcPr>
          <w:p>
            <w:r/>
            <w:r>
              <w:rPr>
                <w:sz w:val="18"/>
              </w:rPr>
              <w:t>Correct: adopt moderately increased texturing as new baseline. Incorrect: hold texturing at current/near-current levels and prioritise chemistry and silver-morphology refinements instead, given the documented 3D reproducibility penalty</w:t>
            </w:r>
          </w:p>
        </w:tc>
      </w:tr>
      <w:tr>
        <w:tc>
          <w:tcPr>
            <w:tcW w:type="dxa" w:w="2736"/>
          </w:tcPr>
          <w:p>
            <w:r/>
            <w:r>
              <w:rPr>
                <w:sz w:val="18"/>
              </w:rPr>
              <w:t>AFM/UV-Vis characterization of hotspot spacing and plasmon-laser match (Section 9)</w:t>
            </w:r>
          </w:p>
        </w:tc>
        <w:tc>
          <w:tcPr>
            <w:tcW w:type="dxa" w:w="2880"/>
          </w:tcPr>
          <w:p>
            <w:r/>
            <w:r>
              <w:rPr>
                <w:sz w:val="18"/>
              </w:rPr>
              <w:t>Gap spacing found outside optimal &lt;10 nm range, or LSPR peak found mismatched to excitation wavelength — a concrete, fixable target identified</w:t>
            </w:r>
          </w:p>
        </w:tc>
        <w:tc>
          <w:tcPr>
            <w:tcW w:type="dxa" w:w="2448"/>
          </w:tcPr>
          <w:p>
            <w:r/>
            <w:r>
              <w:rPr>
                <w:sz w:val="18"/>
              </w:rPr>
              <w:t>Gap spacing and plasmon position already close to optimal</w:t>
            </w:r>
          </w:p>
        </w:tc>
        <w:tc>
          <w:tcPr>
            <w:tcW w:type="dxa" w:w="2448"/>
          </w:tcPr>
          <w:p>
            <w:r/>
            <w:r>
              <w:rPr>
                <w:sz w:val="18"/>
              </w:rPr>
              <w:t>Correct: fabrication-tuning effort redirected specifically at the confirmed mismatch. Incorrect: further deprioritise substrate-physics explanations and concentrate remaining effort on the chemistry-layer hypothesis</w:t>
            </w:r>
          </w:p>
        </w:tc>
      </w:tr>
    </w:tbl>
    <w:p>
      <w:pPr>
        <w:spacing w:after="40"/>
      </w:pPr>
    </w:p>
    <w:p>
      <w:r>
        <w:br w:type="page"/>
      </w:r>
    </w:p>
    <w:p>
      <w:pPr>
        <w:pStyle w:val="Heading1"/>
      </w:pPr>
      <w:r>
        <w:t>11. Prioritized Experimental Roadmap</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448"/>
            <w:shd w:val="clear" w:fill="1E7A4C"/>
          </w:tcPr>
          <w:p>
            <w:r/>
            <w:r>
              <w:rPr>
                <w:b/>
                <w:color w:val="FFFFFF"/>
                <w:sz w:val="19"/>
              </w:rPr>
              <w:t>Phase</w:t>
            </w:r>
          </w:p>
        </w:tc>
        <w:tc>
          <w:tcPr>
            <w:tcW w:type="dxa" w:w="4752"/>
            <w:shd w:val="clear" w:fill="1E7A4C"/>
          </w:tcPr>
          <w:p>
            <w:r/>
            <w:r>
              <w:rPr>
                <w:b/>
                <w:color w:val="FFFFFF"/>
                <w:sz w:val="19"/>
              </w:rPr>
              <w:t>Activities</w:t>
            </w:r>
          </w:p>
        </w:tc>
        <w:tc>
          <w:tcPr>
            <w:tcW w:type="dxa" w:w="1872"/>
            <w:shd w:val="clear" w:fill="1E7A4C"/>
          </w:tcPr>
          <w:p>
            <w:r/>
            <w:r>
              <w:rPr>
                <w:b/>
                <w:color w:val="FFFFFF"/>
                <w:sz w:val="19"/>
              </w:rPr>
              <w:t>Approx. Duration</w:t>
            </w:r>
          </w:p>
        </w:tc>
        <w:tc>
          <w:tcPr>
            <w:tcW w:type="dxa" w:w="2880"/>
            <w:shd w:val="clear" w:fill="1E7A4C"/>
          </w:tcPr>
          <w:p>
            <w:r/>
            <w:r>
              <w:rPr>
                <w:b/>
                <w:color w:val="FFFFFF"/>
                <w:sz w:val="19"/>
              </w:rPr>
              <w:t>Go/No-Go Criterion</w:t>
            </w:r>
          </w:p>
        </w:tc>
      </w:tr>
      <w:tr>
        <w:tc>
          <w:tcPr>
            <w:tcW w:type="dxa" w:w="2448"/>
          </w:tcPr>
          <w:p>
            <w:r/>
            <w:r>
              <w:rPr>
                <w:sz w:val="18"/>
              </w:rPr>
              <w:t>Phase 1 — Chemistry screening</w:t>
            </w:r>
          </w:p>
        </w:tc>
        <w:tc>
          <w:tcPr>
            <w:tcW w:type="dxa" w:w="4752"/>
          </w:tcPr>
          <w:p>
            <w:r/>
            <w:r>
              <w:rPr>
                <w:sz w:val="18"/>
              </w:rPr>
              <w:t>Functionalization-layer comparison (4.1/4.3) at high NAM concentration, with all controls (4.2); parallel low-cost silver-regrowth batch (8.1) characterized by SEM/EDS/UV-Vis</w:t>
            </w:r>
          </w:p>
        </w:tc>
        <w:tc>
          <w:tcPr>
            <w:tcW w:type="dxa" w:w="1872"/>
          </w:tcPr>
          <w:p>
            <w:r/>
            <w:r>
              <w:rPr>
                <w:sz w:val="18"/>
              </w:rPr>
              <w:t>2-4 weeks</w:t>
            </w:r>
          </w:p>
        </w:tc>
        <w:tc>
          <w:tcPr>
            <w:tcW w:type="dxa" w:w="2880"/>
          </w:tcPr>
          <w:p>
            <w:r/>
            <w:r>
              <w:rPr>
                <w:sz w:val="18"/>
              </w:rPr>
              <w:t>A NAM-attributable signal is obtained on at least one functionalization condition</w:t>
            </w:r>
          </w:p>
        </w:tc>
      </w:tr>
      <w:tr>
        <w:tc>
          <w:tcPr>
            <w:tcW w:type="dxa" w:w="2448"/>
            <w:shd w:val="clear" w:fill="EAF4EE"/>
          </w:tcPr>
          <w:p>
            <w:r/>
            <w:r>
              <w:rPr>
                <w:sz w:val="18"/>
              </w:rPr>
              <w:t>Phase 2 — Quantification</w:t>
            </w:r>
          </w:p>
        </w:tc>
        <w:tc>
          <w:tcPr>
            <w:tcW w:type="dxa" w:w="4752"/>
            <w:shd w:val="clear" w:fill="EAF4EE"/>
          </w:tcPr>
          <w:p>
            <w:r/>
            <w:r>
              <w:rPr>
                <w:sz w:val="18"/>
              </w:rPr>
              <w:t>Concentration series (4.4), calibration curve, empirical LOD via 3-sigma method, incubation/drying/washing optimization on the winning condition (4.5, 4.7, 4.8)</w:t>
            </w:r>
          </w:p>
        </w:tc>
        <w:tc>
          <w:tcPr>
            <w:tcW w:type="dxa" w:w="1872"/>
            <w:shd w:val="clear" w:fill="EAF4EE"/>
          </w:tcPr>
          <w:p>
            <w:r/>
            <w:r>
              <w:rPr>
                <w:sz w:val="18"/>
              </w:rPr>
              <w:t>3-5 weeks</w:t>
            </w:r>
          </w:p>
        </w:tc>
        <w:tc>
          <w:tcPr>
            <w:tcW w:type="dxa" w:w="2880"/>
            <w:shd w:val="clear" w:fill="EAF4EE"/>
          </w:tcPr>
          <w:p>
            <w:r/>
            <w:r>
              <w:rPr>
                <w:sz w:val="18"/>
              </w:rPr>
              <w:t>Monotonic calibration curve with R2 &gt; 0.9 and a defensible LOD estimate</w:t>
            </w:r>
          </w:p>
        </w:tc>
      </w:tr>
      <w:tr>
        <w:tc>
          <w:tcPr>
            <w:tcW w:type="dxa" w:w="2448"/>
          </w:tcPr>
          <w:p>
            <w:r/>
            <w:r>
              <w:rPr>
                <w:sz w:val="18"/>
              </w:rPr>
              <w:t>Phase 3 — Reproducibility and characterization</w:t>
            </w:r>
          </w:p>
        </w:tc>
        <w:tc>
          <w:tcPr>
            <w:tcW w:type="dxa" w:w="4752"/>
          </w:tcPr>
          <w:p>
            <w:r/>
            <w:r>
              <w:rPr>
                <w:sz w:val="18"/>
              </w:rPr>
              <w:t>Full DOE matrix reproducibility runs (8.1/8.4), AFM + XRD characterization of best-performing batches (Section 9), full statistics (4.10-4.11)</w:t>
            </w:r>
          </w:p>
        </w:tc>
        <w:tc>
          <w:tcPr>
            <w:tcW w:type="dxa" w:w="1872"/>
          </w:tcPr>
          <w:p>
            <w:r/>
            <w:r>
              <w:rPr>
                <w:sz w:val="18"/>
              </w:rPr>
              <w:t>4-6 weeks</w:t>
            </w:r>
          </w:p>
        </w:tc>
        <w:tc>
          <w:tcPr>
            <w:tcW w:type="dxa" w:w="2880"/>
          </w:tcPr>
          <w:p>
            <w:r/>
            <w:r>
              <w:rPr>
                <w:sz w:val="18"/>
              </w:rPr>
              <w:t>Substrate-to-substrate RSD &lt; 20% on the winning condition</w:t>
            </w:r>
          </w:p>
        </w:tc>
      </w:tr>
      <w:tr>
        <w:tc>
          <w:tcPr>
            <w:tcW w:type="dxa" w:w="2448"/>
            <w:shd w:val="clear" w:fill="EAF4EE"/>
          </w:tcPr>
          <w:p>
            <w:r/>
            <w:r>
              <w:rPr>
                <w:sz w:val="18"/>
              </w:rPr>
              <w:t>Phase 4 — Substrate refinement (if needed)</w:t>
            </w:r>
          </w:p>
        </w:tc>
        <w:tc>
          <w:tcPr>
            <w:tcW w:type="dxa" w:w="4752"/>
            <w:shd w:val="clear" w:fill="EAF4EE"/>
          </w:tcPr>
          <w:p>
            <w:r/>
            <w:r>
              <w:rPr>
                <w:sz w:val="18"/>
              </w:rPr>
              <w:t>3D-texturing and hotspot-spacing tuning (Section 6.3, 8.1) only if Phase 3 reproducibility or enhancement remains unsatisfactory</w:t>
            </w:r>
          </w:p>
        </w:tc>
        <w:tc>
          <w:tcPr>
            <w:tcW w:type="dxa" w:w="1872"/>
            <w:shd w:val="clear" w:fill="EAF4EE"/>
          </w:tcPr>
          <w:p>
            <w:r/>
            <w:r>
              <w:rPr>
                <w:sz w:val="18"/>
              </w:rPr>
              <w:t>4-8 weeks (parallel-eligible with Phase 3)</w:t>
            </w:r>
          </w:p>
        </w:tc>
        <w:tc>
          <w:tcPr>
            <w:tcW w:type="dxa" w:w="2880"/>
            <w:shd w:val="clear" w:fill="EAF4EE"/>
          </w:tcPr>
          <w:p>
            <w:r/>
            <w:r>
              <w:rPr>
                <w:sz w:val="18"/>
              </w:rPr>
              <w:t>Measurable EF/RSD improvement over the Phase 3 baseline substrate</w:t>
            </w:r>
          </w:p>
        </w:tc>
      </w:tr>
      <w:tr>
        <w:tc>
          <w:tcPr>
            <w:tcW w:type="dxa" w:w="2448"/>
          </w:tcPr>
          <w:p>
            <w:r/>
            <w:r>
              <w:rPr>
                <w:sz w:val="18"/>
              </w:rPr>
              <w:t>Phase 5 — Extension to LPS/LTA</w:t>
            </w:r>
          </w:p>
        </w:tc>
        <w:tc>
          <w:tcPr>
            <w:tcW w:type="dxa" w:w="4752"/>
          </w:tcPr>
          <w:p>
            <w:r/>
            <w:r>
              <w:rPr>
                <w:sz w:val="18"/>
              </w:rPr>
              <w:t>Apply the validated capture-chemistry and characterization framework to LPS (antibody/cationic-layer strategies) and LTA (antibody/cationic-layer strategies), per the companion Critical Evaluation report</w:t>
            </w:r>
          </w:p>
        </w:tc>
        <w:tc>
          <w:tcPr>
            <w:tcW w:type="dxa" w:w="1872"/>
          </w:tcPr>
          <w:p>
            <w:r/>
            <w:r>
              <w:rPr>
                <w:sz w:val="18"/>
              </w:rPr>
              <w:t>6-10 weeks</w:t>
            </w:r>
          </w:p>
        </w:tc>
        <w:tc>
          <w:tcPr>
            <w:tcW w:type="dxa" w:w="2880"/>
          </w:tcPr>
          <w:p>
            <w:r/>
            <w:r>
              <w:rPr>
                <w:sz w:val="18"/>
              </w:rPr>
              <w:t>Positive, reproducible detection for at least one of the two additional biomarkers</w:t>
            </w:r>
          </w:p>
        </w:tc>
      </w:tr>
    </w:tbl>
    <w:p>
      <w:pPr>
        <w:spacing w:after="40"/>
      </w:pPr>
    </w:p>
    <w:p>
      <w:pPr>
        <w:spacing w:after="120"/>
      </w:pPr>
      <w:r>
        <w:rPr>
          <w:b w:val="0"/>
          <w:i w:val="0"/>
        </w:rPr>
        <w:t>This ordering reflects the project's own evidence: since the substrate's electromagnetic function is already validated (R6G), chemistry-layer work (Phases 1-2) is both higher-probability-of-success and lower-cost than committing to a full substrate redesign before the chemistry question is answered. Phase 4 is written as substrate-refinement-if-needed rather than a mandatory step, so that fabrication effort is not spent pre-emptively on a variable that may not be the limiting one.</w:t>
      </w:r>
    </w:p>
    <w:p>
      <w:pPr>
        <w:pStyle w:val="Heading1"/>
      </w:pPr>
      <w:r>
        <w:t>12. Troubleshooting Guide for Failed NAM Detection</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736"/>
            <w:shd w:val="clear" w:fill="1E7A4C"/>
          </w:tcPr>
          <w:p>
            <w:r/>
            <w:r>
              <w:rPr>
                <w:b/>
                <w:color w:val="FFFFFF"/>
                <w:sz w:val="19"/>
              </w:rPr>
              <w:t>Symptom</w:t>
            </w:r>
          </w:p>
        </w:tc>
        <w:tc>
          <w:tcPr>
            <w:tcW w:type="dxa" w:w="2448"/>
            <w:shd w:val="clear" w:fill="1E7A4C"/>
          </w:tcPr>
          <w:p>
            <w:r/>
            <w:r>
              <w:rPr>
                <w:b/>
                <w:color w:val="FFFFFF"/>
                <w:sz w:val="19"/>
              </w:rPr>
              <w:t>Most Likely Cause</w:t>
            </w:r>
          </w:p>
        </w:tc>
        <w:tc>
          <w:tcPr>
            <w:tcW w:type="dxa" w:w="2736"/>
            <w:shd w:val="clear" w:fill="1E7A4C"/>
          </w:tcPr>
          <w:p>
            <w:r/>
            <w:r>
              <w:rPr>
                <w:b/>
                <w:color w:val="FFFFFF"/>
                <w:sz w:val="19"/>
              </w:rPr>
              <w:t>Diagnostic Action</w:t>
            </w:r>
          </w:p>
        </w:tc>
        <w:tc>
          <w:tcPr>
            <w:tcW w:type="dxa" w:w="2448"/>
            <w:shd w:val="clear" w:fill="1E7A4C"/>
          </w:tcPr>
          <w:p>
            <w:r/>
            <w:r>
              <w:rPr>
                <w:b/>
                <w:color w:val="FFFFFF"/>
                <w:sz w:val="19"/>
              </w:rPr>
              <w:t>Fix</w:t>
            </w:r>
          </w:p>
        </w:tc>
      </w:tr>
      <w:tr>
        <w:tc>
          <w:tcPr>
            <w:tcW w:type="dxa" w:w="2736"/>
          </w:tcPr>
          <w:p>
            <w:r/>
            <w:r>
              <w:rPr>
                <w:sz w:val="18"/>
              </w:rPr>
              <w:t>No signal at any concentration, any functionalization layer</w:t>
            </w:r>
          </w:p>
        </w:tc>
        <w:tc>
          <w:tcPr>
            <w:tcW w:type="dxa" w:w="2448"/>
          </w:tcPr>
          <w:p>
            <w:r/>
            <w:r>
              <w:rPr>
                <w:sz w:val="18"/>
              </w:rPr>
              <w:t>Instrument/alignment issue, or NAM stock degraded/incorrect concentration</w:t>
            </w:r>
          </w:p>
        </w:tc>
        <w:tc>
          <w:tcPr>
            <w:tcW w:type="dxa" w:w="2736"/>
          </w:tcPr>
          <w:p>
            <w:r/>
            <w:r>
              <w:rPr>
                <w:sz w:val="18"/>
              </w:rPr>
              <w:t>Re-run R6G positive control same session; verify NAM stock by solution-phase Raman/UV-Vis before re-testing</w:t>
            </w:r>
          </w:p>
        </w:tc>
        <w:tc>
          <w:tcPr>
            <w:tcW w:type="dxa" w:w="2448"/>
          </w:tcPr>
          <w:p>
            <w:r/>
            <w:r>
              <w:rPr>
                <w:sz w:val="18"/>
              </w:rPr>
              <w:t>Resolve instrument/stock issue first; do not conclude chemistry has failed until controls pass</w:t>
            </w:r>
          </w:p>
        </w:tc>
      </w:tr>
      <w:tr>
        <w:tc>
          <w:tcPr>
            <w:tcW w:type="dxa" w:w="2736"/>
            <w:shd w:val="clear" w:fill="EAF4EE"/>
          </w:tcPr>
          <w:p>
            <w:r/>
            <w:r>
              <w:rPr>
                <w:sz w:val="18"/>
              </w:rPr>
              <w:t>Signal present but not reproducible across replicate substrates (high RSD)</w:t>
            </w:r>
          </w:p>
        </w:tc>
        <w:tc>
          <w:tcPr>
            <w:tcW w:type="dxa" w:w="2448"/>
            <w:shd w:val="clear" w:fill="EAF4EE"/>
          </w:tcPr>
          <w:p>
            <w:r/>
            <w:r>
              <w:rPr>
                <w:sz w:val="18"/>
              </w:rPr>
              <w:t>Batch-to-batch fabrication variability (silver morphology/coverage inconsistency)</w:t>
            </w:r>
          </w:p>
        </w:tc>
        <w:tc>
          <w:tcPr>
            <w:tcW w:type="dxa" w:w="2736"/>
            <w:shd w:val="clear" w:fill="EAF4EE"/>
          </w:tcPr>
          <w:p>
            <w:r/>
            <w:r>
              <w:rPr>
                <w:sz w:val="18"/>
              </w:rPr>
              <w:t>SEM/EDS every batch used in the comparison; correlate RSD with observed morphology variability</w:t>
            </w:r>
          </w:p>
        </w:tc>
        <w:tc>
          <w:tcPr>
            <w:tcW w:type="dxa" w:w="2448"/>
            <w:shd w:val="clear" w:fill="EAF4EE"/>
          </w:tcPr>
          <w:p>
            <w:r/>
            <w:r>
              <w:rPr>
                <w:sz w:val="18"/>
              </w:rPr>
              <w:t>Adopt silver strip+regrowth cycle (8.1) to reduce as-grown dendritic variability</w:t>
            </w:r>
          </w:p>
        </w:tc>
      </w:tr>
      <w:tr>
        <w:tc>
          <w:tcPr>
            <w:tcW w:type="dxa" w:w="2736"/>
          </w:tcPr>
          <w:p>
            <w:r/>
            <w:r>
              <w:rPr>
                <w:sz w:val="18"/>
              </w:rPr>
              <w:t>Signal present but not reproducible across spots on the same substrate</w:t>
            </w:r>
          </w:p>
        </w:tc>
        <w:tc>
          <w:tcPr>
            <w:tcW w:type="dxa" w:w="2448"/>
          </w:tcPr>
          <w:p>
            <w:r/>
            <w:r>
              <w:rPr>
                <w:sz w:val="18"/>
              </w:rPr>
              <w:t>Non-uniform functionalization coverage or coffee-ring analyte redistribution</w:t>
            </w:r>
          </w:p>
        </w:tc>
        <w:tc>
          <w:tcPr>
            <w:tcW w:type="dxa" w:w="2736"/>
          </w:tcPr>
          <w:p>
            <w:r/>
            <w:r>
              <w:rPr>
                <w:sz w:val="18"/>
              </w:rPr>
              <w:t>Compare Raman map with a visual/optical image of the dried droplet footprint</w:t>
            </w:r>
          </w:p>
        </w:tc>
        <w:tc>
          <w:tcPr>
            <w:tcW w:type="dxa" w:w="2448"/>
          </w:tcPr>
          <w:p>
            <w:r/>
            <w:r>
              <w:rPr>
                <w:sz w:val="18"/>
              </w:rPr>
              <w:t>Switch to nitrogen-stream drying (4.7); consider agitated incubation (4.5)</w:t>
            </w:r>
          </w:p>
        </w:tc>
      </w:tr>
      <w:tr>
        <w:tc>
          <w:tcPr>
            <w:tcW w:type="dxa" w:w="2736"/>
            <w:shd w:val="clear" w:fill="EAF4EE"/>
          </w:tcPr>
          <w:p>
            <w:r/>
            <w:r>
              <w:rPr>
                <w:sz w:val="18"/>
              </w:rPr>
              <w:t>Signal present at high concentration but disappears at lower, diagnostically-relevant concentrations</w:t>
            </w:r>
          </w:p>
        </w:tc>
        <w:tc>
          <w:tcPr>
            <w:tcW w:type="dxa" w:w="2448"/>
            <w:shd w:val="clear" w:fill="EAF4EE"/>
          </w:tcPr>
          <w:p>
            <w:r/>
            <w:r>
              <w:rPr>
                <w:sz w:val="18"/>
              </w:rPr>
              <w:t>Genuine sensitivity limitation, not a capture-chemistry absence</w:t>
            </w:r>
          </w:p>
        </w:tc>
        <w:tc>
          <w:tcPr>
            <w:tcW w:type="dxa" w:w="2736"/>
            <w:shd w:val="clear" w:fill="EAF4EE"/>
          </w:tcPr>
          <w:p>
            <w:r/>
            <w:r>
              <w:rPr>
                <w:sz w:val="18"/>
              </w:rPr>
              <w:t>Confirm via full serial-dilution calibration curve (4.4) rather than a single low-concentration point</w:t>
            </w:r>
          </w:p>
        </w:tc>
        <w:tc>
          <w:tcPr>
            <w:tcW w:type="dxa" w:w="2448"/>
            <w:shd w:val="clear" w:fill="EAF4EE"/>
          </w:tcPr>
          <w:p>
            <w:r/>
            <w:r>
              <w:rPr>
                <w:sz w:val="18"/>
              </w:rPr>
              <w:t>Pursue substrate enhancement refinement (Experiment 2) to push LOD down, once chemistry is confirmed functional</w:t>
            </w:r>
          </w:p>
        </w:tc>
      </w:tr>
      <w:tr>
        <w:tc>
          <w:tcPr>
            <w:tcW w:type="dxa" w:w="2736"/>
          </w:tcPr>
          <w:p>
            <w:r/>
            <w:r>
              <w:rPr>
                <w:sz w:val="18"/>
              </w:rPr>
              <w:t>Bands appear but do not match the solution-phase NAM reference spectrum</w:t>
            </w:r>
          </w:p>
        </w:tc>
        <w:tc>
          <w:tcPr>
            <w:tcW w:type="dxa" w:w="2448"/>
          </w:tcPr>
          <w:p>
            <w:r/>
            <w:r>
              <w:rPr>
                <w:sz w:val="18"/>
              </w:rPr>
              <w:t>Functionalization-layer or contaminant bands being misread as NAM signal</w:t>
            </w:r>
          </w:p>
        </w:tc>
        <w:tc>
          <w:tcPr>
            <w:tcW w:type="dxa" w:w="2736"/>
          </w:tcPr>
          <w:p>
            <w:r/>
            <w:r>
              <w:rPr>
                <w:sz w:val="18"/>
              </w:rPr>
              <w:t>Run the blank (functionalized, no NAM) control side-by-side; compare band-by-band against literature/DFT-predicted NAM band positions</w:t>
            </w:r>
          </w:p>
        </w:tc>
        <w:tc>
          <w:tcPr>
            <w:tcW w:type="dxa" w:w="2448"/>
          </w:tcPr>
          <w:p>
            <w:r/>
            <w:r>
              <w:rPr>
                <w:sz w:val="18"/>
              </w:rPr>
              <w:t>Treat as a false positive; revisit functionalization-layer selectivity control (non-specific-binding control, 4.2)</w:t>
            </w:r>
          </w:p>
        </w:tc>
      </w:tr>
      <w:tr>
        <w:tc>
          <w:tcPr>
            <w:tcW w:type="dxa" w:w="2736"/>
            <w:shd w:val="clear" w:fill="EAF4EE"/>
          </w:tcPr>
          <w:p>
            <w:r/>
            <w:r>
              <w:rPr>
                <w:sz w:val="18"/>
              </w:rPr>
              <w:t>Signal degrades between fabrication and measurement session</w:t>
            </w:r>
          </w:p>
        </w:tc>
        <w:tc>
          <w:tcPr>
            <w:tcW w:type="dxa" w:w="2448"/>
            <w:shd w:val="clear" w:fill="EAF4EE"/>
          </w:tcPr>
          <w:p>
            <w:r/>
            <w:r>
              <w:rPr>
                <w:sz w:val="18"/>
              </w:rPr>
              <w:t>Silver oxidation/ageing</w:t>
            </w:r>
          </w:p>
        </w:tc>
        <w:tc>
          <w:tcPr>
            <w:tcW w:type="dxa" w:w="2736"/>
            <w:shd w:val="clear" w:fill="EAF4EE"/>
          </w:tcPr>
          <w:p>
            <w:r/>
            <w:r>
              <w:rPr>
                <w:sz w:val="18"/>
              </w:rPr>
              <w:t>XRD phase check; compare fresh vs. aged substrate under identical conditions</w:t>
            </w:r>
          </w:p>
        </w:tc>
        <w:tc>
          <w:tcPr>
            <w:tcW w:type="dxa" w:w="2448"/>
            <w:shd w:val="clear" w:fill="EAF4EE"/>
          </w:tcPr>
          <w:p>
            <w:r/>
            <w:r>
              <w:rPr>
                <w:sz w:val="18"/>
              </w:rPr>
              <w:t>Log and minimize substrate age at use; consider a protective capping layer as a future refinement</w:t>
            </w:r>
          </w:p>
        </w:tc>
      </w:tr>
    </w:tbl>
    <w:p>
      <w:pPr>
        <w:spacing w:after="40"/>
      </w:pPr>
    </w:p>
    <w:p>
      <w:r>
        <w:br w:type="page"/>
      </w:r>
    </w:p>
    <w:p>
      <w:pPr>
        <w:pStyle w:val="Heading1"/>
      </w:pPr>
      <w:r>
        <w:t>13. Decision Tree for Substrate and Sensor Optimization</w:t>
      </w:r>
    </w:p>
    <w:p>
      <w:pPr>
        <w:spacing w:after="120"/>
      </w:pPr>
      <w:r>
        <w:rPr>
          <w:b w:val="0"/>
          <w:i w:val="0"/>
        </w:rPr>
        <w:t>This is the project-level decision tree, integrating Experiment 1 and Experiment 2 outcomes into a single next-action guide.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744"/>
            <w:shd w:val="clear" w:fill="1E7A4C"/>
          </w:tcPr>
          <w:p>
            <w:r/>
            <w:r>
              <w:rPr>
                <w:b/>
                <w:color w:val="FFFFFF"/>
                <w:sz w:val="19"/>
              </w:rPr>
              <w:t>Decision Point</w:t>
            </w:r>
          </w:p>
        </w:tc>
        <w:tc>
          <w:tcPr>
            <w:tcW w:type="dxa" w:w="3312"/>
            <w:shd w:val="clear" w:fill="1E7A4C"/>
          </w:tcPr>
          <w:p>
            <w:r/>
            <w:r>
              <w:rPr>
                <w:b/>
                <w:color w:val="FFFFFF"/>
                <w:sz w:val="19"/>
              </w:rPr>
              <w:t>Path A</w:t>
            </w:r>
          </w:p>
        </w:tc>
        <w:tc>
          <w:tcPr>
            <w:tcW w:type="dxa" w:w="3312"/>
            <w:shd w:val="clear" w:fill="1E7A4C"/>
          </w:tcPr>
          <w:p>
            <w:r/>
            <w:r>
              <w:rPr>
                <w:b/>
                <w:color w:val="FFFFFF"/>
                <w:sz w:val="19"/>
              </w:rPr>
              <w:t>Path B</w:t>
            </w:r>
          </w:p>
        </w:tc>
      </w:tr>
      <w:tr>
        <w:tc>
          <w:tcPr>
            <w:tcW w:type="dxa" w:w="3744"/>
          </w:tcPr>
          <w:p>
            <w:r/>
            <w:r>
              <w:rPr>
                <w:sz w:val="18"/>
              </w:rPr>
              <w:t>Does any functionalization layer produce a genuine, control-verified NAM signal at high concentration? (Section 5, Q2)</w:t>
            </w:r>
          </w:p>
        </w:tc>
        <w:tc>
          <w:tcPr>
            <w:tcW w:type="dxa" w:w="3312"/>
          </w:tcPr>
          <w:p>
            <w:r/>
            <w:r>
              <w:rPr>
                <w:sz w:val="18"/>
              </w:rPr>
              <w:t>YES -&gt; proceed down the chemistry-optimization branch (concentration series, reproducibility, then extension to LPS/LTA)</w:t>
            </w:r>
          </w:p>
        </w:tc>
        <w:tc>
          <w:tcPr>
            <w:tcW w:type="dxa" w:w="3312"/>
          </w:tcPr>
          <w:p>
            <w:r/>
            <w:r>
              <w:rPr>
                <w:sz w:val="18"/>
              </w:rPr>
              <w:t>NO -&gt; proceed down the substrate-optimization branch (Experiment 2 fabrication refinements) before further chemistry variants</w:t>
            </w:r>
          </w:p>
        </w:tc>
      </w:tr>
      <w:tr>
        <w:tc>
          <w:tcPr>
            <w:tcW w:type="dxa" w:w="3744"/>
            <w:shd w:val="clear" w:fill="EAF4EE"/>
          </w:tcPr>
          <w:p>
            <w:r/>
            <w:r>
              <w:rPr>
                <w:sz w:val="18"/>
              </w:rPr>
              <w:t>[Chemistry branch] Does the winning condition reach &lt;20% substrate-to-substrate RSD? (Section 4.10)</w:t>
            </w:r>
          </w:p>
        </w:tc>
        <w:tc>
          <w:tcPr>
            <w:tcW w:type="dxa" w:w="3312"/>
            <w:shd w:val="clear" w:fill="EAF4EE"/>
          </w:tcPr>
          <w:p>
            <w:r/>
            <w:r>
              <w:rPr>
                <w:sz w:val="18"/>
              </w:rPr>
              <w:t>YES -&gt; substrate/protocol is publication-ready on this axis; begin LPS/LTA extension (Phase 5)</w:t>
            </w:r>
          </w:p>
        </w:tc>
        <w:tc>
          <w:tcPr>
            <w:tcW w:type="dxa" w:w="3312"/>
            <w:shd w:val="clear" w:fill="EAF4EE"/>
          </w:tcPr>
          <w:p>
            <w:r/>
            <w:r>
              <w:rPr>
                <w:sz w:val="18"/>
              </w:rPr>
              <w:t>NO -&gt; apply silver regrowth cycle + re-test reproducibility before pursuing further 3D-texturing changes</w:t>
            </w:r>
          </w:p>
        </w:tc>
      </w:tr>
      <w:tr>
        <w:tc>
          <w:tcPr>
            <w:tcW w:type="dxa" w:w="3744"/>
          </w:tcPr>
          <w:p>
            <w:r/>
            <w:r>
              <w:rPr>
                <w:sz w:val="18"/>
              </w:rPr>
              <w:t>[Substrate branch] Does AFM/UV-Vis characterization (Section 9) identify a concrete morphology or plasmon-mismatch problem?</w:t>
            </w:r>
          </w:p>
        </w:tc>
        <w:tc>
          <w:tcPr>
            <w:tcW w:type="dxa" w:w="3312"/>
          </w:tcPr>
          <w:p>
            <w:r/>
            <w:r>
              <w:rPr>
                <w:sz w:val="18"/>
              </w:rPr>
              <w:t>YES -&gt; target the specific confirmed mismatch (gap spacing or excitation wavelength/LSPR alignment) directly</w:t>
            </w:r>
          </w:p>
        </w:tc>
        <w:tc>
          <w:tcPr>
            <w:tcW w:type="dxa" w:w="3312"/>
          </w:tcPr>
          <w:p>
            <w:r/>
            <w:r>
              <w:rPr>
                <w:sz w:val="18"/>
              </w:rPr>
              <w:t>NO -&gt; re-attempt chemistry screening on the existing substrate with a wider functionalization panel (e.g. antibody or MIP-based capture) before further fabrication changes</w:t>
            </w:r>
          </w:p>
        </w:tc>
      </w:tr>
      <w:tr>
        <w:tc>
          <w:tcPr>
            <w:tcW w:type="dxa" w:w="3744"/>
            <w:shd w:val="clear" w:fill="EAF4EE"/>
          </w:tcPr>
          <w:p>
            <w:r/>
            <w:r>
              <w:rPr>
                <w:sz w:val="18"/>
              </w:rPr>
              <w:t>[Either branch] After the above, is a reproducible, quantified NAM LOD in the diagnostically relevant range achieved?</w:t>
            </w:r>
          </w:p>
        </w:tc>
        <w:tc>
          <w:tcPr>
            <w:tcW w:type="dxa" w:w="3312"/>
            <w:shd w:val="clear" w:fill="EAF4EE"/>
          </w:tcPr>
          <w:p>
            <w:r/>
            <w:r>
              <w:rPr>
                <w:sz w:val="18"/>
              </w:rPr>
              <w:t>YES -&gt; proceed to full publication-readiness workup (per the companion Critical Evaluation report's Section 14 gap analysis) and begin LPS/LTA extension</w:t>
            </w:r>
          </w:p>
        </w:tc>
        <w:tc>
          <w:tcPr>
            <w:tcW w:type="dxa" w:w="3312"/>
            <w:shd w:val="clear" w:fill="EAF4EE"/>
          </w:tcPr>
          <w:p>
            <w:r/>
            <w:r>
              <w:rPr>
                <w:sz w:val="18"/>
              </w:rPr>
              <w:t>NO -&gt; reassess whether a multiplexed/higher-sensitivity architecture (e.g. microfluidic-integrated nanopillar array, Section 2) is warranted as a longer-term redesign, rather than continued incremental optimization of the current platform</w:t>
            </w:r>
          </w:p>
        </w:tc>
      </w:tr>
    </w:tbl>
    <w:p>
      <w:pPr>
        <w:spacing w:after="40"/>
      </w:pPr>
    </w:p>
    <w:p>
      <w:r>
        <w:br w:type="page"/>
      </w:r>
    </w:p>
    <w:p>
      <w:pPr>
        <w:pStyle w:val="Heading1"/>
      </w:pPr>
      <w:r>
        <w:t>14. References</w:t>
      </w:r>
    </w:p>
    <w:p>
      <w:pPr>
        <w:spacing w:after="120"/>
      </w:pPr>
      <w:r>
        <w:rPr>
          <w:b w:val="0"/>
          <w:i w:val="0"/>
        </w:rPr>
        <w:t>References marked [Project] are drawn from this project's own DFT, experimental, and report files as catalogued in the companion extraction summaries. References marked [Lit.] are peer-reviewed literature identified during this and the companion reports' research phases. As disclosed on the title page and in the note following the Table of Contents, targeted new literature searches specifically for this report were partially blocked by tool-availability limits; the literature base below is therefore drawn primarily from the companion Critical Evaluation report's research plus general silicon-nanofabrication/SERS engineering domain knowledge, flagged as such throughout the text where a specific citation could not be obtained.</w:t>
      </w:r>
    </w:p>
    <w:p>
      <w:pPr>
        <w:pStyle w:val="ListBullet"/>
        <w:spacing w:after="60"/>
      </w:pPr>
      <w:r>
        <w:t>Golubewa, L. et al. (2024). Black Silicon: Fabrication Methods and Applications in SERS. Biosensors, 14(10), 453.</w:t>
      </w:r>
    </w:p>
    <w:p>
      <w:pPr>
        <w:pStyle w:val="ListBullet"/>
        <w:spacing w:after="60"/>
      </w:pPr>
      <w:r>
        <w:t>Kochylas, I. et al. (2021). Improving the Reproducibility of Ag-based SERS Substrates and their Application to the Detection of Rhodamine 6G. Nanomaterials, 11(7), 1760.</w:t>
      </w:r>
    </w:p>
    <w:p>
      <w:pPr>
        <w:pStyle w:val="ListBullet"/>
        <w:spacing w:after="60"/>
      </w:pPr>
      <w:r>
        <w:t>Kim, D. et al. (2025). Plasmonic 3D Nanopillar Array Microfluidic Chip for Multiplexed Sepsis Biomarker Detection. Advanced Science, DOI:10.1002/advs.202414688.</w:t>
      </w:r>
    </w:p>
    <w:p>
      <w:pPr>
        <w:pStyle w:val="ListBullet"/>
        <w:spacing w:after="60"/>
      </w:pPr>
      <w:r>
        <w:t>Rusciano, G. et al. (2023). SERS-Based Immunosensor for Rapid Detection of Lipopolysaccharide. International Journal of Molecular Sciences, 24(15), 12099.</w:t>
      </w:r>
    </w:p>
    <w:p>
      <w:pPr>
        <w:pStyle w:val="ListBullet"/>
        <w:spacing w:after="60"/>
      </w:pPr>
      <w:r>
        <w:t>Yang, T. et al. (2022). Machine-Learning-Assisted SERS Differentiation of Bacterial Cell-Wall Components on Silver Nanorod Arrays. Nanoscale, 14(24), 8806-8817.</w:t>
      </w:r>
    </w:p>
    <w:p>
      <w:pPr>
        <w:pStyle w:val="ListBullet"/>
        <w:spacing w:after="60"/>
      </w:pPr>
      <w:r>
        <w:t>[Project] Project raw DFT/Gaussian NAM simulation outputs and NAM_Raman_Archive (compiled 5 Aug 2026), per extraction summary 5.</w:t>
      </w:r>
    </w:p>
    <w:p>
      <w:pPr>
        <w:pStyle w:val="ListBullet"/>
        <w:spacing w:after="60"/>
      </w:pPr>
      <w:r>
        <w:t>[Project] Project 20-04 core experimental/simulation dataset (NAM/LPS/LTA fragment and whole-molecule fits), per extraction summary 6.</w:t>
      </w:r>
    </w:p>
    <w:p>
      <w:pPr>
        <w:pStyle w:val="ListBullet"/>
        <w:spacing w:after="60"/>
      </w:pPr>
      <w:r>
        <w:t>[Project] Project r6g-from-my-pc R6G Raman-DFT validation pipeline, per extraction summary 7.</w:t>
      </w:r>
    </w:p>
    <w:p>
      <w:pPr>
        <w:pStyle w:val="ListBullet"/>
        <w:spacing w:after="60"/>
      </w:pPr>
      <w:r>
        <w:t>[Project] Project black silicon fabrication notes and SEM references, per extraction summaries 2, 3, and 8 (review meeting folder, finalmtp.docx).</w:t>
      </w:r>
    </w:p>
    <w:p>
      <w:pPr>
        <w:pStyle w:val="ListBullet"/>
        <w:spacing w:after="60"/>
      </w:pPr>
      <w:r>
        <w:t>Additional literature underlying the surface-functionalization, EF/LOD benchmark, and carbohydrate-SERS-difficulty claims summarized in this report is catalogued in full in the companion "Critical Scientific Evaluation and Sensor Development Strategy" report (References section) and is not fully re-listed here to avoid duplication.</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7A4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D3D"/>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2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