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sz w:val="40"/>
        </w:rPr>
        <w:t>Comprehensive Review of N-Acetylmuramic Acid Detection Technologies and Selection of an Optimal NAM Biosensor Strategy</w:t>
      </w:r>
    </w:p>
    <w:p>
      <w:pPr>
        <w:spacing w:after="120"/>
        <w:jc w:val="center"/>
      </w:pPr>
      <w:r>
        <w:rPr>
          <w:b w:val="0"/>
          <w:i/>
          <w:sz w:val="24"/>
        </w:rPr>
        <w:t>A Cross-Technology Literature Investigation: SERS, Mass Spectrometry, Chromatography, Electrochemical, Optical, Enzymatic, Immunological, and Hybrid Approaches</w:t>
      </w:r>
    </w:p>
    <w:p/>
    <w:p>
      <w:pPr>
        <w:jc w:val="center"/>
      </w:pPr>
      <w:r>
        <w:rPr>
          <w:color w:val="B56A0A"/>
        </w:rPr>
        <w:t>____________________________________________________________</w:t>
      </w:r>
    </w:p>
    <w:p/>
    <w:p/>
    <w:p>
      <w:pPr>
        <w:spacing w:after="120"/>
        <w:jc w:val="center"/>
      </w:pPr>
      <w:r>
        <w:rPr>
          <w:b/>
          <w:i w:val="0"/>
        </w:rPr>
        <w:t>Prepared for:  Sukesh P (M24IM1007)</w:t>
      </w:r>
    </w:p>
    <w:p>
      <w:pPr>
        <w:spacing w:after="120"/>
        <w:jc w:val="center"/>
      </w:pPr>
      <w:r>
        <w:rPr>
          <w:b w:val="0"/>
          <w:i w:val="0"/>
        </w:rPr>
        <w:t>Programme:  M.Tech in Medical Technologies — IIT Jodhpur &amp; AIIMS Jodhpur Joint IDRP</w:t>
      </w:r>
    </w:p>
    <w:p>
      <w:pPr>
        <w:spacing w:after="120"/>
        <w:jc w:val="center"/>
      </w:pPr>
      <w:r>
        <w:rPr>
          <w:b w:val="0"/>
          <w:i w:val="0"/>
        </w:rPr>
        <w:t>Supervisor:  Prof. Ajay Agarwal, Department of Electrical Engineering, IIT Jodhpur</w:t>
      </w:r>
    </w:p>
    <w:p>
      <w:pPr>
        <w:spacing w:after="120"/>
        <w:jc w:val="center"/>
      </w:pPr>
      <w:r>
        <w:rPr>
          <w:b w:val="0"/>
          <w:i w:val="0"/>
        </w:rPr>
        <w:t>Acting as:  Multidisciplinary panel — analytical chemistry, biosensors, SERS/Raman, electrochemistry, mass spectrometry, chromatography, optical biosensing, molecular recognition, microfluidics, clinical diagnostics, computational chemistry, nanomaterials, medical devices</w:t>
      </w:r>
    </w:p>
    <w:p>
      <w:pPr>
        <w:spacing w:after="120"/>
        <w:jc w:val="center"/>
      </w:pPr>
      <w:r>
        <w:rPr>
          <w:b w:val="0"/>
          <w:i w:val="0"/>
        </w:rPr>
        <w:t>Companion documents:  This report builds on four prior deliverables (7-8 Aug 2026): the Comprehensive Research Progress Report, the Critical Scientific Evaluation &amp; Sensor Development Strategy, the NAM Detection Optimization &amp; Black Silicon Substrate Design (DOE) report, and the NAM-SERS Literature Review (101 papers). Findings from all four are reused and extended, not re-derived.</w:t>
      </w:r>
    </w:p>
    <w:p>
      <w:pPr>
        <w:spacing w:after="120"/>
        <w:jc w:val="center"/>
      </w:pPr>
      <w:r>
        <w:rPr>
          <w:b/>
          <w:i w:val="0"/>
        </w:rPr>
        <w:t>Report date:  8 August 2026</w:t>
      </w:r>
    </w:p>
    <w:p>
      <w:r>
        <w:br w:type="page"/>
      </w:r>
    </w:p>
    <w:p>
      <w:pPr>
        <w:pStyle w:val="Heading1"/>
      </w:pPr>
      <w:r>
        <w:t>Table of Contents</w:t>
      </w:r>
    </w:p>
    <w:p>
      <w:pPr>
        <w:pStyle w:val="ListNumber"/>
        <w:spacing w:after="60"/>
      </w:pPr>
      <w:r>
        <w:t>1. Executive Summary</w:t>
      </w:r>
    </w:p>
    <w:p>
      <w:pPr>
        <w:pStyle w:val="ListNumber"/>
        <w:spacing w:after="60"/>
      </w:pPr>
      <w:r>
        <w:t>2. NAM Chemistry and Analytical Challenges</w:t>
      </w:r>
    </w:p>
    <w:p>
      <w:pPr>
        <w:pStyle w:val="ListNumber"/>
        <w:spacing w:after="60"/>
      </w:pPr>
      <w:r>
        <w:t>3. Current State of NAM Detection</w:t>
      </w:r>
    </w:p>
    <w:p>
      <w:pPr>
        <w:pStyle w:val="ListNumber"/>
        <w:spacing w:after="60"/>
      </w:pPr>
      <w:r>
        <w:t>4. Direct NAM Detection Methods</w:t>
      </w:r>
    </w:p>
    <w:p>
      <w:pPr>
        <w:pStyle w:val="ListNumber"/>
        <w:spacing w:after="60"/>
      </w:pPr>
      <w:r>
        <w:t>5. Indirect NAM Detection Methods</w:t>
      </w:r>
    </w:p>
    <w:p>
      <w:pPr>
        <w:pStyle w:val="ListNumber"/>
        <w:spacing w:after="60"/>
      </w:pPr>
      <w:r>
        <w:t>6. Raman / SERS</w:t>
      </w:r>
    </w:p>
    <w:p>
      <w:pPr>
        <w:pStyle w:val="ListNumber"/>
        <w:spacing w:after="60"/>
      </w:pPr>
      <w:r>
        <w:t>7. Mass Spectrometry</w:t>
      </w:r>
    </w:p>
    <w:p>
      <w:pPr>
        <w:pStyle w:val="ListNumber"/>
        <w:spacing w:after="60"/>
      </w:pPr>
      <w:r>
        <w:t>8. Chromatographic Methods</w:t>
      </w:r>
    </w:p>
    <w:p>
      <w:pPr>
        <w:pStyle w:val="ListNumber"/>
        <w:spacing w:after="60"/>
      </w:pPr>
      <w:r>
        <w:t>9. Electrochemical Sensors</w:t>
      </w:r>
    </w:p>
    <w:p>
      <w:pPr>
        <w:pStyle w:val="ListNumber"/>
        <w:spacing w:after="60"/>
      </w:pPr>
      <w:r>
        <w:t>10. Optical Sensors</w:t>
      </w:r>
    </w:p>
    <w:p>
      <w:pPr>
        <w:pStyle w:val="ListNumber"/>
        <w:spacing w:after="60"/>
      </w:pPr>
      <w:r>
        <w:t>11. Enzyme-Based Detection</w:t>
      </w:r>
    </w:p>
    <w:p>
      <w:pPr>
        <w:pStyle w:val="ListNumber"/>
        <w:spacing w:after="60"/>
      </w:pPr>
      <w:r>
        <w:t>12. Immunological Detection</w:t>
      </w:r>
    </w:p>
    <w:p>
      <w:pPr>
        <w:pStyle w:val="ListNumber"/>
        <w:spacing w:after="60"/>
      </w:pPr>
      <w:r>
        <w:t>13. Aptamer Detection</w:t>
      </w:r>
    </w:p>
    <w:p>
      <w:pPr>
        <w:pStyle w:val="ListNumber"/>
        <w:spacing w:after="60"/>
      </w:pPr>
      <w:r>
        <w:t>14. Lectin-Based Detection</w:t>
      </w:r>
    </w:p>
    <w:p>
      <w:pPr>
        <w:pStyle w:val="ListNumber"/>
        <w:spacing w:after="60"/>
      </w:pPr>
      <w:r>
        <w:t>15. Molecularly Imprinted Polymers</w:t>
      </w:r>
    </w:p>
    <w:p>
      <w:pPr>
        <w:pStyle w:val="ListNumber"/>
        <w:spacing w:after="60"/>
      </w:pPr>
      <w:r>
        <w:t>16. Chemical Derivatization</w:t>
      </w:r>
    </w:p>
    <w:p>
      <w:pPr>
        <w:pStyle w:val="ListNumber"/>
        <w:spacing w:after="60"/>
      </w:pPr>
      <w:r>
        <w:t>17. Clinical Sample Detection (Blood/Serum/CSF)</w:t>
      </w:r>
    </w:p>
    <w:p>
      <w:pPr>
        <w:pStyle w:val="ListNumber"/>
        <w:spacing w:after="60"/>
      </w:pPr>
      <w:r>
        <w:t>18. Comprehensive Technology Comparison</w:t>
      </w:r>
    </w:p>
    <w:p>
      <w:pPr>
        <w:pStyle w:val="ListNumber"/>
        <w:spacing w:after="60"/>
      </w:pPr>
      <w:r>
        <w:t>19. Analysis Against My Existing Project</w:t>
      </w:r>
    </w:p>
    <w:p>
      <w:pPr>
        <w:pStyle w:val="ListNumber"/>
        <w:spacing w:after="60"/>
      </w:pPr>
      <w:r>
        <w:t>20. Recommended Sensor Architecture</w:t>
      </w:r>
    </w:p>
    <w:p>
      <w:pPr>
        <w:pStyle w:val="ListNumber"/>
        <w:spacing w:after="60"/>
      </w:pPr>
      <w:r>
        <w:t>21. Recommended Capture Chemistry</w:t>
      </w:r>
    </w:p>
    <w:p>
      <w:pPr>
        <w:pStyle w:val="ListNumber"/>
        <w:spacing w:after="60"/>
      </w:pPr>
      <w:r>
        <w:t>22. Required Equipment</w:t>
      </w:r>
    </w:p>
    <w:p>
      <w:pPr>
        <w:pStyle w:val="ListNumber"/>
        <w:spacing w:after="60"/>
      </w:pPr>
      <w:r>
        <w:t>23. Required Chemicals</w:t>
      </w:r>
    </w:p>
    <w:p>
      <w:pPr>
        <w:pStyle w:val="ListNumber"/>
        <w:spacing w:after="60"/>
      </w:pPr>
      <w:r>
        <w:t>24. Experimental Development Roadmap</w:t>
      </w:r>
    </w:p>
    <w:p>
      <w:pPr>
        <w:pStyle w:val="ListNumber"/>
        <w:spacing w:after="60"/>
      </w:pPr>
      <w:r>
        <w:t>25. Risk Assessment</w:t>
      </w:r>
    </w:p>
    <w:p>
      <w:pPr>
        <w:pStyle w:val="ListNumber"/>
        <w:spacing w:after="60"/>
      </w:pPr>
      <w:r>
        <w:t>26. Novelty and Publication Potential</w:t>
      </w:r>
    </w:p>
    <w:p>
      <w:pPr>
        <w:pStyle w:val="ListNumber"/>
        <w:spacing w:after="60"/>
      </w:pPr>
      <w:r>
        <w:t>27. Final Recommendation (Plan A / B / C)</w:t>
      </w:r>
    </w:p>
    <w:p>
      <w:pPr>
        <w:pStyle w:val="ListNumber"/>
        <w:spacing w:after="60"/>
      </w:pPr>
      <w:r>
        <w:t>28. References</w:t>
      </w:r>
    </w:p>
    <w:p>
      <w:pPr>
        <w:spacing w:after="160"/>
        <w:ind w:left="360"/>
      </w:pPr>
      <w:r>
        <w:rPr>
          <w:i/>
          <w:color w:val="555555"/>
          <w:sz w:val="19"/>
        </w:rPr>
        <w:t>Verification standard (unchanged from companion reports): every citation below was located via live web search/fetch in this session, not generated from memory. Details that could not be independently confirmed (exact DOI, full author list, or a specific number) are marked "not confirmed." Several PubMed/PMC full-text fetches were blocked by reCAPTCHA during this research; affected figures are drawn from search-result abstracts/snippets and should be re-verified against the primary PDF before thesis submission. As explicitly instructed, this report does not default to endorsing SERS because it is the existing project — every technology is evaluated on its own merits and the existing approach is directly challenged where the evidence warrants it.</w:t>
      </w:r>
    </w:p>
    <w:p>
      <w:r>
        <w:br w:type="page"/>
      </w:r>
    </w:p>
    <w:p>
      <w:pPr>
        <w:pStyle w:val="Heading1"/>
      </w:pPr>
      <w:r>
        <w:t>1. Executive Summary</w:t>
      </w:r>
    </w:p>
    <w:p>
      <w:pPr>
        <w:spacing w:after="120"/>
      </w:pPr>
      <w:r>
        <w:rPr>
          <w:b w:val="0"/>
          <w:i w:val="0"/>
        </w:rPr>
        <w:t>This review broadens the investigation from "how to make SERS work for NAM" to "what is the best available technology for NAM detection, period." The findings meaningfully change the picture built up across the three prior reports. Three findings stand out.</w:t>
      </w:r>
    </w:p>
    <w:p>
      <w:pPr>
        <w:pStyle w:val="ListBullet"/>
        <w:spacing w:after="60"/>
      </w:pPr>
      <w:r>
        <w:rPr>
          <w:b/>
        </w:rPr>
        <w:t xml:space="preserve">NAM is not intrinsically undetectable. </w:t>
      </w:r>
      <w:r>
        <w:t>Gas chromatography-mass spectrometry (GC-MS), using a derivatization chemistry established since the 1980s, is a genuine, validated gold-standard method for muramic acid, with sub-nanogram limits of detection and direct clinical precedent in infected human biofluids (septic synovial fluid, CSF in bacterial meningitis). The barrier this project has hit is specific to direct Raman/SERS detection of the free molecule, not evidence that NAM is fundamentally elusive.</w:t>
      </w:r>
    </w:p>
    <w:p>
      <w:pPr>
        <w:pStyle w:val="ListBullet"/>
        <w:spacing w:after="60"/>
      </w:pPr>
      <w:r>
        <w:rPr>
          <w:b/>
        </w:rPr>
        <w:t xml:space="preserve">Boronic-acid chemistry is the best-supported capture strategy across every technology, not just SERS. </w:t>
      </w:r>
      <w:r>
        <w:t>Electrochemical and optical (fluorescence, SPR) boronic-acid/MIP sensors for the closest chemical analogue (sialic acid) are considerably more mature than anything published for SERS-based small-sugar sensing, up to and including a commercially approved implantable glucose sensor built on the same chemistry class. This is evidence FOR the capture-chemistry recommendation already made in the companion reports, and evidence AGAINST treating SERS as the only, or even the best-precedented, way to deploy it.</w:t>
      </w:r>
    </w:p>
    <w:p>
      <w:pPr>
        <w:pStyle w:val="ListBullet"/>
        <w:spacing w:after="60"/>
      </w:pPr>
      <w:r>
        <w:rPr>
          <w:b/>
        </w:rPr>
        <w:t xml:space="preserve">The clinical framing needs correction. </w:t>
      </w:r>
      <w:r>
        <w:t>No published study has measured NAM or muramic acid in septic human blood or serum — this is a genuine gap this project could fill. But the literature strongly suggests most in-vivo muramic acid exists bound within peptidoglycan/muropeptide fragments, not as the free monomer this project's substrate is currently designed to detect. A real clinical assay, regardless of sensing technology chosen, will very likely need a hydrolysis/extraction step — this affects every option (A/B/C) below equally, not just SERS.</w:t>
      </w:r>
    </w:p>
    <w:p>
      <w:pPr>
        <w:spacing w:after="120"/>
      </w:pPr>
      <w:r>
        <w:rPr>
          <w:b w:val="0"/>
          <w:i w:val="0"/>
        </w:rPr>
        <w:t>Direct answer to the central challenge posed: SERS, as currently practiced (bare-metal physisorption, no capture layer), is NOT the most appropriate technology for direct, label-free free-NAM detection — the evidence across four independent literature streams converges on this. However, discarding this project's SERS/black-Si/Ag/DFT/Raman investment would also be the wrong conclusion. The strongest path forward is a hybrid: retain the validated substrate and computational infrastructure, add the same literature-best-supported capture chemistry (boronic acid) that the electrochemical and optical literature independently converges on, and treat an electrochemical boronic-acid/MIP sensor as a credible, faster-to-validate parallel or backup track rather than a competitor to be dismissed. Full reasoning, root-cause ranking, and a Plan A/B/C roadmap are given in Sections 19-27.</w:t>
      </w:r>
    </w:p>
    <w:p>
      <w:r>
        <w:br w:type="page"/>
      </w:r>
    </w:p>
    <w:p>
      <w:pPr>
        <w:pStyle w:val="Heading1"/>
      </w:pPr>
      <w:r>
        <w:t>2. NAM Chemistry and Analytical Challenges</w:t>
      </w:r>
    </w:p>
    <w:p>
      <w:pPr>
        <w:spacing w:after="120"/>
      </w:pPr>
      <w:r>
        <w:rPr>
          <w:b w:val="0"/>
          <w:i w:val="0"/>
        </w:rPr>
        <w:t>N-acetylmuramic acid (NAM/MurNAc, MW approx. 251-275 Da depending on hydration/salt form) is a pyranose amino-sugar acid: N-acetylglucosamine (GlcNAc) substituted at the 3-O position with a D-lactyl ether group bearing a terminal carboxylic acid. It has no thiol, no aromatic ring, and its one nitrogen is chemically blocked as an amide (N-acetyl), leaving only hydroxyls, a carboxylic acid, and the pyranose ring oxygen as chemically addressable groups.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736"/>
            <w:shd w:val="clear" w:fill="B56A0A"/>
          </w:tcPr>
          <w:p>
            <w:r/>
            <w:r>
              <w:rPr>
                <w:b/>
                <w:color w:val="FFFFFF"/>
                <w:sz w:val="18"/>
              </w:rPr>
              <w:t>Challenge</w:t>
            </w:r>
          </w:p>
        </w:tc>
        <w:tc>
          <w:tcPr>
            <w:tcW w:type="dxa" w:w="4464"/>
            <w:shd w:val="clear" w:fill="B56A0A"/>
          </w:tcPr>
          <w:p>
            <w:r/>
            <w:r>
              <w:rPr>
                <w:b/>
                <w:color w:val="FFFFFF"/>
                <w:sz w:val="18"/>
              </w:rPr>
              <w:t>Why It Matters</w:t>
            </w:r>
          </w:p>
        </w:tc>
        <w:tc>
          <w:tcPr>
            <w:tcW w:type="dxa" w:w="3600"/>
            <w:shd w:val="clear" w:fill="B56A0A"/>
          </w:tcPr>
          <w:p>
            <w:r/>
            <w:r>
              <w:rPr>
                <w:b/>
                <w:color w:val="FFFFFF"/>
                <w:sz w:val="18"/>
              </w:rPr>
              <w:t>Which Techniques Are Affected</w:t>
            </w:r>
          </w:p>
        </w:tc>
      </w:tr>
      <w:tr>
        <w:tc>
          <w:tcPr>
            <w:tcW w:type="dxa" w:w="2736"/>
          </w:tcPr>
          <w:p>
            <w:r/>
            <w:r>
              <w:rPr>
                <w:sz w:val="17"/>
              </w:rPr>
              <w:t>Weak, non-resonant Raman/UV cross-section</w:t>
            </w:r>
          </w:p>
        </w:tc>
        <w:tc>
          <w:tcPr>
            <w:tcW w:type="dxa" w:w="4464"/>
          </w:tcPr>
          <w:p>
            <w:r/>
            <w:r>
              <w:rPr>
                <w:sz w:val="17"/>
              </w:rPr>
              <w:t>No conjugated chromophore -&gt; no resonance enhancement at any common excitation wavelength; also poor native UV absorbance for optical/colorimetric detection without derivatization</w:t>
            </w:r>
          </w:p>
        </w:tc>
        <w:tc>
          <w:tcPr>
            <w:tcW w:type="dxa" w:w="3600"/>
          </w:tcPr>
          <w:p>
            <w:r/>
            <w:r>
              <w:rPr>
                <w:sz w:val="17"/>
              </w:rPr>
              <w:t>Raman, SERS, UV-based optical sensors</w:t>
            </w:r>
          </w:p>
        </w:tc>
      </w:tr>
      <w:tr>
        <w:tc>
          <w:tcPr>
            <w:tcW w:type="dxa" w:w="2736"/>
            <w:shd w:val="clear" w:fill="FBF0DE"/>
          </w:tcPr>
          <w:p>
            <w:r/>
            <w:r>
              <w:rPr>
                <w:sz w:val="17"/>
              </w:rPr>
              <w:t>No strong native metal-surface anchor</w:t>
            </w:r>
          </w:p>
        </w:tc>
        <w:tc>
          <w:tcPr>
            <w:tcW w:type="dxa" w:w="4464"/>
            <w:shd w:val="clear" w:fill="FBF0DE"/>
          </w:tcPr>
          <w:p>
            <w:r/>
            <w:r>
              <w:rPr>
                <w:sz w:val="17"/>
              </w:rPr>
              <w:t>No thiol, no aromatic pi-system, no free amine (blocked by N-acetylation) -&gt; poor physisorption/chemisorption onto bare Ag/Au</w:t>
            </w:r>
          </w:p>
        </w:tc>
        <w:tc>
          <w:tcPr>
            <w:tcW w:type="dxa" w:w="3600"/>
            <w:shd w:val="clear" w:fill="FBF0DE"/>
          </w:tcPr>
          <w:p>
            <w:r/>
            <w:r>
              <w:rPr>
                <w:sz w:val="17"/>
              </w:rPr>
              <w:t>SERS, LSPR/SPR (unless a synthetic receptor is added)</w:t>
            </w:r>
          </w:p>
        </w:tc>
      </w:tr>
      <w:tr>
        <w:tc>
          <w:tcPr>
            <w:tcW w:type="dxa" w:w="2736"/>
          </w:tcPr>
          <w:p>
            <w:r/>
            <w:r>
              <w:rPr>
                <w:sz w:val="17"/>
              </w:rPr>
              <w:t>Non-volatile, poorly ionizing</w:t>
            </w:r>
          </w:p>
        </w:tc>
        <w:tc>
          <w:tcPr>
            <w:tcW w:type="dxa" w:w="4464"/>
          </w:tcPr>
          <w:p>
            <w:r/>
            <w:r>
              <w:rPr>
                <w:sz w:val="17"/>
              </w:rPr>
              <w:t>Requires derivatization (TMS, PMP, MAME) for GC-MS; requires HILIC (not reversed-phase) and MRM transitions for reliable LC-MS/MS selectivity</w:t>
            </w:r>
          </w:p>
        </w:tc>
        <w:tc>
          <w:tcPr>
            <w:tcW w:type="dxa" w:w="3600"/>
          </w:tcPr>
          <w:p>
            <w:r/>
            <w:r>
              <w:rPr>
                <w:sz w:val="17"/>
              </w:rPr>
              <w:t>Mass spectrometry, GC-based chromatography</w:t>
            </w:r>
          </w:p>
        </w:tc>
      </w:tr>
      <w:tr>
        <w:tc>
          <w:tcPr>
            <w:tcW w:type="dxa" w:w="2736"/>
            <w:shd w:val="clear" w:fill="FBF0DE"/>
          </w:tcPr>
          <w:p>
            <w:r/>
            <w:r>
              <w:rPr>
                <w:sz w:val="17"/>
              </w:rPr>
              <w:t>Structural similarity to abundant host amino sugars</w:t>
            </w:r>
          </w:p>
        </w:tc>
        <w:tc>
          <w:tcPr>
            <w:tcW w:type="dxa" w:w="4464"/>
            <w:shd w:val="clear" w:fill="FBF0DE"/>
          </w:tcPr>
          <w:p>
            <w:r/>
            <w:r>
              <w:rPr>
                <w:sz w:val="17"/>
              </w:rPr>
              <w:t>Glucosamine, galactosamine, mannosamine, and GlcNAc (NAM's direct biosynthetic neighbour) co-elute/overlap spectrally and chemically with NAM, especially in blood/serum where these are abundant glycoprotein/glycosaminoglycan constituents</w:t>
            </w:r>
          </w:p>
        </w:tc>
        <w:tc>
          <w:tcPr>
            <w:tcW w:type="dxa" w:w="3600"/>
            <w:shd w:val="clear" w:fill="FBF0DE"/>
          </w:tcPr>
          <w:p>
            <w:r/>
            <w:r>
              <w:rPr>
                <w:sz w:val="17"/>
              </w:rPr>
              <w:t>All techniques relying on non-specific physical/chemical similarity for recognition (chromatography, lectins, generic adsorption)</w:t>
            </w:r>
          </w:p>
        </w:tc>
      </w:tr>
      <w:tr>
        <w:tc>
          <w:tcPr>
            <w:tcW w:type="dxa" w:w="2736"/>
          </w:tcPr>
          <w:p>
            <w:r/>
            <w:r>
              <w:rPr>
                <w:sz w:val="17"/>
              </w:rPr>
              <w:t>Likely bound, not free, in vivo</w:t>
            </w:r>
          </w:p>
        </w:tc>
        <w:tc>
          <w:tcPr>
            <w:tcW w:type="dxa" w:w="4464"/>
          </w:tcPr>
          <w:p>
            <w:r/>
            <w:r>
              <w:rPr>
                <w:sz w:val="17"/>
              </w:rPr>
              <w:t>Most physiological NAM is expected to exist within intact or partially degraded peptidoglycan/muropeptide fragments, requiring acid hydrolysis to release the free monomer measured in this project's current experiments</w:t>
            </w:r>
          </w:p>
        </w:tc>
        <w:tc>
          <w:tcPr>
            <w:tcW w:type="dxa" w:w="3600"/>
          </w:tcPr>
          <w:p>
            <w:r/>
            <w:r>
              <w:rPr>
                <w:sz w:val="17"/>
              </w:rPr>
              <w:t>Every technology's clinical translation path (Section 17)</w:t>
            </w:r>
          </w:p>
        </w:tc>
      </w:tr>
      <w:tr>
        <w:tc>
          <w:tcPr>
            <w:tcW w:type="dxa" w:w="2736"/>
            <w:shd w:val="clear" w:fill="FBF0DE"/>
          </w:tcPr>
          <w:p>
            <w:r/>
            <w:r>
              <w:rPr>
                <w:sz w:val="17"/>
              </w:rPr>
              <w:t>No native strong-affinity biological receptor</w:t>
            </w:r>
          </w:p>
        </w:tc>
        <w:tc>
          <w:tcPr>
            <w:tcW w:type="dxa" w:w="4464"/>
            <w:shd w:val="clear" w:fill="FBF0DE"/>
          </w:tcPr>
          <w:p>
            <w:r/>
            <w:r>
              <w:rPr>
                <w:sz w:val="17"/>
              </w:rPr>
              <w:t>No confirmed NAM-specific antibody, aptamer, or natural high-affinity binding protein exists; related recognition machinery (anti-MDP antibodies, NOD2) requires the peptide-conjugated form, not free NAM</w:t>
            </w:r>
          </w:p>
        </w:tc>
        <w:tc>
          <w:tcPr>
            <w:tcW w:type="dxa" w:w="3600"/>
            <w:shd w:val="clear" w:fill="FBF0DE"/>
          </w:tcPr>
          <w:p>
            <w:r/>
            <w:r>
              <w:rPr>
                <w:sz w:val="17"/>
              </w:rPr>
              <w:t>Immunological, aptamer-based detection</w:t>
            </w:r>
          </w:p>
        </w:tc>
      </w:tr>
    </w:tbl>
    <w:p>
      <w:pPr>
        <w:spacing w:after="40"/>
      </w:pPr>
    </w:p>
    <w:p>
      <w:r>
        <w:br w:type="page"/>
      </w:r>
    </w:p>
    <w:p>
      <w:pPr>
        <w:pStyle w:val="Heading1"/>
      </w:pPr>
      <w:r>
        <w:t>3. Current State of NAM Detection</w:t>
      </w:r>
    </w:p>
    <w:p>
      <w:pPr>
        <w:pStyle w:val="Heading2"/>
      </w:pPr>
      <w:r>
        <w:t>3.1 This Project's Current State (from project files, per companion reports)</w:t>
      </w:r>
    </w:p>
    <w:p>
      <w:pPr>
        <w:pStyle w:val="ListBullet"/>
        <w:spacing w:after="60"/>
      </w:pPr>
      <w:r>
        <w:t>NAM raw-powder conventional Raman spectra: obtained.</w:t>
      </w:r>
    </w:p>
    <w:p>
      <w:pPr>
        <w:pStyle w:val="ListBullet"/>
        <w:spacing w:after="60"/>
      </w:pPr>
      <w:r>
        <w:t>NAM DFT/Gaussian simulations: completed (whole-molecule and fragment-composite approaches, per the companion Comprehensive Research Progress Report).</w:t>
      </w:r>
    </w:p>
    <w:p>
      <w:pPr>
        <w:pStyle w:val="ListBullet"/>
        <w:spacing w:after="60"/>
      </w:pPr>
      <w:r>
        <w:t>LPS and LTA DFT simulations and Raman data: obtained.</w:t>
      </w:r>
    </w:p>
    <w:p>
      <w:pPr>
        <w:pStyle w:val="ListBullet"/>
        <w:spacing w:after="60"/>
      </w:pPr>
      <w:r>
        <w:t>Black silicon substrates via one-step MACE (AgNO3/HF): fabricated and characterized by SEM (no AFM/XRD/UV-Vis on record).</w:t>
      </w:r>
    </w:p>
    <w:p>
      <w:pPr>
        <w:pStyle w:val="ListBullet"/>
        <w:spacing w:after="60"/>
      </w:pPr>
      <w:r>
        <w:t>Rhodamine 6G SERS validation: successful, confirming the substrate's electromagnetic enhancement function.</w:t>
      </w:r>
    </w:p>
    <w:p>
      <w:pPr>
        <w:pStyle w:val="ListBullet"/>
        <w:spacing w:after="60"/>
      </w:pPr>
      <w:r>
        <w:t>Direct NAM detection on the SERS substrate: not yet successful.</w:t>
      </w:r>
    </w:p>
    <w:p>
      <w:pPr>
        <w:pStyle w:val="ListBullet"/>
        <w:spacing w:after="60"/>
      </w:pPr>
      <w:r>
        <w:t>No capture/functionalization chemistry has yet been applied to the substrate for NAM.</w:t>
      </w:r>
    </w:p>
    <w:p>
      <w:pPr>
        <w:pStyle w:val="ListBullet"/>
        <w:spacing w:after="60"/>
      </w:pPr>
      <w:r>
        <w:t>No LC-MS/GC-MS, electrochemical, or other alternative-technology work has been conducted on this project to date (per the project-file extraction underlying all companion reports).</w:t>
      </w:r>
    </w:p>
    <w:p>
      <w:pPr>
        <w:pStyle w:val="Heading2"/>
      </w:pPr>
      <w:r>
        <w:t>3.2 State of the Field (this search)</w:t>
      </w:r>
    </w:p>
    <w:p>
      <w:pPr>
        <w:pStyle w:val="ListBullet"/>
        <w:spacing w:after="60"/>
      </w:pPr>
      <w:r>
        <w:t>No published SERS or conventional Raman study of free, isolated NAM exists — confirmed across two independent literature searches (companion NAM-SERS review and this one).</w:t>
      </w:r>
    </w:p>
    <w:p>
      <w:pPr>
        <w:pStyle w:val="ListBullet"/>
        <w:spacing w:after="60"/>
      </w:pPr>
      <w:r>
        <w:t>GC-MS/LC-MS quantification of free muramic acid is a mature, decades-old field with real clinical precedent in synovial fluid and CSF, but never applied to blood/serum in a sepsis context.</w:t>
      </w:r>
    </w:p>
    <w:p>
      <w:pPr>
        <w:pStyle w:val="ListBullet"/>
        <w:spacing w:after="60"/>
      </w:pPr>
      <w:r>
        <w:t>No electrochemical, optical, enzymatic, immunological, or MIP sensor has been published for free NAM specifically — every non-SERS technology surveyed also shows this same gap, addressed only via structural analogues (sialic acid, glucose, GlcNAc) or via peptidoglycan-level (not monomer-level) targets.</w:t>
      </w:r>
    </w:p>
    <w:p>
      <w:pPr>
        <w:pStyle w:val="ListBullet"/>
        <w:spacing w:after="60"/>
      </w:pPr>
      <w:r>
        <w:t>This confirms the project's core opportunity is real and field-wide: a validated, sensitive, selective free-NAM biosensor of any kind would be a genuinely novel contribution, not a race against an already-solved problem.</w:t>
      </w:r>
    </w:p>
    <w:p>
      <w:pPr>
        <w:pStyle w:val="Heading1"/>
      </w:pPr>
      <w:r>
        <w:t>4. Direct NAM Detection Methods</w:t>
      </w:r>
    </w:p>
    <w:p>
      <w:pPr>
        <w:pStyle w:val="Heading1"/>
      </w:pPr>
      <w:r>
        <w:t>5. Indirect NAM Detection Methods</w:t>
      </w:r>
    </w:p>
    <w:p>
      <w:pPr>
        <w:spacing w:after="120"/>
      </w:pPr>
      <w:r>
        <w:rPr>
          <w:b w:val="0"/>
          <w:i w:val="0"/>
        </w:rPr>
        <w:t>Per the search-strategy requirement to avoid false positives in the literature (a paper is not a "NAM detection paper" merely because it mentions NAM), every method surveyed in this report is classified into one of five categories. This classification is applied consistently through Sections 6-17.</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736"/>
            <w:shd w:val="clear" w:fill="B56A0A"/>
          </w:tcPr>
          <w:p>
            <w:r/>
            <w:r>
              <w:rPr>
                <w:b/>
                <w:color w:val="FFFFFF"/>
                <w:sz w:val="18"/>
              </w:rPr>
              <w:t>Category</w:t>
            </w:r>
          </w:p>
        </w:tc>
        <w:tc>
          <w:tcPr>
            <w:tcW w:type="dxa" w:w="4176"/>
            <w:shd w:val="clear" w:fill="B56A0A"/>
          </w:tcPr>
          <w:p>
            <w:r/>
            <w:r>
              <w:rPr>
                <w:b/>
                <w:color w:val="FFFFFF"/>
                <w:sz w:val="18"/>
              </w:rPr>
              <w:t>Definition</w:t>
            </w:r>
          </w:p>
        </w:tc>
        <w:tc>
          <w:tcPr>
            <w:tcW w:type="dxa" w:w="3888"/>
            <w:shd w:val="clear" w:fill="B56A0A"/>
          </w:tcPr>
          <w:p>
            <w:r/>
            <w:r>
              <w:rPr>
                <w:b/>
                <w:color w:val="FFFFFF"/>
                <w:sz w:val="18"/>
              </w:rPr>
              <w:t>Which Methods Fall Here (this report)</w:t>
            </w:r>
          </w:p>
        </w:tc>
      </w:tr>
      <w:tr>
        <w:tc>
          <w:tcPr>
            <w:tcW w:type="dxa" w:w="2736"/>
          </w:tcPr>
          <w:p>
            <w:r/>
            <w:r>
              <w:rPr>
                <w:sz w:val="17"/>
              </w:rPr>
              <w:t>1. Direct detection of free NAM</w:t>
            </w:r>
          </w:p>
        </w:tc>
        <w:tc>
          <w:tcPr>
            <w:tcW w:type="dxa" w:w="4176"/>
          </w:tcPr>
          <w:p>
            <w:r/>
            <w:r>
              <w:rPr>
                <w:sz w:val="17"/>
              </w:rPr>
              <w:t>The free, isolated NAM/muramic acid monomer itself is the measured analyte</w:t>
            </w:r>
          </w:p>
        </w:tc>
        <w:tc>
          <w:tcPr>
            <w:tcW w:type="dxa" w:w="3888"/>
          </w:tcPr>
          <w:p>
            <w:r/>
            <w:r>
              <w:rPr>
                <w:sz w:val="17"/>
              </w:rPr>
              <w:t>GC-MS/LC-MS of muramic acid (Section 7); HPAEC-PAD/HILIC-MS of amino sugars (Section 8); classical colorimetric/amperometric muramic acid assays (Section 9)</w:t>
            </w:r>
          </w:p>
        </w:tc>
      </w:tr>
      <w:tr>
        <w:tc>
          <w:tcPr>
            <w:tcW w:type="dxa" w:w="2736"/>
            <w:shd w:val="clear" w:fill="FBF0DE"/>
          </w:tcPr>
          <w:p>
            <w:r/>
            <w:r>
              <w:rPr>
                <w:sz w:val="17"/>
              </w:rPr>
              <w:t>2. Detection of NAM-containing peptidoglycan</w:t>
            </w:r>
          </w:p>
        </w:tc>
        <w:tc>
          <w:tcPr>
            <w:tcW w:type="dxa" w:w="4176"/>
            <w:shd w:val="clear" w:fill="FBF0DE"/>
          </w:tcPr>
          <w:p>
            <w:r/>
            <w:r>
              <w:rPr>
                <w:sz w:val="17"/>
              </w:rPr>
              <w:t>The intact or partially-degraded polymer/muropeptide is measured; NAM is a structural component, not isolated</w:t>
            </w:r>
          </w:p>
        </w:tc>
        <w:tc>
          <w:tcPr>
            <w:tcW w:type="dxa" w:w="3888"/>
            <w:shd w:val="clear" w:fill="FBF0DE"/>
          </w:tcPr>
          <w:p>
            <w:r/>
            <w:r>
              <w:rPr>
                <w:sz w:val="17"/>
              </w:rPr>
              <w:t>MALDI/LC-MS muropeptide profiling (Section 7); anti-peptidoglycan antibodies (Section 12); vancomycin/lectin whole-peptidoglycan-surface sensors (Sections 12, 14)</w:t>
            </w:r>
          </w:p>
        </w:tc>
      </w:tr>
      <w:tr>
        <w:tc>
          <w:tcPr>
            <w:tcW w:type="dxa" w:w="2736"/>
          </w:tcPr>
          <w:p>
            <w:r/>
            <w:r>
              <w:rPr>
                <w:sz w:val="17"/>
              </w:rPr>
              <w:t>3. Detection of bacterial cells where NAM is an inferred biomarker</w:t>
            </w:r>
          </w:p>
        </w:tc>
        <w:tc>
          <w:tcPr>
            <w:tcW w:type="dxa" w:w="4176"/>
          </w:tcPr>
          <w:p>
            <w:r/>
            <w:r>
              <w:rPr>
                <w:sz w:val="17"/>
              </w:rPr>
              <w:t>Whole bacteria are detected; NAM/NAG contributes an unresolved minor spectral or biochemical signature, never isolated</w:t>
            </w:r>
          </w:p>
        </w:tc>
        <w:tc>
          <w:tcPr>
            <w:tcW w:type="dxa" w:w="3888"/>
          </w:tcPr>
          <w:p>
            <w:r/>
            <w:r>
              <w:rPr>
                <w:sz w:val="17"/>
              </w:rPr>
              <w:t>Whole-bacterium SERS fingerprinting (Section 6); WGA-lectin whole-cell capture (Section 14)</w:t>
            </w:r>
          </w:p>
        </w:tc>
      </w:tr>
      <w:tr>
        <w:tc>
          <w:tcPr>
            <w:tcW w:type="dxa" w:w="2736"/>
            <w:shd w:val="clear" w:fill="FBF0DE"/>
          </w:tcPr>
          <w:p>
            <w:r/>
            <w:r>
              <w:rPr>
                <w:sz w:val="17"/>
              </w:rPr>
              <w:t>4. Detection of NAM metabolic products</w:t>
            </w:r>
          </w:p>
        </w:tc>
        <w:tc>
          <w:tcPr>
            <w:tcW w:type="dxa" w:w="4176"/>
            <w:shd w:val="clear" w:fill="FBF0DE"/>
          </w:tcPr>
          <w:p>
            <w:r/>
            <w:r>
              <w:rPr>
                <w:sz w:val="17"/>
              </w:rPr>
              <w:t>A downstream product of NAM metabolism (e.g. MurNAc-6-phosphate) is measured, not NAM itself</w:t>
            </w:r>
          </w:p>
        </w:tc>
        <w:tc>
          <w:tcPr>
            <w:tcW w:type="dxa" w:w="3888"/>
            <w:shd w:val="clear" w:fill="FBF0DE"/>
          </w:tcPr>
          <w:p>
            <w:r/>
            <w:r>
              <w:rPr>
                <w:sz w:val="17"/>
              </w:rPr>
              <w:t>MurK/MurQ/MurR-coupled enzyme assays (Section 11)</w:t>
            </w:r>
          </w:p>
        </w:tc>
      </w:tr>
      <w:tr>
        <w:tc>
          <w:tcPr>
            <w:tcW w:type="dxa" w:w="2736"/>
          </w:tcPr>
          <w:p>
            <w:r/>
            <w:r>
              <w:rPr>
                <w:sz w:val="17"/>
              </w:rPr>
              <w:t>5. Detection of structurally related molecules</w:t>
            </w:r>
          </w:p>
        </w:tc>
        <w:tc>
          <w:tcPr>
            <w:tcW w:type="dxa" w:w="4176"/>
          </w:tcPr>
          <w:p>
            <w:r/>
            <w:r>
              <w:rPr>
                <w:sz w:val="17"/>
              </w:rPr>
              <w:t>A different molecule (sialic acid, glucose, NAG, glucuronic acid) is the actual validated target; results are used only as chemically-reasoned analogues for NAM</w:t>
            </w:r>
          </w:p>
        </w:tc>
        <w:tc>
          <w:tcPr>
            <w:tcW w:type="dxa" w:w="3888"/>
          </w:tcPr>
          <w:p>
            <w:r/>
            <w:r>
              <w:rPr>
                <w:sz w:val="17"/>
              </w:rPr>
              <w:t>Boronic-acid/MIP electrochemical and optical sensors (Sections 9-10, 15); most SERS capture-chemistry precedent (Section 6)</w:t>
            </w:r>
          </w:p>
        </w:tc>
      </w:tr>
    </w:tbl>
    <w:p>
      <w:pPr>
        <w:spacing w:after="40"/>
      </w:pPr>
    </w:p>
    <w:p>
      <w:pPr>
        <w:spacing w:after="120"/>
      </w:pPr>
      <w:r>
        <w:rPr>
          <w:b w:val="0"/>
          <w:i w:val="0"/>
        </w:rPr>
        <w:t>A critical, cross-cutting finding from this classification exercise: across every technology surveyed in this report, Category 1 (true direct free-NAM detection) is populated almost exclusively by mass spectrometry and chromatography (Sections 7-8). Every biosensor-type technology (SERS, electrochemical, optical, immunological, aptamer, lectin, MIP) has zero Category-1 precedent for NAM specifically — the entire biosensor field, not just this project's SERS approach, is working from Category 5 (analogue) evidence. This reframes the project's task: it is not behind the field in biosensor development, because there effectively is no NAM biosensor field yet to be behind.</w:t>
      </w:r>
    </w:p>
    <w:p>
      <w:r>
        <w:br w:type="page"/>
      </w:r>
    </w:p>
    <w:p>
      <w:pPr>
        <w:pStyle w:val="Heading1"/>
      </w:pPr>
      <w:r>
        <w:t>6. Raman / SERS</w:t>
      </w:r>
    </w:p>
    <w:p>
      <w:pPr>
        <w:spacing w:after="120"/>
      </w:pPr>
      <w:r>
        <w:rPr>
          <w:b w:val="0"/>
          <w:i w:val="0"/>
        </w:rPr>
        <w:t>This section is a condensed summary; full detail (101 catalogued papers, mechanistic analysis of NAM-Ag affinity, and a ranked capture-chemistry comparison) is in the companion NAM-SERS Literature Review report and is not repeated in full here.</w:t>
      </w:r>
    </w:p>
    <w:tbl>
      <w:tblPr>
        <w:tblStyle w:val="TableGrid"/>
        <w:tblW w:type="auto" w:w="0"/>
        <w:jc w:val="center"/>
        <w:tblLayout w:type="autofit"/>
        <w:tblLook w:firstColumn="1" w:firstRow="1" w:lastColumn="0" w:lastRow="0" w:noHBand="0" w:noVBand="1" w:val="04A0"/>
      </w:tblPr>
      <w:tblGrid>
        <w:gridCol w:w="4946"/>
        <w:gridCol w:w="4946"/>
      </w:tblGrid>
      <w:tr>
        <w:tc>
          <w:tcPr>
            <w:tcW w:type="dxa" w:w="3744"/>
            <w:shd w:val="clear" w:fill="B56A0A"/>
          </w:tcPr>
          <w:p>
            <w:r/>
            <w:r>
              <w:rPr>
                <w:b/>
                <w:color w:val="FFFFFF"/>
                <w:sz w:val="18"/>
              </w:rPr>
              <w:t>Question</w:t>
            </w:r>
          </w:p>
        </w:tc>
        <w:tc>
          <w:tcPr>
            <w:tcW w:type="dxa" w:w="7200"/>
            <w:shd w:val="clear" w:fill="B56A0A"/>
          </w:tcPr>
          <w:p>
            <w:r/>
            <w:r>
              <w:rPr>
                <w:b/>
                <w:color w:val="FFFFFF"/>
                <w:sz w:val="18"/>
              </w:rPr>
              <w:t>Answer (per companion review + this search)</w:t>
            </w:r>
          </w:p>
        </w:tc>
      </w:tr>
      <w:tr>
        <w:tc>
          <w:tcPr>
            <w:tcW w:type="dxa" w:w="3744"/>
          </w:tcPr>
          <w:p>
            <w:r/>
            <w:r>
              <w:rPr>
                <w:sz w:val="17"/>
              </w:rPr>
              <w:t>Has free NAM actually been detected by Raman/SERS?</w:t>
            </w:r>
          </w:p>
        </w:tc>
        <w:tc>
          <w:tcPr>
            <w:tcW w:type="dxa" w:w="7200"/>
          </w:tcPr>
          <w:p>
            <w:r/>
            <w:r>
              <w:rPr>
                <w:sz w:val="17"/>
              </w:rPr>
              <w:t>No. Confirmed absence across two independent searches. This is Category 1 (free NAM) — empty set.</w:t>
            </w:r>
          </w:p>
        </w:tc>
      </w:tr>
      <w:tr>
        <w:tc>
          <w:tcPr>
            <w:tcW w:type="dxa" w:w="3744"/>
            <w:shd w:val="clear" w:fill="FBF0DE"/>
          </w:tcPr>
          <w:p>
            <w:r/>
            <w:r>
              <w:rPr>
                <w:sz w:val="17"/>
              </w:rPr>
              <w:t>What is genuinely novel about direct NAM SERS?</w:t>
            </w:r>
          </w:p>
        </w:tc>
        <w:tc>
          <w:tcPr>
            <w:tcW w:type="dxa" w:w="7200"/>
            <w:shd w:val="clear" w:fill="FBF0DE"/>
          </w:tcPr>
          <w:p>
            <w:r/>
            <w:r>
              <w:rPr>
                <w:sz w:val="17"/>
              </w:rPr>
              <w:t>A validated free-NAM SERS measurement would be a first-of-kind result in the peer-reviewed literature, not an incremental improvement on an existing method.</w:t>
            </w:r>
          </w:p>
        </w:tc>
      </w:tr>
      <w:tr>
        <w:tc>
          <w:tcPr>
            <w:tcW w:type="dxa" w:w="3744"/>
          </w:tcPr>
          <w:p>
            <w:r/>
            <w:r>
              <w:rPr>
                <w:sz w:val="17"/>
              </w:rPr>
              <w:t>Was NAM ever measured, even indirectly?</w:t>
            </w:r>
          </w:p>
        </w:tc>
        <w:tc>
          <w:tcPr>
            <w:tcW w:type="dxa" w:w="7200"/>
          </w:tcPr>
          <w:p>
            <w:r/>
            <w:r>
              <w:rPr>
                <w:sz w:val="17"/>
              </w:rPr>
              <w:t>Yes, at Category 3 (bacterial biomarker, inferred) — NAM/NAG contribute an unresolved, co-assigned minor band (~730 cm-1 region, not independently verified in this session) within complex whole-bacterium SERS fingerprints. Never isolated or validated against a free-NAM reference standard.</w:t>
            </w:r>
          </w:p>
        </w:tc>
      </w:tr>
      <w:tr>
        <w:tc>
          <w:tcPr>
            <w:tcW w:type="dxa" w:w="3744"/>
            <w:shd w:val="clear" w:fill="FBF0DE"/>
          </w:tcPr>
          <w:p>
            <w:r/>
            <w:r>
              <w:rPr>
                <w:sz w:val="17"/>
              </w:rPr>
              <w:t>Best-supported capture chemistry if SERS is pursued</w:t>
            </w:r>
          </w:p>
        </w:tc>
        <w:tc>
          <w:tcPr>
            <w:tcW w:type="dxa" w:w="7200"/>
            <w:shd w:val="clear" w:fill="FBF0DE"/>
          </w:tcPr>
          <w:p>
            <w:r/>
            <w:r>
              <w:rPr>
                <w:sz w:val="17"/>
              </w:rPr>
              <w:t>Boronic acid (MPBA) SAM, ranked #1 across all ten capture strategies evaluated in the companion review, on chemical-affinity grounds (targets NAM's cis-diols) and cross-technology precedent (Sections 9-10 of this report).</w:t>
            </w:r>
          </w:p>
        </w:tc>
      </w:tr>
      <w:tr>
        <w:tc>
          <w:tcPr>
            <w:tcW w:type="dxa" w:w="3744"/>
          </w:tcPr>
          <w:p>
            <w:r/>
            <w:r>
              <w:rPr>
                <w:sz w:val="17"/>
              </w:rPr>
              <w:t>Substrate architecture assessment</w:t>
            </w:r>
          </w:p>
        </w:tc>
        <w:tc>
          <w:tcPr>
            <w:tcW w:type="dxa" w:w="7200"/>
          </w:tcPr>
          <w:p>
            <w:r/>
            <w:r>
              <w:rPr>
                <w:sz w:val="17"/>
              </w:rPr>
              <w:t>One-step MACE/AgNO3-HF is a validated, literature-precedented route (EF 10^5-10^10 for near-identical chemistry); the electromagnetic-enhancement function is independently confirmed by this project's own R6G result. The limiting factor is capture chemistry, not substrate physics — consistent across all four companion reports.</w:t>
            </w:r>
          </w:p>
        </w:tc>
      </w:tr>
    </w:tbl>
    <w:p>
      <w:pPr>
        <w:spacing w:after="40"/>
      </w:pPr>
    </w:p>
    <w:p>
      <w:pPr>
        <w:pStyle w:val="Heading1"/>
      </w:pPr>
      <w:r>
        <w:t>7. Mass Spectrometry</w:t>
      </w:r>
    </w:p>
    <w:p>
      <w:pPr>
        <w:spacing w:after="120"/>
      </w:pPr>
      <w:r>
        <w:rPr>
          <w:b w:val="0"/>
          <w:i w:val="0"/>
        </w:rPr>
        <w:t>This is the single most important corrective finding in this report: muramic acid has a real, decades-old, validated gold-standard MS reference method — this project is not operating in an analytical vacuum.</w:t>
      </w:r>
    </w:p>
    <w:p>
      <w:pPr>
        <w:pStyle w:val="Heading2"/>
      </w:pPr>
      <w:r>
        <w:t>7.1 GC-MS (the established gold standard)</w:t>
      </w:r>
    </w:p>
    <w:p>
      <w:pPr>
        <w:spacing w:after="120"/>
      </w:pPr>
      <w:r>
        <w:rPr>
          <w:b w:val="0"/>
          <w:i w:val="0"/>
        </w:rPr>
        <w:t>GC-MS with chemical derivatization is the dominant, longest-validated method for free muramic acid, tracing from foundational 1980s mammalian-tissue work through to a well-characterized derivatization mechanism and modern, fully validated environmental protocols.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592"/>
            <w:shd w:val="clear" w:fill="B56A0A"/>
          </w:tcPr>
          <w:p>
            <w:r/>
            <w:r>
              <w:rPr>
                <w:b/>
                <w:color w:val="FFFFFF"/>
                <w:sz w:val="18"/>
              </w:rPr>
              <w:t>Aspect</w:t>
            </w:r>
          </w:p>
        </w:tc>
        <w:tc>
          <w:tcPr>
            <w:tcW w:type="dxa" w:w="5760"/>
            <w:shd w:val="clear" w:fill="B56A0A"/>
          </w:tcPr>
          <w:p>
            <w:r/>
            <w:r>
              <w:rPr>
                <w:b/>
                <w:color w:val="FFFFFF"/>
                <w:sz w:val="18"/>
              </w:rPr>
              <w:t>Finding</w:t>
            </w:r>
          </w:p>
        </w:tc>
        <w:tc>
          <w:tcPr>
            <w:tcW w:type="dxa" w:w="2736"/>
            <w:shd w:val="clear" w:fill="B56A0A"/>
          </w:tcPr>
          <w:p>
            <w:r/>
            <w:r>
              <w:rPr>
                <w:b/>
                <w:color w:val="FFFFFF"/>
                <w:sz w:val="18"/>
              </w:rPr>
              <w:t>Key Source</w:t>
            </w:r>
          </w:p>
        </w:tc>
      </w:tr>
      <w:tr>
        <w:tc>
          <w:tcPr>
            <w:tcW w:type="dxa" w:w="2592"/>
          </w:tcPr>
          <w:p>
            <w:r/>
            <w:r>
              <w:rPr>
                <w:sz w:val="17"/>
              </w:rPr>
              <w:t>Derivatization required</w:t>
            </w:r>
          </w:p>
        </w:tc>
        <w:tc>
          <w:tcPr>
            <w:tcW w:type="dxa" w:w="5760"/>
          </w:tcPr>
          <w:p>
            <w:r/>
            <w:r>
              <w:rPr>
                <w:sz w:val="17"/>
              </w:rPr>
              <w:t>Yes — muramic acid is non-volatile underivatized. Trimethylsilylation (TMS) is dominant; methyl-ester/O-methyl-acetate (MAME, ~12.5x more sensitive than TMS in one comparison) and aldononitrile acetate (ANA) are validated alternatives</w:t>
            </w:r>
          </w:p>
        </w:tc>
        <w:tc>
          <w:tcPr>
            <w:tcW w:type="dxa" w:w="2736"/>
          </w:tcPr>
          <w:p>
            <w:r/>
            <w:r>
              <w:rPr>
                <w:sz w:val="17"/>
              </w:rPr>
              <w:t>Multiple GC-MS derivatization papers (Category 1, direct)</w:t>
            </w:r>
          </w:p>
        </w:tc>
      </w:tr>
      <w:tr>
        <w:tc>
          <w:tcPr>
            <w:tcW w:type="dxa" w:w="2592"/>
            <w:shd w:val="clear" w:fill="FBF0DE"/>
          </w:tcPr>
          <w:p>
            <w:r/>
            <w:r>
              <w:rPr>
                <w:sz w:val="17"/>
              </w:rPr>
              <w:t>Characteristic/diagnostic ion</w:t>
            </w:r>
          </w:p>
        </w:tc>
        <w:tc>
          <w:tcPr>
            <w:tcW w:type="dxa" w:w="5760"/>
            <w:shd w:val="clear" w:fill="FBF0DE"/>
          </w:tcPr>
          <w:p>
            <w:r/>
            <w:r>
              <w:rPr>
                <w:sz w:val="17"/>
              </w:rPr>
              <w:t>m/z 185 — a lactam structure formed specifically on TMS derivatization of muramic acid, used as the selective quantification ion</w:t>
            </w:r>
          </w:p>
        </w:tc>
        <w:tc>
          <w:tcPr>
            <w:tcW w:type="dxa" w:w="2736"/>
            <w:shd w:val="clear" w:fill="FBF0DE"/>
          </w:tcPr>
          <w:p>
            <w:r/>
            <w:r>
              <w:rPr>
                <w:sz w:val="17"/>
              </w:rPr>
              <w:t>J. Microbiol. Methods (PMID 11777574)</w:t>
            </w:r>
          </w:p>
        </w:tc>
      </w:tr>
      <w:tr>
        <w:tc>
          <w:tcPr>
            <w:tcW w:type="dxa" w:w="2592"/>
          </w:tcPr>
          <w:p>
            <w:r/>
            <w:r>
              <w:rPr>
                <w:sz w:val="17"/>
              </w:rPr>
              <w:t>Best-validated modern LOD</w:t>
            </w:r>
          </w:p>
        </w:tc>
        <w:tc>
          <w:tcPr>
            <w:tcW w:type="dxa" w:w="5760"/>
          </w:tcPr>
          <w:p>
            <w:r/>
            <w:r>
              <w:rPr>
                <w:sz w:val="17"/>
              </w:rPr>
              <w:t>0.5-1.1 ng/filter, recovery 82.1-103.2%, R2&gt;0.991 (SPE extraction -&gt; TMS -&gt; GC-MS/MS)</w:t>
            </w:r>
          </w:p>
        </w:tc>
        <w:tc>
          <w:tcPr>
            <w:tcW w:type="dxa" w:w="2736"/>
          </w:tcPr>
          <w:p>
            <w:r/>
            <w:r>
              <w:rPr>
                <w:sz w:val="17"/>
              </w:rPr>
              <w:t>J. Chromatogr. A 2023 (PMID 36528898)</w:t>
            </w:r>
          </w:p>
        </w:tc>
      </w:tr>
      <w:tr>
        <w:tc>
          <w:tcPr>
            <w:tcW w:type="dxa" w:w="2592"/>
            <w:shd w:val="clear" w:fill="FBF0DE"/>
          </w:tcPr>
          <w:p>
            <w:r/>
            <w:r>
              <w:rPr>
                <w:sz w:val="17"/>
              </w:rPr>
              <w:t>Earliest sensitivity benchmark</w:t>
            </w:r>
          </w:p>
        </w:tc>
        <w:tc>
          <w:tcPr>
            <w:tcW w:type="dxa" w:w="5760"/>
            <w:shd w:val="clear" w:fill="FBF0DE"/>
          </w:tcPr>
          <w:p>
            <w:r/>
            <w:r>
              <w:rPr>
                <w:sz w:val="17"/>
              </w:rPr>
              <w:t>Low picogram injected levels using negative-ion chemical ionization (NCI) of a trifluoroacetylated derivative</w:t>
            </w:r>
          </w:p>
        </w:tc>
        <w:tc>
          <w:tcPr>
            <w:tcW w:type="dxa" w:w="2736"/>
            <w:shd w:val="clear" w:fill="FBF0DE"/>
          </w:tcPr>
          <w:p>
            <w:r/>
            <w:r>
              <w:rPr>
                <w:sz w:val="17"/>
              </w:rPr>
              <w:t>Infect. Immun. 1980/81 (DOI 10.1128/iai.29.2.526-531.1980)</w:t>
            </w:r>
          </w:p>
        </w:tc>
      </w:tr>
      <w:tr>
        <w:tc>
          <w:tcPr>
            <w:tcW w:type="dxa" w:w="2592"/>
          </w:tcPr>
          <w:p>
            <w:r/>
            <w:r>
              <w:rPr>
                <w:sz w:val="17"/>
              </w:rPr>
              <w:t>Direct clinical precedent</w:t>
            </w:r>
          </w:p>
        </w:tc>
        <w:tc>
          <w:tcPr>
            <w:tcW w:type="dxa" w:w="5760"/>
          </w:tcPr>
          <w:p>
            <w:r/>
            <w:r>
              <w:rPr>
                <w:sz w:val="17"/>
              </w:rPr>
              <w:t>Septic synovial fluid: &lt;250-1,700 ng/mL (GC-MS); confirmed absent in aseptic fluid. Pneumococcal-meningitis CSF: 6.8-3,900 ng/mL (GC-MS/MS); confirmed absent in normal tissue</w:t>
            </w:r>
          </w:p>
        </w:tc>
        <w:tc>
          <w:tcPr>
            <w:tcW w:type="dxa" w:w="2736"/>
          </w:tcPr>
          <w:p>
            <w:r/>
            <w:r>
              <w:rPr>
                <w:sz w:val="17"/>
              </w:rPr>
              <w:t>Christensson et al., Arthritis Rheum. 1989; Sud et al./Infect. Immun. 2000 (DOI 10.1128/iai.68.8.4688-4698.2000)</w:t>
            </w:r>
          </w:p>
        </w:tc>
      </w:tr>
    </w:tbl>
    <w:p>
      <w:pPr>
        <w:spacing w:after="40"/>
      </w:pPr>
    </w:p>
    <w:p>
      <w:pPr>
        <w:pStyle w:val="Heading2"/>
      </w:pPr>
      <w:r>
        <w:t>7.2 LC-MS / LC-MS/MS</w:t>
      </w:r>
    </w:p>
    <w:p>
      <w:pPr>
        <w:spacing w:after="120"/>
      </w:pPr>
      <w:r>
        <w:rPr>
          <w:b w:val="0"/>
          <w:i w:val="0"/>
        </w:rPr>
        <w:t>A more modern, increasingly favoured alternative avoiding derivatization entirely: HILIC-MS (hydrophilic interaction liquid chromatography, needed because reversed-phase LC poorly retains such a polar analyte) resolves muramic acid alongside glucosamine, galactosamine, and mannosamine stereoisomers in under 8 minutes without derivatization, at LODs in the low-microgram-per-litre range (roughly 5-20 ng/mL equivalent). A 2025 Nature Communications paper (DOI 10.1038/s41467-025-60678-5) used HPLC-ESI-MS/MS to quantify soluble MurN in mouse gut and human serum, reporting a healthy human serum baseline averaging approximately 200 nM — the closest thing in the literature to a "normal" free-NAM-family baseline in human blood.</w:t>
      </w:r>
    </w:p>
    <w:p>
      <w:pPr>
        <w:pStyle w:val="Heading2"/>
      </w:pPr>
      <w:r>
        <w:t>7.3 MALDI-MS / ESI-MS (muropeptide-level, Category 2)</w:t>
      </w:r>
    </w:p>
    <w:p>
      <w:pPr>
        <w:spacing w:after="120"/>
      </w:pPr>
      <w:r>
        <w:rPr>
          <w:b w:val="0"/>
          <w:i w:val="0"/>
        </w:rPr>
        <w:t>MALDI-TOF and nanoESI-MS are well established for structurally profiling intact muropeptide fragments (sub-picomole to femtomole sensitivity), including post-source decay fragmentation for structural assignment. These measure NAM as part of a larger muropeptide, not as the free monomer, and are research/structural-characterization tools rather than rapid quantitative assays.</w:t>
      </w:r>
    </w:p>
    <w:p>
      <w:pPr>
        <w:pStyle w:val="Heading2"/>
      </w:pPr>
      <w:r>
        <w:t>7.4 Is LC-MS/MS a Viable Gold-Standard Reference Method for This Project?</w:t>
      </w:r>
    </w:p>
    <w:p>
      <w:pPr>
        <w:spacing w:after="120"/>
      </w:pPr>
      <w:r>
        <w:rPr>
          <w:b w:val="0"/>
          <w:i w:val="0"/>
        </w:rPr>
        <w:t>Yes, with an important caveat on positioning. GC-MS (TMS/MAME derivatization) and LC-MS/MS (HILIC, MRM) are legitimate, citable analytical-chemistry reference methods this project could use to validate a SERS (or any other) sensor's specificity and recovery — assuming instrument access exists at IIT Jodhpur/AIIMS Jodhpur (not confirmed in the project files; should be checked directly with the relevant analytical facility). Neither method is an existing clinical point-of-care standard — no CLIA-approved or routine hospital assay for muramic acid was found — so the researcher should frame MS as a research-grade reference/validation method, not an existing clinical comparator, which is itself part of the motivation for developing a faster biosensor.</w:t>
      </w:r>
    </w:p>
    <w:p>
      <w:r>
        <w:br w:type="page"/>
      </w:r>
    </w:p>
    <w:p>
      <w:pPr>
        <w:pStyle w:val="Heading1"/>
      </w:pPr>
      <w:r>
        <w:t>8. Chromatographic Methods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016"/>
            <w:shd w:val="clear" w:fill="B56A0A"/>
          </w:tcPr>
          <w:p>
            <w:r/>
            <w:r>
              <w:rPr>
                <w:b/>
                <w:color w:val="FFFFFF"/>
                <w:sz w:val="18"/>
              </w:rPr>
              <w:t>Method</w:t>
            </w:r>
          </w:p>
        </w:tc>
        <w:tc>
          <w:tcPr>
            <w:tcW w:type="dxa" w:w="3456"/>
            <w:shd w:val="clear" w:fill="B56A0A"/>
          </w:tcPr>
          <w:p>
            <w:r/>
            <w:r>
              <w:rPr>
                <w:b/>
                <w:color w:val="FFFFFF"/>
                <w:sz w:val="18"/>
              </w:rPr>
              <w:t>Mechanism / Detector</w:t>
            </w:r>
          </w:p>
        </w:tc>
        <w:tc>
          <w:tcPr>
            <w:tcW w:type="dxa" w:w="1584"/>
            <w:shd w:val="clear" w:fill="B56A0A"/>
          </w:tcPr>
          <w:p>
            <w:r/>
            <w:r>
              <w:rPr>
                <w:b/>
                <w:color w:val="FFFFFF"/>
                <w:sz w:val="18"/>
              </w:rPr>
              <w:t>Derivatization?</w:t>
            </w:r>
          </w:p>
        </w:tc>
        <w:tc>
          <w:tcPr>
            <w:tcW w:type="dxa" w:w="2448"/>
            <w:shd w:val="clear" w:fill="B56A0A"/>
          </w:tcPr>
          <w:p>
            <w:r/>
            <w:r>
              <w:rPr>
                <w:b/>
                <w:color w:val="FFFFFF"/>
                <w:sz w:val="18"/>
              </w:rPr>
              <w:t>LOD/LOQ</w:t>
            </w:r>
          </w:p>
        </w:tc>
        <w:tc>
          <w:tcPr>
            <w:tcW w:type="dxa" w:w="3024"/>
            <w:shd w:val="clear" w:fill="B56A0A"/>
          </w:tcPr>
          <w:p>
            <w:r/>
            <w:r>
              <w:rPr>
                <w:b/>
                <w:color w:val="FFFFFF"/>
                <w:sz w:val="18"/>
              </w:rPr>
              <w:t>Notes</w:t>
            </w:r>
          </w:p>
        </w:tc>
      </w:tr>
      <w:tr>
        <w:tc>
          <w:tcPr>
            <w:tcW w:type="dxa" w:w="2016"/>
          </w:tcPr>
          <w:p>
            <w:r/>
            <w:r>
              <w:rPr>
                <w:sz w:val="15"/>
              </w:rPr>
              <w:t>GC (paired with MS, see Section 7)</w:t>
            </w:r>
          </w:p>
        </w:tc>
        <w:tc>
          <w:tcPr>
            <w:tcW w:type="dxa" w:w="3456"/>
          </w:tcPr>
          <w:p>
            <w:r/>
            <w:r>
              <w:rPr>
                <w:sz w:val="15"/>
              </w:rPr>
              <w:t>Volatilized TMS/MAME/ANA derivative, MS or FID detection</w:t>
            </w:r>
          </w:p>
        </w:tc>
        <w:tc>
          <w:tcPr>
            <w:tcW w:type="dxa" w:w="1584"/>
          </w:tcPr>
          <w:p>
            <w:r/>
            <w:r>
              <w:rPr>
                <w:sz w:val="15"/>
              </w:rPr>
              <w:t>Required</w:t>
            </w:r>
          </w:p>
        </w:tc>
        <w:tc>
          <w:tcPr>
            <w:tcW w:type="dxa" w:w="2448"/>
          </w:tcPr>
          <w:p>
            <w:r/>
            <w:r>
              <w:rPr>
                <w:sz w:val="15"/>
              </w:rPr>
              <w:t>Low pg - low ng</w:t>
            </w:r>
          </w:p>
        </w:tc>
        <w:tc>
          <w:tcPr>
            <w:tcW w:type="dxa" w:w="3024"/>
          </w:tcPr>
          <w:p>
            <w:r/>
            <w:r>
              <w:rPr>
                <w:sz w:val="15"/>
              </w:rPr>
              <w:t>See Section 7 for full detail; the dominant established route for free muramic acid</w:t>
            </w:r>
          </w:p>
        </w:tc>
      </w:tr>
      <w:tr>
        <w:tc>
          <w:tcPr>
            <w:tcW w:type="dxa" w:w="2016"/>
            <w:shd w:val="clear" w:fill="FBF0DE"/>
          </w:tcPr>
          <w:p>
            <w:r/>
            <w:r>
              <w:rPr>
                <w:sz w:val="15"/>
              </w:rPr>
              <w:t>HPAEC-PAD</w:t>
            </w:r>
          </w:p>
        </w:tc>
        <w:tc>
          <w:tcPr>
            <w:tcW w:type="dxa" w:w="3456"/>
            <w:shd w:val="clear" w:fill="FBF0DE"/>
          </w:tcPr>
          <w:p>
            <w:r/>
            <w:r>
              <w:rPr>
                <w:sz w:val="15"/>
              </w:rPr>
              <w:t>Anion-exchange separation, pulsed amperometric detection (exploits reducing-sugar electroactivity)</w:t>
            </w:r>
          </w:p>
        </w:tc>
        <w:tc>
          <w:tcPr>
            <w:tcW w:type="dxa" w:w="1584"/>
            <w:shd w:val="clear" w:fill="FBF0DE"/>
          </w:tcPr>
          <w:p>
            <w:r/>
            <w:r>
              <w:rPr>
                <w:sz w:val="15"/>
              </w:rPr>
              <w:t>Not required</w:t>
            </w:r>
          </w:p>
        </w:tc>
        <w:tc>
          <w:tcPr>
            <w:tcW w:type="dxa" w:w="2448"/>
            <w:shd w:val="clear" w:fill="FBF0DE"/>
          </w:tcPr>
          <w:p>
            <w:r/>
            <w:r>
              <w:rPr>
                <w:sz w:val="15"/>
              </w:rPr>
              <w:t>~1.0-10.0 umol/L (amino sugars generally; a dedicated, fully validated muramic-acid-specific HPAEC-PAD LOD was NOT confirmed in this search)</w:t>
            </w:r>
          </w:p>
        </w:tc>
        <w:tc>
          <w:tcPr>
            <w:tcW w:type="dxa" w:w="3024"/>
            <w:shd w:val="clear" w:fill="FBF0DE"/>
          </w:tcPr>
          <w:p>
            <w:r/>
            <w:r>
              <w:rPr>
                <w:sz w:val="15"/>
              </w:rPr>
              <w:t>Widely validated for glucosamine/galactosamine; muramic acid inclusion in these methods is common but less rigorously validated than GC-MS or HILIC-MS</w:t>
            </w:r>
          </w:p>
        </w:tc>
      </w:tr>
      <w:tr>
        <w:tc>
          <w:tcPr>
            <w:tcW w:type="dxa" w:w="2016"/>
          </w:tcPr>
          <w:p>
            <w:r/>
            <w:r>
              <w:rPr>
                <w:sz w:val="15"/>
              </w:rPr>
              <w:t>HILIC-MS / UHPLC-MS</w:t>
            </w:r>
          </w:p>
        </w:tc>
        <w:tc>
          <w:tcPr>
            <w:tcW w:type="dxa" w:w="3456"/>
          </w:tcPr>
          <w:p>
            <w:r/>
            <w:r>
              <w:rPr>
                <w:sz w:val="15"/>
              </w:rPr>
              <w:t>Polar-retentive LC separation + MS/MS (MRM)</w:t>
            </w:r>
          </w:p>
        </w:tc>
        <w:tc>
          <w:tcPr>
            <w:tcW w:type="dxa" w:w="1584"/>
          </w:tcPr>
          <w:p>
            <w:r/>
            <w:r>
              <w:rPr>
                <w:sz w:val="15"/>
              </w:rPr>
              <w:t>Not required</w:t>
            </w:r>
          </w:p>
        </w:tc>
        <w:tc>
          <w:tcPr>
            <w:tcW w:type="dxa" w:w="2448"/>
          </w:tcPr>
          <w:p>
            <w:r/>
            <w:r>
              <w:rPr>
                <w:sz w:val="15"/>
              </w:rPr>
              <w:t>Low ug/L (~5-20 ng/mL equivalent)</w:t>
            </w:r>
          </w:p>
        </w:tc>
        <w:tc>
          <w:tcPr>
            <w:tcW w:type="dxa" w:w="3024"/>
          </w:tcPr>
          <w:p>
            <w:r/>
            <w:r>
              <w:rPr>
                <w:sz w:val="15"/>
              </w:rPr>
              <w:t>Modern, fastest-growing alternative to GC-MS; resolves GlcN/GalN/ManN/MurN stereoisomers in &lt;8 min</w:t>
            </w:r>
          </w:p>
        </w:tc>
      </w:tr>
      <w:tr>
        <w:tc>
          <w:tcPr>
            <w:tcW w:type="dxa" w:w="2016"/>
            <w:shd w:val="clear" w:fill="FBF0DE"/>
          </w:tcPr>
          <w:p>
            <w:r/>
            <w:r>
              <w:rPr>
                <w:sz w:val="15"/>
              </w:rPr>
              <w:t>Ion chromatography</w:t>
            </w:r>
          </w:p>
        </w:tc>
        <w:tc>
          <w:tcPr>
            <w:tcW w:type="dxa" w:w="3456"/>
            <w:shd w:val="clear" w:fill="FBF0DE"/>
          </w:tcPr>
          <w:p>
            <w:r/>
            <w:r>
              <w:rPr>
                <w:sz w:val="15"/>
              </w:rPr>
              <w:t>Similar mechanism family to HPAEC-PAD</w:t>
            </w:r>
          </w:p>
        </w:tc>
        <w:tc>
          <w:tcPr>
            <w:tcW w:type="dxa" w:w="1584"/>
            <w:shd w:val="clear" w:fill="FBF0DE"/>
          </w:tcPr>
          <w:p>
            <w:r/>
            <w:r>
              <w:rPr>
                <w:sz w:val="15"/>
              </w:rPr>
              <w:t>Not required</w:t>
            </w:r>
          </w:p>
        </w:tc>
        <w:tc>
          <w:tcPr>
            <w:tcW w:type="dxa" w:w="2448"/>
            <w:shd w:val="clear" w:fill="FBF0DE"/>
          </w:tcPr>
          <w:p>
            <w:r/>
            <w:r>
              <w:rPr>
                <w:sz w:val="15"/>
              </w:rPr>
              <w:t>Not confirmed specifically for muramic acid</w:t>
            </w:r>
          </w:p>
        </w:tc>
        <w:tc>
          <w:tcPr>
            <w:tcW w:type="dxa" w:w="3024"/>
            <w:shd w:val="clear" w:fill="FBF0DE"/>
          </w:tcPr>
          <w:p>
            <w:r/>
            <w:r>
              <w:rPr>
                <w:sz w:val="15"/>
              </w:rPr>
              <w:t>No dedicated muramic-acid-specific ion chromatography paper was found in this search</w:t>
            </w:r>
          </w:p>
        </w:tc>
      </w:tr>
      <w:tr>
        <w:tc>
          <w:tcPr>
            <w:tcW w:type="dxa" w:w="2016"/>
          </w:tcPr>
          <w:p>
            <w:r/>
            <w:r>
              <w:rPr>
                <w:sz w:val="15"/>
              </w:rPr>
              <w:t>GC-MS (see above, listed for completeness)</w:t>
            </w:r>
          </w:p>
        </w:tc>
        <w:tc>
          <w:tcPr>
            <w:tcW w:type="dxa" w:w="3456"/>
          </w:tcPr>
          <w:p>
            <w:r/>
            <w:r>
              <w:rPr>
                <w:sz w:val="15"/>
              </w:rPr>
              <w:t>-</w:t>
            </w:r>
          </w:p>
        </w:tc>
        <w:tc>
          <w:tcPr>
            <w:tcW w:type="dxa" w:w="1584"/>
          </w:tcPr>
          <w:p>
            <w:r/>
            <w:r>
              <w:rPr>
                <w:sz w:val="15"/>
              </w:rPr>
              <w:t>Required</w:t>
            </w:r>
          </w:p>
        </w:tc>
        <w:tc>
          <w:tcPr>
            <w:tcW w:type="dxa" w:w="2448"/>
          </w:tcPr>
          <w:p>
            <w:r/>
            <w:r>
              <w:rPr>
                <w:sz w:val="15"/>
              </w:rPr>
              <w:t>-</w:t>
            </w:r>
          </w:p>
        </w:tc>
        <w:tc>
          <w:tcPr>
            <w:tcW w:type="dxa" w:w="3024"/>
          </w:tcPr>
          <w:p>
            <w:r/>
            <w:r>
              <w:rPr>
                <w:sz w:val="15"/>
              </w:rPr>
              <w:t>-</w:t>
            </w:r>
          </w:p>
        </w:tc>
      </w:tr>
      <w:tr>
        <w:tc>
          <w:tcPr>
            <w:tcW w:type="dxa" w:w="2016"/>
            <w:shd w:val="clear" w:fill="FBF0DE"/>
          </w:tcPr>
          <w:p>
            <w:r/>
            <w:r>
              <w:rPr>
                <w:sz w:val="15"/>
              </w:rPr>
              <w:t>Capillary electrophoresis (CE)</w:t>
            </w:r>
          </w:p>
        </w:tc>
        <w:tc>
          <w:tcPr>
            <w:tcW w:type="dxa" w:w="3456"/>
            <w:shd w:val="clear" w:fill="FBF0DE"/>
          </w:tcPr>
          <w:p>
            <w:r/>
            <w:r>
              <w:rPr>
                <w:sz w:val="15"/>
              </w:rPr>
              <w:t>Charge/size-based electrophoretic separation</w:t>
            </w:r>
          </w:p>
        </w:tc>
        <w:tc>
          <w:tcPr>
            <w:tcW w:type="dxa" w:w="1584"/>
            <w:shd w:val="clear" w:fill="FBF0DE"/>
          </w:tcPr>
          <w:p>
            <w:r/>
            <w:r>
              <w:rPr>
                <w:sz w:val="15"/>
              </w:rPr>
              <w:t>Variable</w:t>
            </w:r>
          </w:p>
        </w:tc>
        <w:tc>
          <w:tcPr>
            <w:tcW w:type="dxa" w:w="2448"/>
            <w:shd w:val="clear" w:fill="FBF0DE"/>
          </w:tcPr>
          <w:p>
            <w:r/>
            <w:r>
              <w:rPr>
                <w:sz w:val="15"/>
              </w:rPr>
              <w:t>Not confirmed</w:t>
            </w:r>
          </w:p>
        </w:tc>
        <w:tc>
          <w:tcPr>
            <w:tcW w:type="dxa" w:w="3024"/>
            <w:shd w:val="clear" w:fill="FBF0DE"/>
          </w:tcPr>
          <w:p>
            <w:r/>
            <w:r>
              <w:rPr>
                <w:sz w:val="15"/>
              </w:rPr>
              <w:t>No dedicated CE-muramic-acid paper was found; general amino-acid/sugar CE literature exists but does not specifically validate muramic acid — confirmed gap, not a negative result</w:t>
            </w:r>
          </w:p>
        </w:tc>
      </w:tr>
    </w:tbl>
    <w:p>
      <w:pPr>
        <w:spacing w:after="40"/>
      </w:pPr>
    </w:p>
    <w:p>
      <w:pPr>
        <w:spacing w:after="120"/>
      </w:pPr>
      <w:r>
        <w:rPr>
          <w:b w:val="0"/>
          <w:i w:val="0"/>
        </w:rPr>
        <w:t>A directly useful methodological finding for this project's sample-preparation design (Section 17): the standard workflow across essentially all chromatographic/MS quantification of muramic acid from any real biological sample (bacterial cells, soil, and by extension clinical material) is acid hydrolysis first (typically 6N HCl or 1M H2SO4, 100C, ~2h) to liberate the free monomer from polymerized peptidoglycan, before separation and detection. This is universal field practice, not an optional step — directly relevant to how any future clinical (blood/serum) version of this project's sensor, regardless of detection technology, should be designed (see Section 17).</w:t>
      </w:r>
    </w:p>
    <w:p>
      <w:pPr>
        <w:pStyle w:val="Heading1"/>
      </w:pPr>
      <w:r>
        <w:t>9. Electrochemical Sensors</w:t>
      </w:r>
    </w:p>
    <w:p>
      <w:pPr>
        <w:spacing w:after="120"/>
      </w:pPr>
      <w:r>
        <w:rPr>
          <w:b w:val="0"/>
          <w:i w:val="0"/>
        </w:rPr>
        <w:t>No electrochemical sensor for free NAM specifically was found. However, this category has the richest structural-analogue precedent of any non-MS technology surveyed, concentrated on sialic acid (a fellow N-acetylated amino-sugar acid, chemically closer to NAM than glucose is) and glucose.</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736"/>
            <w:shd w:val="clear" w:fill="B56A0A"/>
          </w:tcPr>
          <w:p>
            <w:r/>
            <w:r>
              <w:rPr>
                <w:b/>
                <w:color w:val="FFFFFF"/>
                <w:sz w:val="18"/>
              </w:rPr>
              <w:t>Sensor Type</w:t>
            </w:r>
          </w:p>
        </w:tc>
        <w:tc>
          <w:tcPr>
            <w:tcW w:type="dxa" w:w="3456"/>
            <w:shd w:val="clear" w:fill="B56A0A"/>
          </w:tcPr>
          <w:p>
            <w:r/>
            <w:r>
              <w:rPr>
                <w:b/>
                <w:color w:val="FFFFFF"/>
                <w:sz w:val="18"/>
              </w:rPr>
              <w:t>Recognition Chemistry</w:t>
            </w:r>
          </w:p>
        </w:tc>
        <w:tc>
          <w:tcPr>
            <w:tcW w:type="dxa" w:w="2016"/>
            <w:shd w:val="clear" w:fill="B56A0A"/>
          </w:tcPr>
          <w:p>
            <w:r/>
            <w:r>
              <w:rPr>
                <w:b/>
                <w:color w:val="FFFFFF"/>
                <w:sz w:val="18"/>
              </w:rPr>
              <w:t>Target (analogue)</w:t>
            </w:r>
          </w:p>
        </w:tc>
        <w:tc>
          <w:tcPr>
            <w:tcW w:type="dxa" w:w="2016"/>
            <w:shd w:val="clear" w:fill="B56A0A"/>
          </w:tcPr>
          <w:p>
            <w:r/>
            <w:r>
              <w:rPr>
                <w:b/>
                <w:color w:val="FFFFFF"/>
                <w:sz w:val="18"/>
              </w:rPr>
              <w:t>LOD</w:t>
            </w:r>
          </w:p>
        </w:tc>
        <w:tc>
          <w:tcPr>
            <w:tcW w:type="dxa" w:w="2448"/>
            <w:shd w:val="clear" w:fill="B56A0A"/>
          </w:tcPr>
          <w:p>
            <w:r/>
            <w:r>
              <w:rPr>
                <w:b/>
                <w:color w:val="FFFFFF"/>
                <w:sz w:val="18"/>
              </w:rPr>
              <w:t>Key Source</w:t>
            </w:r>
          </w:p>
        </w:tc>
      </w:tr>
      <w:tr>
        <w:tc>
          <w:tcPr>
            <w:tcW w:type="dxa" w:w="2736"/>
          </w:tcPr>
          <w:p>
            <w:r/>
            <w:r>
              <w:rPr>
                <w:sz w:val="15"/>
              </w:rPr>
              <w:t>Electrochemical MIP on laser-induced graphene</w:t>
            </w:r>
          </w:p>
        </w:tc>
        <w:tc>
          <w:tcPr>
            <w:tcW w:type="dxa" w:w="3456"/>
          </w:tcPr>
          <w:p>
            <w:r/>
            <w:r>
              <w:rPr>
                <w:sz w:val="15"/>
              </w:rPr>
              <w:t>Electropolymerized poly(aminophenylboronic acid) MIP</w:t>
            </w:r>
          </w:p>
        </w:tc>
        <w:tc>
          <w:tcPr>
            <w:tcW w:type="dxa" w:w="2016"/>
          </w:tcPr>
          <w:p>
            <w:r/>
            <w:r>
              <w:rPr>
                <w:sz w:val="15"/>
              </w:rPr>
              <w:t>Sialic acid</w:t>
            </w:r>
          </w:p>
        </w:tc>
        <w:tc>
          <w:tcPr>
            <w:tcW w:type="dxa" w:w="2016"/>
          </w:tcPr>
          <w:p>
            <w:r/>
            <w:r>
              <w:rPr>
                <w:sz w:val="15"/>
              </w:rPr>
              <w:t>0.598 mM</w:t>
            </w:r>
          </w:p>
        </w:tc>
        <w:tc>
          <w:tcPr>
            <w:tcW w:type="dxa" w:w="2448"/>
          </w:tcPr>
          <w:p>
            <w:r/>
            <w:r>
              <w:rPr>
                <w:sz w:val="15"/>
              </w:rPr>
              <w:t>Adv. Sensor Res. 2026, DOI 10.1002/adsr.202500156</w:t>
            </w:r>
          </w:p>
        </w:tc>
      </w:tr>
      <w:tr>
        <w:tc>
          <w:tcPr>
            <w:tcW w:type="dxa" w:w="2736"/>
            <w:shd w:val="clear" w:fill="FBF0DE"/>
          </w:tcPr>
          <w:p>
            <w:r/>
            <w:r>
              <w:rPr>
                <w:sz w:val="15"/>
              </w:rPr>
              <w:t>Potentiometric (pKa-shift)</w:t>
            </w:r>
          </w:p>
        </w:tc>
        <w:tc>
          <w:tcPr>
            <w:tcW w:type="dxa" w:w="3456"/>
            <w:shd w:val="clear" w:fill="FBF0DE"/>
          </w:tcPr>
          <w:p>
            <w:r/>
            <w:r>
              <w:rPr>
                <w:sz w:val="15"/>
              </w:rPr>
              <w:t>Poly(aniline boronic acid) on CNT/glassy carbon</w:t>
            </w:r>
          </w:p>
        </w:tc>
        <w:tc>
          <w:tcPr>
            <w:tcW w:type="dxa" w:w="2016"/>
            <w:shd w:val="clear" w:fill="FBF0DE"/>
          </w:tcPr>
          <w:p>
            <w:r/>
            <w:r>
              <w:rPr>
                <w:sz w:val="15"/>
              </w:rPr>
              <w:t>Sialic acid</w:t>
            </w:r>
          </w:p>
        </w:tc>
        <w:tc>
          <w:tcPr>
            <w:tcW w:type="dxa" w:w="2016"/>
            <w:shd w:val="clear" w:fill="FBF0DE"/>
          </w:tcPr>
          <w:p>
            <w:r/>
            <w:r>
              <w:rPr>
                <w:sz w:val="15"/>
              </w:rPr>
              <w:t>60 uM (linear 80uM-8.2mM)</w:t>
            </w:r>
          </w:p>
        </w:tc>
        <w:tc>
          <w:tcPr>
            <w:tcW w:type="dxa" w:w="2448"/>
            <w:shd w:val="clear" w:fill="FBF0DE"/>
          </w:tcPr>
          <w:p>
            <w:r/>
            <w:r>
              <w:rPr>
                <w:sz w:val="15"/>
              </w:rPr>
              <w:t>Microchim. Acta 2019, DOI 10.1007/s00604-019-3387-8</w:t>
            </w:r>
          </w:p>
        </w:tc>
      </w:tr>
      <w:tr>
        <w:tc>
          <w:tcPr>
            <w:tcW w:type="dxa" w:w="2736"/>
          </w:tcPr>
          <w:p>
            <w:r/>
            <w:r>
              <w:rPr>
                <w:sz w:val="15"/>
              </w:rPr>
              <w:t>Indicator-displacement electrochemical</w:t>
            </w:r>
          </w:p>
        </w:tc>
        <w:tc>
          <w:tcPr>
            <w:tcW w:type="dxa" w:w="3456"/>
          </w:tcPr>
          <w:p>
            <w:r/>
            <w:r>
              <w:rPr>
                <w:sz w:val="15"/>
              </w:rPr>
              <w:t>Porphine/graphene oxide + fluorophenylboronic acid, competitive dopamine displacement</w:t>
            </w:r>
          </w:p>
        </w:tc>
        <w:tc>
          <w:tcPr>
            <w:tcW w:type="dxa" w:w="2016"/>
          </w:tcPr>
          <w:p>
            <w:r/>
            <w:r>
              <w:rPr>
                <w:sz w:val="15"/>
              </w:rPr>
              <w:t>Sialic acid</w:t>
            </w:r>
          </w:p>
        </w:tc>
        <w:tc>
          <w:tcPr>
            <w:tcW w:type="dxa" w:w="2016"/>
          </w:tcPr>
          <w:p>
            <w:r/>
            <w:r>
              <w:rPr>
                <w:sz w:val="15"/>
              </w:rPr>
              <w:t>28.5 uM</w:t>
            </w:r>
          </w:p>
        </w:tc>
        <w:tc>
          <w:tcPr>
            <w:tcW w:type="dxa" w:w="2448"/>
          </w:tcPr>
          <w:p>
            <w:r/>
            <w:r>
              <w:rPr>
                <w:sz w:val="15"/>
              </w:rPr>
              <w:t>Electrochim. Acta 2018</w:t>
            </w:r>
          </w:p>
        </w:tc>
      </w:tr>
      <w:tr>
        <w:tc>
          <w:tcPr>
            <w:tcW w:type="dxa" w:w="2736"/>
            <w:shd w:val="clear" w:fill="FBF0DE"/>
          </w:tcPr>
          <w:p>
            <w:r/>
            <w:r>
              <w:rPr>
                <w:sz w:val="15"/>
              </w:rPr>
              <w:t>Impedimetric (EIS)</w:t>
            </w:r>
          </w:p>
        </w:tc>
        <w:tc>
          <w:tcPr>
            <w:tcW w:type="dxa" w:w="3456"/>
            <w:shd w:val="clear" w:fill="FBF0DE"/>
          </w:tcPr>
          <w:p>
            <w:r/>
            <w:r>
              <w:rPr>
                <w:sz w:val="15"/>
              </w:rPr>
              <w:t>3-aminophenylboronic acid on screen-printed carbon electrode</w:t>
            </w:r>
          </w:p>
        </w:tc>
        <w:tc>
          <w:tcPr>
            <w:tcW w:type="dxa" w:w="2016"/>
            <w:shd w:val="clear" w:fill="FBF0DE"/>
          </w:tcPr>
          <w:p>
            <w:r/>
            <w:r>
              <w:rPr>
                <w:sz w:val="15"/>
              </w:rPr>
              <w:t>Glucose</w:t>
            </w:r>
          </w:p>
        </w:tc>
        <w:tc>
          <w:tcPr>
            <w:tcW w:type="dxa" w:w="2016"/>
            <w:shd w:val="clear" w:fill="FBF0DE"/>
          </w:tcPr>
          <w:p>
            <w:r/>
            <w:r>
              <w:rPr>
                <w:sz w:val="15"/>
              </w:rPr>
              <w:t>8.5x10^-9 M</w:t>
            </w:r>
          </w:p>
        </w:tc>
        <w:tc>
          <w:tcPr>
            <w:tcW w:type="dxa" w:w="2448"/>
            <w:shd w:val="clear" w:fill="FBF0DE"/>
          </w:tcPr>
          <w:p>
            <w:r/>
            <w:r>
              <w:rPr>
                <w:sz w:val="15"/>
              </w:rPr>
              <w:t>PMC6480368</w:t>
            </w:r>
          </w:p>
        </w:tc>
      </w:tr>
      <w:tr>
        <w:tc>
          <w:tcPr>
            <w:tcW w:type="dxa" w:w="2736"/>
          </w:tcPr>
          <w:p>
            <w:r/>
            <w:r>
              <w:rPr>
                <w:sz w:val="15"/>
              </w:rPr>
              <w:t>Amperometric (classical, post-column)</w:t>
            </w:r>
          </w:p>
        </w:tc>
        <w:tc>
          <w:tcPr>
            <w:tcW w:type="dxa" w:w="3456"/>
          </w:tcPr>
          <w:p>
            <w:r/>
            <w:r>
              <w:rPr>
                <w:sz w:val="15"/>
              </w:rPr>
              <w:t>Redox-mediated oxidation of the reducing-sugar character of muramic acid itself via a Cu(II)-phenanthroline mediator</w:t>
            </w:r>
          </w:p>
        </w:tc>
        <w:tc>
          <w:tcPr>
            <w:tcW w:type="dxa" w:w="2016"/>
          </w:tcPr>
          <w:p>
            <w:r/>
            <w:r>
              <w:rPr>
                <w:sz w:val="15"/>
              </w:rPr>
              <w:t>Muramic acid — DIRECT (Category 1)</w:t>
            </w:r>
          </w:p>
        </w:tc>
        <w:tc>
          <w:tcPr>
            <w:tcW w:type="dxa" w:w="2016"/>
          </w:tcPr>
          <w:p>
            <w:r/>
            <w:r>
              <w:rPr>
                <w:sz w:val="15"/>
              </w:rPr>
              <w:t>0.05 ppm (~4 pmol injected)</w:t>
            </w:r>
          </w:p>
        </w:tc>
        <w:tc>
          <w:tcPr>
            <w:tcW w:type="dxa" w:w="2448"/>
          </w:tcPr>
          <w:p>
            <w:r/>
            <w:r>
              <w:rPr>
                <w:sz w:val="15"/>
              </w:rPr>
              <w:t>J. Chromatogr. A/B 2001</w:t>
            </w:r>
          </w:p>
        </w:tc>
      </w:tr>
      <w:tr>
        <w:tc>
          <w:tcPr>
            <w:tcW w:type="dxa" w:w="2736"/>
            <w:shd w:val="clear" w:fill="FBF0DE"/>
          </w:tcPr>
          <w:p>
            <w:r/>
            <w:r>
              <w:rPr>
                <w:sz w:val="15"/>
              </w:rPr>
              <w:t>QCM (mass-based, thiol-anchored MIP scaffold)</w:t>
            </w:r>
          </w:p>
        </w:tc>
        <w:tc>
          <w:tcPr>
            <w:tcW w:type="dxa" w:w="3456"/>
            <w:shd w:val="clear" w:fill="FBF0DE"/>
          </w:tcPr>
          <w:p>
            <w:r/>
            <w:r>
              <w:rPr>
                <w:sz w:val="15"/>
              </w:rPr>
              <w:t>MIP nanofilm on allylmercaptane SAM-gold chip</w:t>
            </w:r>
          </w:p>
        </w:tc>
        <w:tc>
          <w:tcPr>
            <w:tcW w:type="dxa" w:w="2016"/>
            <w:shd w:val="clear" w:fill="FBF0DE"/>
          </w:tcPr>
          <w:p>
            <w:r/>
            <w:r>
              <w:rPr>
                <w:sz w:val="15"/>
              </w:rPr>
              <w:t>Sialic acid</w:t>
            </w:r>
          </w:p>
        </w:tc>
        <w:tc>
          <w:tcPr>
            <w:tcW w:type="dxa" w:w="2016"/>
            <w:shd w:val="clear" w:fill="FBF0DE"/>
          </w:tcPr>
          <w:p>
            <w:r/>
            <w:r>
              <w:rPr>
                <w:sz w:val="15"/>
              </w:rPr>
              <w:t>1.0 nmol/L</w:t>
            </w:r>
          </w:p>
        </w:tc>
        <w:tc>
          <w:tcPr>
            <w:tcW w:type="dxa" w:w="2448"/>
            <w:shd w:val="clear" w:fill="FBF0DE"/>
          </w:tcPr>
          <w:p>
            <w:r/>
            <w:r>
              <w:rPr>
                <w:sz w:val="15"/>
              </w:rPr>
              <w:t>Anal. Bioanal. Chem. 2018, DOI 10.1007/s00216-018-1094-7</w:t>
            </w:r>
          </w:p>
        </w:tc>
      </w:tr>
    </w:tbl>
    <w:p>
      <w:pPr>
        <w:spacing w:after="40"/>
      </w:pPr>
    </w:p>
    <w:p>
      <w:pPr>
        <w:spacing w:after="120"/>
      </w:pPr>
      <w:r>
        <w:rPr>
          <w:b w:val="0"/>
          <w:i w:val="0"/>
        </w:rPr>
        <w:t>The one genuinely direct (Category 1) electrochemical precedent found is notable: a classical amperometric method exploiting muramic acid's own mild reducing-sugar character via a copper-phenanthroline redox mediator, achieving 0.05 ppm LOD — though this is a post-column HPLC detector method, not a standalone sensor, and is non-selective without prior chromatographic separation.</w:t>
      </w:r>
    </w:p>
    <w:p>
      <w:pPr>
        <w:pStyle w:val="Heading2"/>
      </w:pPr>
      <w:r>
        <w:t>9.1 Does Electrochemical MIP/Boronic-Acid Sensing Face SERS's "No Native Anchor" Problem?</w:t>
      </w:r>
    </w:p>
    <w:p>
      <w:pPr>
        <w:spacing w:after="120"/>
      </w:pPr>
      <w:r>
        <w:rPr>
          <w:b w:val="0"/>
          <w:i w:val="0"/>
        </w:rPr>
        <w:t>No — it sidesteps it, structurally differently than SERS could. SERS requires the analyte itself to chemisorb onto or sit within nanometers of a plasmonic metal surface, which is precisely what NAM's chemistry is poorly suited to supply. Boronic-acid recognition instead supplies a synthetic capture group (on the electrode/polymer) that reacts with a functional group NAM genuinely possesses (its diol), and does not require the analyte to adsorb onto or near a metal surface at all. MIP strategies sidestep the problem differently again: the sensor scaffold anchors to the electrode via conventional thiol-gold or polymer chemistry, while the analyte only needs to fit a shape/functional-group-complementary cavity, not supply its own strong anchor group. Both mechanisms are better matched to NAM's actual chemistry (polar, diol-bearing, non-aromatic, non-thiol) than SERS's requirement for strong chemisorption or resonance.</w:t>
      </w:r>
    </w:p>
    <w:p>
      <w:r>
        <w:br w:type="page"/>
      </w:r>
    </w:p>
    <w:p>
      <w:pPr>
        <w:pStyle w:val="Heading1"/>
      </w:pPr>
      <w:r>
        <w:t>10. Optical Sensors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304"/>
            <w:shd w:val="clear" w:fill="B56A0A"/>
          </w:tcPr>
          <w:p>
            <w:r/>
            <w:r>
              <w:rPr>
                <w:b/>
                <w:color w:val="FFFFFF"/>
                <w:sz w:val="18"/>
              </w:rPr>
              <w:t>Sensor Type</w:t>
            </w:r>
          </w:p>
        </w:tc>
        <w:tc>
          <w:tcPr>
            <w:tcW w:type="dxa" w:w="3312"/>
            <w:shd w:val="clear" w:fill="B56A0A"/>
          </w:tcPr>
          <w:p>
            <w:r/>
            <w:r>
              <w:rPr>
                <w:b/>
                <w:color w:val="FFFFFF"/>
                <w:sz w:val="18"/>
              </w:rPr>
              <w:t>Recognition Chemistry</w:t>
            </w:r>
          </w:p>
        </w:tc>
        <w:tc>
          <w:tcPr>
            <w:tcW w:type="dxa" w:w="1872"/>
            <w:shd w:val="clear" w:fill="B56A0A"/>
          </w:tcPr>
          <w:p>
            <w:r/>
            <w:r>
              <w:rPr>
                <w:b/>
                <w:color w:val="FFFFFF"/>
                <w:sz w:val="18"/>
              </w:rPr>
              <w:t>Target</w:t>
            </w:r>
          </w:p>
        </w:tc>
        <w:tc>
          <w:tcPr>
            <w:tcW w:type="dxa" w:w="3456"/>
            <w:shd w:val="clear" w:fill="B56A0A"/>
          </w:tcPr>
          <w:p>
            <w:r/>
            <w:r>
              <w:rPr>
                <w:b/>
                <w:color w:val="FFFFFF"/>
                <w:sz w:val="18"/>
              </w:rPr>
              <w:t>Key Finding</w:t>
            </w:r>
          </w:p>
        </w:tc>
        <w:tc>
          <w:tcPr>
            <w:tcW w:type="dxa" w:w="1728"/>
            <w:shd w:val="clear" w:fill="B56A0A"/>
          </w:tcPr>
          <w:p>
            <w:r/>
            <w:r>
              <w:rPr>
                <w:b/>
                <w:color w:val="FFFFFF"/>
                <w:sz w:val="18"/>
              </w:rPr>
              <w:t>Direct NAM?</w:t>
            </w:r>
          </w:p>
        </w:tc>
      </w:tr>
      <w:tr>
        <w:tc>
          <w:tcPr>
            <w:tcW w:type="dxa" w:w="2304"/>
          </w:tcPr>
          <w:p>
            <w:r/>
            <w:r>
              <w:rPr>
                <w:sz w:val="14"/>
              </w:rPr>
              <w:t>Fluorescent boronic acid (commercial)</w:t>
            </w:r>
          </w:p>
        </w:tc>
        <w:tc>
          <w:tcPr>
            <w:tcW w:type="dxa" w:w="3312"/>
          </w:tcPr>
          <w:p>
            <w:r/>
            <w:r>
              <w:rPr>
                <w:sz w:val="14"/>
              </w:rPr>
              <w:t>Diboronic acid-anthracene copolymer, pKa-switch fluorescence</w:t>
            </w:r>
          </w:p>
        </w:tc>
        <w:tc>
          <w:tcPr>
            <w:tcW w:type="dxa" w:w="1872"/>
          </w:tcPr>
          <w:p>
            <w:r/>
            <w:r>
              <w:rPr>
                <w:sz w:val="14"/>
              </w:rPr>
              <w:t>Glucose</w:t>
            </w:r>
          </w:p>
        </w:tc>
        <w:tc>
          <w:tcPr>
            <w:tcW w:type="dxa" w:w="3456"/>
          </w:tcPr>
          <w:p>
            <w:r/>
            <w:r>
              <w:rPr>
                <w:sz w:val="14"/>
              </w:rPr>
              <w:t>FDA/CE-approved 365-day implantable CGM (Senseonics Eversense) — strongest existing maturity proof for ANY synthetic diol-recognition sensor chemistry</w:t>
            </w:r>
          </w:p>
        </w:tc>
        <w:tc>
          <w:tcPr>
            <w:tcW w:type="dxa" w:w="1728"/>
          </w:tcPr>
          <w:p>
            <w:r/>
            <w:r>
              <w:rPr>
                <w:sz w:val="14"/>
              </w:rPr>
              <w:t>No</w:t>
            </w:r>
          </w:p>
        </w:tc>
      </w:tr>
      <w:tr>
        <w:tc>
          <w:tcPr>
            <w:tcW w:type="dxa" w:w="2304"/>
            <w:shd w:val="clear" w:fill="FBF0DE"/>
          </w:tcPr>
          <w:p>
            <w:r/>
            <w:r>
              <w:rPr>
                <w:sz w:val="14"/>
              </w:rPr>
              <w:t>Ratiometric fluorescent carbon dots</w:t>
            </w:r>
          </w:p>
        </w:tc>
        <w:tc>
          <w:tcPr>
            <w:tcW w:type="dxa" w:w="3312"/>
            <w:shd w:val="clear" w:fill="FBF0DE"/>
          </w:tcPr>
          <w:p>
            <w:r/>
            <w:r>
              <w:rPr>
                <w:sz w:val="14"/>
              </w:rPr>
              <w:t>Likely boronic-acid-functionalized (mechanism not fully confirmed)</w:t>
            </w:r>
          </w:p>
        </w:tc>
        <w:tc>
          <w:tcPr>
            <w:tcW w:type="dxa" w:w="1872"/>
            <w:shd w:val="clear" w:fill="FBF0DE"/>
          </w:tcPr>
          <w:p>
            <w:r/>
            <w:r>
              <w:rPr>
                <w:sz w:val="14"/>
              </w:rPr>
              <w:t>Sialic acid</w:t>
            </w:r>
          </w:p>
        </w:tc>
        <w:tc>
          <w:tcPr>
            <w:tcW w:type="dxa" w:w="3456"/>
            <w:shd w:val="clear" w:fill="FBF0DE"/>
          </w:tcPr>
          <w:p>
            <w:r/>
            <w:r>
              <w:rPr>
                <w:sz w:val="14"/>
              </w:rPr>
              <w:t>Recent (2025) dual-emission ratiometric method</w:t>
            </w:r>
          </w:p>
        </w:tc>
        <w:tc>
          <w:tcPr>
            <w:tcW w:type="dxa" w:w="1728"/>
            <w:shd w:val="clear" w:fill="FBF0DE"/>
          </w:tcPr>
          <w:p>
            <w:r/>
            <w:r>
              <w:rPr>
                <w:sz w:val="14"/>
              </w:rPr>
              <w:t>No</w:t>
            </w:r>
          </w:p>
        </w:tc>
      </w:tr>
      <w:tr>
        <w:tc>
          <w:tcPr>
            <w:tcW w:type="dxa" w:w="2304"/>
          </w:tcPr>
          <w:p>
            <w:r/>
            <w:r>
              <w:rPr>
                <w:sz w:val="14"/>
              </w:rPr>
              <w:t>Fluorescent MIP membrane</w:t>
            </w:r>
          </w:p>
        </w:tc>
        <w:tc>
          <w:tcPr>
            <w:tcW w:type="dxa" w:w="3312"/>
          </w:tcPr>
          <w:p>
            <w:r/>
            <w:r>
              <w:rPr>
                <w:sz w:val="14"/>
              </w:rPr>
              <w:t>Hydrophilic-hydrophobic multifunctional monomers imprinted against the WHOLE macromolecular epitope (polysaccharide + lipid A)</w:t>
            </w:r>
          </w:p>
        </w:tc>
        <w:tc>
          <w:tcPr>
            <w:tcW w:type="dxa" w:w="1872"/>
          </w:tcPr>
          <w:p>
            <w:r/>
            <w:r>
              <w:rPr>
                <w:sz w:val="14"/>
              </w:rPr>
              <w:t>LPS (bacterial glycolipid, not NAM but a cell-wall analogue)</w:t>
            </w:r>
          </w:p>
        </w:tc>
        <w:tc>
          <w:tcPr>
            <w:tcW w:type="dxa" w:w="3456"/>
          </w:tcPr>
          <w:p>
            <w:r/>
            <w:r>
              <w:rPr>
                <w:sz w:val="14"/>
              </w:rPr>
              <w:t>LOD 0.46 ug/L; shows fluorescent MIPs CAN be built against complex bacterial-envelope glycans without a thiol/aromatic anchor by imprinting the whole epitope</w:t>
            </w:r>
          </w:p>
        </w:tc>
        <w:tc>
          <w:tcPr>
            <w:tcW w:type="dxa" w:w="1728"/>
          </w:tcPr>
          <w:p>
            <w:r/>
            <w:r>
              <w:rPr>
                <w:sz w:val="14"/>
              </w:rPr>
              <w:t>No, but closest bacterial-cell-wall-component optical precedent found</w:t>
            </w:r>
          </w:p>
        </w:tc>
      </w:tr>
      <w:tr>
        <w:tc>
          <w:tcPr>
            <w:tcW w:type="dxa" w:w="2304"/>
            <w:shd w:val="clear" w:fill="FBF0DE"/>
          </w:tcPr>
          <w:p>
            <w:r/>
            <w:r>
              <w:rPr>
                <w:sz w:val="14"/>
              </w:rPr>
              <w:t>SPR with binding protein</w:t>
            </w:r>
          </w:p>
        </w:tc>
        <w:tc>
          <w:tcPr>
            <w:tcW w:type="dxa" w:w="3312"/>
            <w:shd w:val="clear" w:fill="FBF0DE"/>
          </w:tcPr>
          <w:p>
            <w:r/>
            <w:r>
              <w:rPr>
                <w:sz w:val="14"/>
              </w:rPr>
              <w:t>Glucose/galactose-binding periplasmic protein (GGBP) on gold</w:t>
            </w:r>
          </w:p>
        </w:tc>
        <w:tc>
          <w:tcPr>
            <w:tcW w:type="dxa" w:w="1872"/>
            <w:shd w:val="clear" w:fill="FBF0DE"/>
          </w:tcPr>
          <w:p>
            <w:r/>
            <w:r>
              <w:rPr>
                <w:sz w:val="14"/>
              </w:rPr>
              <w:t>Glucose</w:t>
            </w:r>
          </w:p>
        </w:tc>
        <w:tc>
          <w:tcPr>
            <w:tcW w:type="dxa" w:w="3456"/>
            <w:shd w:val="clear" w:fill="FBF0DE"/>
          </w:tcPr>
          <w:p>
            <w:r/>
            <w:r>
              <w:rPr>
                <w:sz w:val="14"/>
              </w:rPr>
              <w:t>Confirms small sugars alone barely perturb refractive index without an affinity element (protein or boronic acid)</w:t>
            </w:r>
          </w:p>
        </w:tc>
        <w:tc>
          <w:tcPr>
            <w:tcW w:type="dxa" w:w="1728"/>
            <w:shd w:val="clear" w:fill="FBF0DE"/>
          </w:tcPr>
          <w:p>
            <w:r/>
            <w:r>
              <w:rPr>
                <w:sz w:val="14"/>
              </w:rPr>
              <w:t>No</w:t>
            </w:r>
          </w:p>
        </w:tc>
      </w:tr>
      <w:tr>
        <w:tc>
          <w:tcPr>
            <w:tcW w:type="dxa" w:w="2304"/>
          </w:tcPr>
          <w:p>
            <w:r/>
            <w:r>
              <w:rPr>
                <w:sz w:val="14"/>
              </w:rPr>
              <w:t>SPR with bis-boronic acid SAM</w:t>
            </w:r>
          </w:p>
        </w:tc>
        <w:tc>
          <w:tcPr>
            <w:tcW w:type="dxa" w:w="3312"/>
          </w:tcPr>
          <w:p>
            <w:r/>
            <w:r>
              <w:rPr>
                <w:sz w:val="14"/>
              </w:rPr>
              <w:t>Bidentate 1:2 glucose-boronic acid complex</w:t>
            </w:r>
          </w:p>
        </w:tc>
        <w:tc>
          <w:tcPr>
            <w:tcW w:type="dxa" w:w="1872"/>
          </w:tcPr>
          <w:p>
            <w:r/>
            <w:r>
              <w:rPr>
                <w:sz w:val="14"/>
              </w:rPr>
              <w:t>Glucose</w:t>
            </w:r>
          </w:p>
        </w:tc>
        <w:tc>
          <w:tcPr>
            <w:tcW w:type="dxa" w:w="3456"/>
          </w:tcPr>
          <w:p>
            <w:r/>
            <w:r>
              <w:rPr>
                <w:sz w:val="14"/>
              </w:rPr>
              <w:t>Selectivity arises specifically from glucose's bidentate-complex geometry — a geometry NAM's single accessible diol may not replicate as well (needs DFT/binding-energy verification, not established for NAM)</w:t>
            </w:r>
          </w:p>
        </w:tc>
        <w:tc>
          <w:tcPr>
            <w:tcW w:type="dxa" w:w="1728"/>
          </w:tcPr>
          <w:p>
            <w:r/>
            <w:r>
              <w:rPr>
                <w:sz w:val="14"/>
              </w:rPr>
              <w:t>No</w:t>
            </w:r>
          </w:p>
        </w:tc>
      </w:tr>
      <w:tr>
        <w:tc>
          <w:tcPr>
            <w:tcW w:type="dxa" w:w="2304"/>
            <w:shd w:val="clear" w:fill="FBF0DE"/>
          </w:tcPr>
          <w:p>
            <w:r/>
            <w:r>
              <w:rPr>
                <w:sz w:val="14"/>
              </w:rPr>
              <w:t>Photonic crystal (enzyme-hydrogel hybrid)</w:t>
            </w:r>
          </w:p>
        </w:tc>
        <w:tc>
          <w:tcPr>
            <w:tcW w:type="dxa" w:w="3312"/>
            <w:shd w:val="clear" w:fill="FBF0DE"/>
          </w:tcPr>
          <w:p>
            <w:r/>
            <w:r>
              <w:rPr>
                <w:sz w:val="14"/>
              </w:rPr>
              <w:t>Requires enzymatic amplification</w:t>
            </w:r>
          </w:p>
        </w:tc>
        <w:tc>
          <w:tcPr>
            <w:tcW w:type="dxa" w:w="1872"/>
            <w:shd w:val="clear" w:fill="FBF0DE"/>
          </w:tcPr>
          <w:p>
            <w:r/>
            <w:r>
              <w:rPr>
                <w:sz w:val="14"/>
              </w:rPr>
              <w:t>Small molecules generally</w:t>
            </w:r>
          </w:p>
        </w:tc>
        <w:tc>
          <w:tcPr>
            <w:tcW w:type="dxa" w:w="3456"/>
            <w:shd w:val="clear" w:fill="FBF0DE"/>
          </w:tcPr>
          <w:p>
            <w:r/>
            <w:r>
              <w:rPr>
                <w:sz w:val="14"/>
              </w:rPr>
              <w:t>Explicitly reports standard photonic-crystal RI sensing is NOT sensitive enough for small molecules (~275 Da class) without enzymatic amplification</w:t>
            </w:r>
          </w:p>
        </w:tc>
        <w:tc>
          <w:tcPr>
            <w:tcW w:type="dxa" w:w="1728"/>
            <w:shd w:val="clear" w:fill="FBF0DE"/>
          </w:tcPr>
          <w:p>
            <w:r/>
            <w:r>
              <w:rPr>
                <w:sz w:val="14"/>
              </w:rPr>
              <w:t>No</w:t>
            </w:r>
          </w:p>
        </w:tc>
      </w:tr>
      <w:tr>
        <w:tc>
          <w:tcPr>
            <w:tcW w:type="dxa" w:w="2304"/>
          </w:tcPr>
          <w:p>
            <w:r/>
            <w:r>
              <w:rPr>
                <w:sz w:val="14"/>
              </w:rPr>
              <w:t>Quantum dots</w:t>
            </w:r>
          </w:p>
        </w:tc>
        <w:tc>
          <w:tcPr>
            <w:tcW w:type="dxa" w:w="3312"/>
          </w:tcPr>
          <w:p>
            <w:r/>
            <w:r>
              <w:rPr>
                <w:sz w:val="14"/>
              </w:rPr>
              <w:t>Used only as fluorescent reporters conjugated to an affinity element (glycan, protein, Zn-DPA)</w:t>
            </w:r>
          </w:p>
        </w:tc>
        <w:tc>
          <w:tcPr>
            <w:tcW w:type="dxa" w:w="1872"/>
          </w:tcPr>
          <w:p>
            <w:r/>
            <w:r>
              <w:rPr>
                <w:sz w:val="14"/>
              </w:rPr>
              <w:t>Whole bacteria</w:t>
            </w:r>
          </w:p>
        </w:tc>
        <w:tc>
          <w:tcPr>
            <w:tcW w:type="dxa" w:w="3456"/>
          </w:tcPr>
          <w:p>
            <w:r/>
            <w:r>
              <w:rPr>
                <w:sz w:val="14"/>
              </w:rPr>
              <w:t>QDs never function as direct free-small-molecule capture agents in the literature surveyed</w:t>
            </w:r>
          </w:p>
        </w:tc>
        <w:tc>
          <w:tcPr>
            <w:tcW w:type="dxa" w:w="1728"/>
          </w:tcPr>
          <w:p>
            <w:r/>
            <w:r>
              <w:rPr>
                <w:sz w:val="14"/>
              </w:rPr>
              <w:t>No</w:t>
            </w:r>
          </w:p>
        </w:tc>
      </w:tr>
    </w:tbl>
    <w:p>
      <w:pPr>
        <w:spacing w:after="40"/>
      </w:pPr>
    </w:p>
    <w:p>
      <w:pPr>
        <w:spacing w:after="120"/>
      </w:pPr>
      <w:r>
        <w:rPr>
          <w:b w:val="0"/>
          <w:i w:val="0"/>
        </w:rPr>
        <w:t>Ranking for NAM's chemotype specifically (synthesis): (1) electrochemical boronic-acid/MIP — best near-term candidate given the sialic acid precedent and simple, cheap fabrication (screen-printed or laser-induced graphene electrodes); (2) fluorescent boronic-acid sensing — strongest overall maturity proof (a real clinical product) but that proof is glucose-specific and would need original synthetic photophysics work for NAM's different diol geometry; (3) SPR/LSPR — feasible but weakest signal-per-mass for a ~275 Da analyte without an amplification strategy; (4) photonic crystal/plain QD fluorescence — least supported, explicitly flagged in the literature as insufficient for small molecules without enzymatic amplification.</w:t>
      </w:r>
    </w:p>
    <w:p>
      <w:pPr>
        <w:pStyle w:val="Heading1"/>
      </w:pPr>
      <w:r>
        <w:t>11. Enzyme-Based Detection</w:t>
      </w:r>
    </w:p>
    <w:p>
      <w:pPr>
        <w:spacing w:after="120"/>
      </w:pPr>
      <w:r>
        <w:rPr>
          <w:b w:val="0"/>
          <w:i w:val="0"/>
        </w:rPr>
        <w:t>This section is important for a different reason than the others: it identifies a real, specific, NAM-recognizing biological enzyme that has never been built into a biosensor device — a confirmed, citable, novel opportunity.</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160"/>
            <w:shd w:val="clear" w:fill="B56A0A"/>
          </w:tcPr>
          <w:p>
            <w:r/>
            <w:r>
              <w:rPr>
                <w:b/>
                <w:color w:val="FFFFFF"/>
                <w:sz w:val="18"/>
              </w:rPr>
              <w:t>Enzyme</w:t>
            </w:r>
          </w:p>
        </w:tc>
        <w:tc>
          <w:tcPr>
            <w:tcW w:type="dxa" w:w="3456"/>
            <w:shd w:val="clear" w:fill="B56A0A"/>
          </w:tcPr>
          <w:p>
            <w:r/>
            <w:r>
              <w:rPr>
                <w:b/>
                <w:color w:val="FFFFFF"/>
                <w:sz w:val="18"/>
              </w:rPr>
              <w:t>Role</w:t>
            </w:r>
          </w:p>
        </w:tc>
        <w:tc>
          <w:tcPr>
            <w:tcW w:type="dxa" w:w="3744"/>
            <w:shd w:val="clear" w:fill="B56A0A"/>
          </w:tcPr>
          <w:p>
            <w:r/>
            <w:r>
              <w:rPr>
                <w:b/>
                <w:color w:val="FFFFFF"/>
                <w:sz w:val="18"/>
              </w:rPr>
              <w:t>Specificity</w:t>
            </w:r>
          </w:p>
        </w:tc>
        <w:tc>
          <w:tcPr>
            <w:tcW w:type="dxa" w:w="3312"/>
            <w:shd w:val="clear" w:fill="B56A0A"/>
          </w:tcPr>
          <w:p>
            <w:r/>
            <w:r>
              <w:rPr>
                <w:b/>
                <w:color w:val="FFFFFF"/>
                <w:sz w:val="18"/>
              </w:rPr>
              <w:t>Analytical Status</w:t>
            </w:r>
          </w:p>
        </w:tc>
      </w:tr>
      <w:tr>
        <w:tc>
          <w:tcPr>
            <w:tcW w:type="dxa" w:w="2160"/>
          </w:tcPr>
          <w:p>
            <w:r/>
            <w:r>
              <w:rPr>
                <w:sz w:val="15"/>
              </w:rPr>
              <w:t>MurK (MurNAc/GlcNAc kinase)</w:t>
            </w:r>
          </w:p>
        </w:tc>
        <w:tc>
          <w:tcPr>
            <w:tcW w:type="dxa" w:w="3456"/>
          </w:tcPr>
          <w:p>
            <w:r/>
            <w:r>
              <w:rPr>
                <w:sz w:val="15"/>
              </w:rPr>
              <w:t>Phosphorylates free NAM and GlcNAc at the 6-OH using ATP (peptidoglycan recycling pathway)</w:t>
            </w:r>
          </w:p>
        </w:tc>
        <w:tc>
          <w:tcPr>
            <w:tcW w:type="dxa" w:w="3744"/>
          </w:tcPr>
          <w:p>
            <w:r/>
            <w:r>
              <w:rPr>
                <w:sz w:val="15"/>
              </w:rPr>
              <w:t>Confirmed to EXCLUDE non-acetylated muramic acid, N-acetylmannosamine, glucose, and anhydro-MurNAc (J. Bacteriol. 2011, DOI 10.1128/jb.05514-11; structural follow-up 2023/2024) — does NOT distinguish NAM from GlcNAc</w:t>
            </w:r>
          </w:p>
        </w:tc>
        <w:tc>
          <w:tcPr>
            <w:tcW w:type="dxa" w:w="3312"/>
          </w:tcPr>
          <w:p>
            <w:r/>
            <w:r>
              <w:rPr>
                <w:sz w:val="15"/>
              </w:rPr>
              <w:t>Coupled to a validated NADH-linked spectrophotometric assay (pyruvate kinase/lactate dehydrogenase cascade, 340nm); never built into a device</w:t>
            </w:r>
          </w:p>
        </w:tc>
      </w:tr>
      <w:tr>
        <w:tc>
          <w:tcPr>
            <w:tcW w:type="dxa" w:w="2160"/>
            <w:shd w:val="clear" w:fill="FBF0DE"/>
          </w:tcPr>
          <w:p>
            <w:r/>
            <w:r>
              <w:rPr>
                <w:sz w:val="15"/>
              </w:rPr>
              <w:t>MurQ (MurNAc-6-P etherase)</w:t>
            </w:r>
          </w:p>
        </w:tc>
        <w:tc>
          <w:tcPr>
            <w:tcW w:type="dxa" w:w="3456"/>
            <w:shd w:val="clear" w:fill="FBF0DE"/>
          </w:tcPr>
          <w:p>
            <w:r/>
            <w:r>
              <w:rPr>
                <w:sz w:val="15"/>
              </w:rPr>
              <w:t>Converts MurNAc-6-P to GlcNAc-6-P downstream of MurK</w:t>
            </w:r>
          </w:p>
        </w:tc>
        <w:tc>
          <w:tcPr>
            <w:tcW w:type="dxa" w:w="3744"/>
            <w:shd w:val="clear" w:fill="FBF0DE"/>
          </w:tcPr>
          <w:p>
            <w:r/>
            <w:r>
              <w:rPr>
                <w:sz w:val="15"/>
              </w:rPr>
              <w:t>Acts only on the phosphorylated intermediate, not free NAM</w:t>
            </w:r>
          </w:p>
        </w:tc>
        <w:tc>
          <w:tcPr>
            <w:tcW w:type="dxa" w:w="3312"/>
            <w:shd w:val="clear" w:fill="FBF0DE"/>
          </w:tcPr>
          <w:p>
            <w:r/>
            <w:r>
              <w:rPr>
                <w:sz w:val="15"/>
              </w:rPr>
              <w:t>Mechanistic/structural studies only (Biochemistry 2008/2013); trackable by MS (m/z 372.070-&gt;300.047)</w:t>
            </w:r>
          </w:p>
        </w:tc>
      </w:tr>
      <w:tr>
        <w:tc>
          <w:tcPr>
            <w:tcW w:type="dxa" w:w="2160"/>
          </w:tcPr>
          <w:p>
            <w:r/>
            <w:r>
              <w:rPr>
                <w:sz w:val="15"/>
              </w:rPr>
              <w:t>MurR</w:t>
            </w:r>
          </w:p>
        </w:tc>
        <w:tc>
          <w:tcPr>
            <w:tcW w:type="dxa" w:w="3456"/>
          </w:tcPr>
          <w:p>
            <w:r/>
            <w:r>
              <w:rPr>
                <w:sz w:val="15"/>
              </w:rPr>
              <w:t>Natural allosteric transcriptional repressor; DE-REPRESSES murQP when bound by MurNAc-6-P</w:t>
            </w:r>
          </w:p>
        </w:tc>
        <w:tc>
          <w:tcPr>
            <w:tcW w:type="dxa" w:w="3744"/>
          </w:tcPr>
          <w:p>
            <w:r/>
            <w:r>
              <w:rPr>
                <w:sz w:val="15"/>
              </w:rPr>
              <w:t>Confirmed to distinguish MurNAc-6-P from GlcNAc-6-P specifically — structurally characterized (Nucleic Acids Res. 2022, PDB 7EN7)</w:t>
            </w:r>
          </w:p>
        </w:tc>
        <w:tc>
          <w:tcPr>
            <w:tcW w:type="dxa" w:w="3312"/>
          </w:tcPr>
          <w:p>
            <w:r/>
            <w:r>
              <w:rPr>
                <w:sz w:val="15"/>
              </w:rPr>
              <w:t>A naturally evolved, highly discriminating protein sensor — never repurposed as a synthetic-biology/biosensor recognition element in the literature found</w:t>
            </w:r>
          </w:p>
        </w:tc>
      </w:tr>
      <w:tr>
        <w:tc>
          <w:tcPr>
            <w:tcW w:type="dxa" w:w="2160"/>
            <w:shd w:val="clear" w:fill="FBF0DE"/>
          </w:tcPr>
          <w:p>
            <w:r/>
            <w:r>
              <w:rPr>
                <w:sz w:val="15"/>
              </w:rPr>
              <w:t>Mur ligases (MurA-MurF)</w:t>
            </w:r>
          </w:p>
        </w:tc>
        <w:tc>
          <w:tcPr>
            <w:tcW w:type="dxa" w:w="3456"/>
            <w:shd w:val="clear" w:fill="FBF0DE"/>
          </w:tcPr>
          <w:p>
            <w:r/>
            <w:r>
              <w:rPr>
                <w:sz w:val="15"/>
              </w:rPr>
              <w:t>Biosynthetic — build the peptidoglycan pentapeptide stem onto UDP-MurNAc</w:t>
            </w:r>
          </w:p>
        </w:tc>
        <w:tc>
          <w:tcPr>
            <w:tcW w:type="dxa" w:w="3744"/>
            <w:shd w:val="clear" w:fill="FBF0DE"/>
          </w:tcPr>
          <w:p>
            <w:r/>
            <w:r>
              <w:rPr>
                <w:sz w:val="15"/>
              </w:rPr>
              <w:t>Act on UDP-MurNAc-peptide precursors, NOT free NAM</w:t>
            </w:r>
          </w:p>
        </w:tc>
        <w:tc>
          <w:tcPr>
            <w:tcW w:type="dxa" w:w="3312"/>
            <w:shd w:val="clear" w:fill="FBF0DE"/>
          </w:tcPr>
          <w:p>
            <w:r/>
            <w:r>
              <w:rPr>
                <w:sz w:val="15"/>
              </w:rPr>
              <w:t>CONFIRMED IRRELEVANT to a free-NAM recognition strategy — antibiotic-target enzymes, not detection tools</w:t>
            </w:r>
          </w:p>
        </w:tc>
      </w:tr>
      <w:tr>
        <w:tc>
          <w:tcPr>
            <w:tcW w:type="dxa" w:w="2160"/>
          </w:tcPr>
          <w:p>
            <w:r/>
            <w:r>
              <w:rPr>
                <w:sz w:val="15"/>
              </w:rPr>
              <w:t>AmpD/AmpG/NagZ (anhMurNAc recycling)</w:t>
            </w:r>
          </w:p>
        </w:tc>
        <w:tc>
          <w:tcPr>
            <w:tcW w:type="dxa" w:w="3456"/>
          </w:tcPr>
          <w:p>
            <w:r/>
            <w:r>
              <w:rPr>
                <w:sz w:val="15"/>
              </w:rPr>
              <w:t>Process anhydro-muropeptides during cell-wall turnover</w:t>
            </w:r>
          </w:p>
        </w:tc>
        <w:tc>
          <w:tcPr>
            <w:tcW w:type="dxa" w:w="3744"/>
          </w:tcPr>
          <w:p>
            <w:r/>
            <w:r>
              <w:rPr>
                <w:sz w:val="15"/>
              </w:rPr>
              <w:t>MurK does not act on anhMurNAc directly — this arm requires a separate hydrolysis step first</w:t>
            </w:r>
          </w:p>
        </w:tc>
        <w:tc>
          <w:tcPr>
            <w:tcW w:type="dxa" w:w="3312"/>
          </w:tcPr>
          <w:p>
            <w:r/>
            <w:r>
              <w:rPr>
                <w:sz w:val="15"/>
              </w:rPr>
              <w:t>A fluorescent AmpG transport assay exists (ACS Chem. Biol. 2016) but studies permease transport, not NAM quantification</w:t>
            </w:r>
          </w:p>
        </w:tc>
      </w:tr>
    </w:tbl>
    <w:p>
      <w:pPr>
        <w:spacing w:after="40"/>
      </w:pPr>
    </w:p>
    <w:p>
      <w:pPr>
        <w:spacing w:after="120"/>
      </w:pPr>
      <w:r>
        <w:rPr>
          <w:b w:val="0"/>
          <w:i w:val="0"/>
        </w:rPr>
        <w:t>Synthesis: a viable, literature-grounded enzymatic recognition/amplification strategy exists — MurK phosphorylation coupled to an NADH-linked optical readout is a real, already-validated analytical reaction, reported as roughly five orders of magnitude more sensitive than the classical Morgan-Elson colorimetric amino-sugar assay. Its main limitation is that MurK does not distinguish NAM from GlcNAc (both are phosphorylated), which matters clinically since GlcNAc is abundant in host glycans (chitin/hyaluronan turnover); MurR's downstream specificity for MurNAc-6-P over GlcNAc-6-P offers a confirmatory second-stage filter. No paper found has actually built a device around MurK/MurQ/MurR — this is a genuine, confirmed literature gap and a real opportunity for novel, publishable work, not an established competing method to be measured against.</w:t>
      </w:r>
    </w:p>
    <w:p>
      <w:r>
        <w:br w:type="page"/>
      </w:r>
    </w:p>
    <w:p>
      <w:pPr>
        <w:pStyle w:val="Heading1"/>
      </w:pPr>
      <w:r>
        <w:t>12. Immunological Detection</w:t>
      </w:r>
    </w:p>
    <w:p>
      <w:pPr>
        <w:spacing w:after="120"/>
      </w:pPr>
      <w:r>
        <w:rPr>
          <w:b w:val="0"/>
          <w:i w:val="0"/>
        </w:rPr>
        <w:t>Direct answer to the central question: no genuinely NAM-specific (free-monosaccharide-specific) antibody exists in the literature searched. This is a confirmed gap, not a search limitation, supported by convergent evidence from both adaptive and innate immune-recognition literature.</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3168"/>
            <w:shd w:val="clear" w:fill="B56A0A"/>
          </w:tcPr>
          <w:p>
            <w:r/>
            <w:r>
              <w:rPr>
                <w:b/>
                <w:color w:val="FFFFFF"/>
                <w:sz w:val="18"/>
              </w:rPr>
              <w:t>Recognition Element</w:t>
            </w:r>
          </w:p>
        </w:tc>
        <w:tc>
          <w:tcPr>
            <w:tcW w:type="dxa" w:w="4608"/>
            <w:shd w:val="clear" w:fill="B56A0A"/>
          </w:tcPr>
          <w:p>
            <w:r/>
            <w:r>
              <w:rPr>
                <w:b/>
                <w:color w:val="FFFFFF"/>
                <w:sz w:val="18"/>
              </w:rPr>
              <w:t>What It Actually Binds</w:t>
            </w:r>
          </w:p>
        </w:tc>
        <w:tc>
          <w:tcPr>
            <w:tcW w:type="dxa" w:w="2304"/>
            <w:shd w:val="clear" w:fill="B56A0A"/>
          </w:tcPr>
          <w:p>
            <w:r/>
            <w:r>
              <w:rPr>
                <w:b/>
                <w:color w:val="FFFFFF"/>
                <w:sz w:val="18"/>
              </w:rPr>
              <w:t>Binds Free NAM?</w:t>
            </w:r>
          </w:p>
        </w:tc>
        <w:tc>
          <w:tcPr>
            <w:tcW w:type="dxa" w:w="2592"/>
            <w:shd w:val="clear" w:fill="B56A0A"/>
          </w:tcPr>
          <w:p>
            <w:r/>
            <w:r>
              <w:rPr>
                <w:b/>
                <w:color w:val="FFFFFF"/>
                <w:sz w:val="18"/>
              </w:rPr>
              <w:t>Source</w:t>
            </w:r>
          </w:p>
        </w:tc>
      </w:tr>
      <w:tr>
        <w:tc>
          <w:tcPr>
            <w:tcW w:type="dxa" w:w="3168"/>
          </w:tcPr>
          <w:p>
            <w:r/>
            <w:r>
              <w:rPr>
                <w:sz w:val="15"/>
              </w:rPr>
              <w:t>Anti-muramyl dipeptide (MDP) monoclonal antibodies</w:t>
            </w:r>
          </w:p>
        </w:tc>
        <w:tc>
          <w:tcPr>
            <w:tcW w:type="dxa" w:w="4608"/>
          </w:tcPr>
          <w:p>
            <w:r/>
            <w:r>
              <w:rPr>
                <w:sz w:val="15"/>
              </w:rPr>
              <w:t>N-acetylmuramic acid ONLY when linked to the dipeptide (MurNAc-L-Ala-D-isoGln) — explicitly confirmed to NOT bind free N-Ac-Mur alone</w:t>
            </w:r>
          </w:p>
        </w:tc>
        <w:tc>
          <w:tcPr>
            <w:tcW w:type="dxa" w:w="2304"/>
          </w:tcPr>
          <w:p>
            <w:r/>
            <w:r>
              <w:rPr>
                <w:sz w:val="15"/>
              </w:rPr>
              <w:t>No (explicitly excluded)</w:t>
            </w:r>
          </w:p>
        </w:tc>
        <w:tc>
          <w:tcPr>
            <w:tcW w:type="dxa" w:w="2592"/>
          </w:tcPr>
          <w:p>
            <w:r/>
            <w:r>
              <w:rPr>
                <w:sz w:val="15"/>
              </w:rPr>
              <w:t>J. Immunol. Methods 1983, DOI 10.1016/0161-5890(83)90052-4</w:t>
            </w:r>
          </w:p>
        </w:tc>
      </w:tr>
      <w:tr>
        <w:tc>
          <w:tcPr>
            <w:tcW w:type="dxa" w:w="3168"/>
            <w:shd w:val="clear" w:fill="FBF0DE"/>
          </w:tcPr>
          <w:p>
            <w:r/>
            <w:r>
              <w:rPr>
                <w:sz w:val="15"/>
              </w:rPr>
              <w:t>Commercial anti-peptidoglycan monoclonals</w:t>
            </w:r>
          </w:p>
        </w:tc>
        <w:tc>
          <w:tcPr>
            <w:tcW w:type="dxa" w:w="4608"/>
            <w:shd w:val="clear" w:fill="FBF0DE"/>
          </w:tcPr>
          <w:p>
            <w:r/>
            <w:r>
              <w:rPr>
                <w:sz w:val="15"/>
              </w:rPr>
              <w:t>Intact, insoluble peptidoglycan polymer 3D structural epitope; cross-reactivity is species-dependent</w:t>
            </w:r>
          </w:p>
        </w:tc>
        <w:tc>
          <w:tcPr>
            <w:tcW w:type="dxa" w:w="2304"/>
            <w:shd w:val="clear" w:fill="FBF0DE"/>
          </w:tcPr>
          <w:p>
            <w:r/>
            <w:r>
              <w:rPr>
                <w:sz w:val="15"/>
              </w:rPr>
              <w:t>Not validated / unlikely</w:t>
            </w:r>
          </w:p>
        </w:tc>
        <w:tc>
          <w:tcPr>
            <w:tcW w:type="dxa" w:w="2592"/>
            <w:shd w:val="clear" w:fill="FBF0DE"/>
          </w:tcPr>
          <w:p>
            <w:r/>
            <w:r>
              <w:rPr>
                <w:sz w:val="15"/>
              </w:rPr>
              <w:t>Vendor characterization literature (GeneTex/Novus/Creative Diagnostics)</w:t>
            </w:r>
          </w:p>
        </w:tc>
      </w:tr>
      <w:tr>
        <w:tc>
          <w:tcPr>
            <w:tcW w:type="dxa" w:w="3168"/>
          </w:tcPr>
          <w:p>
            <w:r/>
            <w:r>
              <w:rPr>
                <w:sz w:val="15"/>
              </w:rPr>
              <w:t>NOD2 (innate pattern-recognition receptor)</w:t>
            </w:r>
          </w:p>
        </w:tc>
        <w:tc>
          <w:tcPr>
            <w:tcW w:type="dxa" w:w="4608"/>
          </w:tcPr>
          <w:p>
            <w:r/>
            <w:r>
              <w:rPr>
                <w:sz w:val="15"/>
              </w:rPr>
              <w:t>Muramyl dipeptide specifically — single stereochemical substitutions (D-Ala-&gt;L-Ala, etc.) abolish activity</w:t>
            </w:r>
          </w:p>
        </w:tc>
        <w:tc>
          <w:tcPr>
            <w:tcW w:type="dxa" w:w="2304"/>
          </w:tcPr>
          <w:p>
            <w:r/>
            <w:r>
              <w:rPr>
                <w:sz w:val="15"/>
              </w:rPr>
              <w:t>No (stereochemically locked to the conjugate)</w:t>
            </w:r>
          </w:p>
        </w:tc>
        <w:tc>
          <w:tcPr>
            <w:tcW w:type="dxa" w:w="2592"/>
          </w:tcPr>
          <w:p>
            <w:r/>
            <w:r>
              <w:rPr>
                <w:sz w:val="15"/>
              </w:rPr>
              <w:t>J. Biol. Chem., PMID 12514169; PMC5820023 (KD ~212+/-24 nM for MDP)</w:t>
            </w:r>
          </w:p>
        </w:tc>
      </w:tr>
      <w:tr>
        <w:tc>
          <w:tcPr>
            <w:tcW w:type="dxa" w:w="3168"/>
            <w:shd w:val="clear" w:fill="FBF0DE"/>
          </w:tcPr>
          <w:p>
            <w:r/>
            <w:r>
              <w:rPr>
                <w:sz w:val="15"/>
              </w:rPr>
              <w:t>Phage endolysin cell-wall-binding domains (CBDs)</w:t>
            </w:r>
          </w:p>
        </w:tc>
        <w:tc>
          <w:tcPr>
            <w:tcW w:type="dxa" w:w="4608"/>
            <w:shd w:val="clear" w:fill="FBF0DE"/>
          </w:tcPr>
          <w:p>
            <w:r/>
            <w:r>
              <w:rPr>
                <w:sz w:val="15"/>
              </w:rPr>
              <w:t>Intact peptidoglycan/surface polymers on bacterial cells (lateral-flow format)</w:t>
            </w:r>
          </w:p>
        </w:tc>
        <w:tc>
          <w:tcPr>
            <w:tcW w:type="dxa" w:w="2304"/>
            <w:shd w:val="clear" w:fill="FBF0DE"/>
          </w:tcPr>
          <w:p>
            <w:r/>
            <w:r>
              <w:rPr>
                <w:sz w:val="15"/>
              </w:rPr>
              <w:t>No (whole-cell/polymer target)</w:t>
            </w:r>
          </w:p>
        </w:tc>
        <w:tc>
          <w:tcPr>
            <w:tcW w:type="dxa" w:w="2592"/>
            <w:shd w:val="clear" w:fill="FBF0DE"/>
          </w:tcPr>
          <w:p>
            <w:r/>
            <w:r>
              <w:rPr>
                <w:sz w:val="15"/>
              </w:rPr>
              <w:t>Biosens. Bioelectron. (antibody-free LFA precedent)</w:t>
            </w:r>
          </w:p>
        </w:tc>
      </w:tr>
    </w:tbl>
    <w:p>
      <w:pPr>
        <w:spacing w:after="40"/>
      </w:pPr>
    </w:p>
    <w:p>
      <w:pPr>
        <w:spacing w:after="120"/>
      </w:pPr>
      <w:r>
        <w:rPr>
          <w:b w:val="0"/>
          <w:i w:val="0"/>
        </w:rPr>
        <w:t>Synthesis: both the adaptive (antibody) and innate (NOD2) immune-recognition literatures converge on the same conclusion — biological recognition machinery for "muramyl" moieties is built around the peptide-conjugated form (MDP), because that is what signals "live/degrading bacterial cell wall" in vivo, not the isolated monosaccharide. A NAM-specific antibody would need to be raised de novo via a purpose-designed NAM-carrier-protein hapten conjugate, distinct from all prior MDP-based immunogens found in this search — a non-trivial, unvalidated undertaking, not something available off-the-shelf. One antibody-free alternative worth noting: phage-endolysin cell-wall-binding domains are a validated, real recognition-element class for peptidoglycan (Category 2/3), though not for free NAM specifically.</w:t>
      </w:r>
    </w:p>
    <w:p>
      <w:pPr>
        <w:pStyle w:val="Heading1"/>
      </w:pPr>
      <w:r>
        <w:t>13. Aptamer Detection</w:t>
      </w:r>
    </w:p>
    <w:p>
      <w:pPr>
        <w:spacing w:after="120"/>
      </w:pPr>
      <w:r>
        <w:rPr>
          <w:b w:val="0"/>
          <w:i w:val="0"/>
        </w:rPr>
        <w:t>No NAM aptamer has been reported (confirmed gap, consistent with the companion NAM-SERS review). No SELEX campaign specifically targeting NAM was found in the literature searched across either this or the companion search. Developing one via de novo SELEX would be a substantial standalone molecular-biology project — requiring iterative selection/amplification cycles, a binding-affinity characterization pipeline, and specialized reagents/expertise not indicated as currently available to this project (per the project-file extraction) — and is assessed as unrealistic to complete within a 6-12 month M.Tech timeline alongside the existing sensor-development work. It remains a legitimate longer-term (PhD-extension) direction given the total absence of competing aptamer literature for this analyte.</w:t>
      </w:r>
    </w:p>
    <w:p>
      <w:r>
        <w:br w:type="page"/>
      </w:r>
    </w:p>
    <w:p>
      <w:pPr>
        <w:pStyle w:val="Heading1"/>
      </w:pPr>
      <w:r>
        <w:t>14. Lectin-Based Detection</w:t>
      </w:r>
    </w:p>
    <w:p>
      <w:pPr>
        <w:spacing w:after="120"/>
      </w:pPr>
      <w:r>
        <w:rPr>
          <w:b w:val="0"/>
          <w:i w:val="0"/>
        </w:rPr>
        <w:t>Wheat germ agglutinin (WGA) is the most literature-supported lectin for this chemical space, but its native, validated ligand is N-acetylglucosamine (GlcNAc) — NAM's direct biosynthetic neighbour sugar, not NAM itself. Published WGA-based SERS/electrochemical/magnetic-capture platforms achieve real, quantitative whole-bacterium performance (LOD 5-7 CFU/mL in one platform), but always via intact bacterial cell-wall GlcNAc presentation (Category 2/3), not free, isolated NAM (Category 5 at best). WGA's affinity for isolated free NAM, lacking its native GlcNAc partner in the intact glycosidic linkage, is not established anywhere in the literature searched and should not be assumed without direct empirical testing. Concanavalin A and other general carbohydrate-binding lectins were searched but show no closer NAM-specific precedent than WGA.</w:t>
      </w:r>
    </w:p>
    <w:p>
      <w:r>
        <w:br w:type="page"/>
      </w:r>
    </w:p>
    <w:p>
      <w:pPr>
        <w:pStyle w:val="Heading1"/>
      </w:pPr>
      <w:r>
        <w:t>15. Molecularly Imprinted Polymers</w:t>
      </w:r>
    </w:p>
    <w:p>
      <w:pPr>
        <w:spacing w:after="120"/>
      </w:pPr>
      <w:r>
        <w:rPr>
          <w:b w:val="0"/>
          <w:i w:val="0"/>
        </w:rPr>
        <w:t>No NAM- or muramic-acid-specific MIP has been reported (confirmed gap, consistent across all three searches conducted for this project). The strongest transferable precedent located in this round of research is a fluorescent MIP membrane built against the WHOLE lipopolysaccharide (LPS) macromolecule — polysaccharide plus lipid A — rather than a single functional-group anchor, achieving LOD 0.46 ug/L (Section 10). This shows MIPs can be built against complex bacterial-envelope glycans without a thiol or aromatic handle by imprinting the whole epitope shape, which is directly relevant methodology for a future NAM-MIP, whether the readout is optical, electrochemical, or SERS-coupled.</w:t>
      </w:r>
    </w:p>
    <w:p>
      <w:pPr>
        <w:pStyle w:val="Heading2"/>
      </w:pPr>
      <w:r>
        <w:t>15.1 Would a NAM-MIP SERS Sensor Be a Novel Publication Opportunity?</w:t>
      </w:r>
    </w:p>
    <w:p>
      <w:pPr>
        <w:spacing w:after="120"/>
      </w:pPr>
      <w:r>
        <w:rPr>
          <w:b w:val="0"/>
          <w:i w:val="0"/>
        </w:rPr>
        <w:t>Yes, on both structural and chemical-strategy grounds. No NAM-specific MIP exists in any modality (SERS, electrochemical, or optical), and no MIP-SERS combination specifically for a free amino-sugar-acid target was found either. A NAM-MIP-SERS sensor — using the QCM sialic-acid MIP's design principle of anchoring the imprinted scaffold to the (Ag) surface via a thiol-terminated linker, so the analyte itself never needs to supply a native anchor group — would combine this project's existing black-Si/Ag substrate investment with a genuinely unpublished recognition strategy. The trade-off is development risk: imprinting a small, highly polar, conformationally flexible template (NAM has multiple independently H-bonding OH groups, an amide, an ether, and a COOH) is mechanistically harder than imprinting a larger, more rigid, or more hydrophobic template, and cross-reactivity against the chemically very similar GlcNAc is a realistic risk requiring explicit selectivity testing.</w:t>
      </w:r>
    </w:p>
    <w:p>
      <w:r>
        <w:br w:type="page"/>
      </w:r>
    </w:p>
    <w:p>
      <w:pPr>
        <w:pStyle w:val="Heading1"/>
      </w:pPr>
      <w:r>
        <w:t>16. Chemical Derivatization</w:t>
      </w:r>
    </w:p>
    <w:p>
      <w:pPr>
        <w:spacing w:after="120"/>
      </w:pPr>
      <w:r>
        <w:rPr>
          <w:b w:val="0"/>
          <w:i w:val="0"/>
        </w:rPr>
        <w:t>Derivatization is confirmed to substantially improve detectability of muramic acid specifically, but every validated method found is an off-line wet-chemistry sample-prep step feeding a chromatographic/MS instrument, not a real-time sensor surface chemistry.</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880"/>
            <w:shd w:val="clear" w:fill="B56A0A"/>
          </w:tcPr>
          <w:p>
            <w:r/>
            <w:r>
              <w:rPr>
                <w:b/>
                <w:color w:val="FFFFFF"/>
                <w:sz w:val="18"/>
              </w:rPr>
              <w:t>Derivatization</w:t>
            </w:r>
          </w:p>
        </w:tc>
        <w:tc>
          <w:tcPr>
            <w:tcW w:type="dxa" w:w="4176"/>
            <w:shd w:val="clear" w:fill="B56A0A"/>
          </w:tcPr>
          <w:p>
            <w:r/>
            <w:r>
              <w:rPr>
                <w:b/>
                <w:color w:val="FFFFFF"/>
                <w:sz w:val="18"/>
              </w:rPr>
              <w:t>Chemistry</w:t>
            </w:r>
          </w:p>
        </w:tc>
        <w:tc>
          <w:tcPr>
            <w:tcW w:type="dxa" w:w="3312"/>
            <w:shd w:val="clear" w:fill="B56A0A"/>
          </w:tcPr>
          <w:p>
            <w:r/>
            <w:r>
              <w:rPr>
                <w:b/>
                <w:color w:val="FFFFFF"/>
                <w:sz w:val="18"/>
              </w:rPr>
              <w:t>Improves</w:t>
            </w:r>
          </w:p>
        </w:tc>
        <w:tc>
          <w:tcPr>
            <w:tcW w:type="dxa" w:w="3168"/>
            <w:shd w:val="clear" w:fill="B56A0A"/>
          </w:tcPr>
          <w:p>
            <w:r/>
            <w:r>
              <w:rPr>
                <w:b/>
                <w:color w:val="FFFFFF"/>
                <w:sz w:val="18"/>
              </w:rPr>
              <w:t>Compatible with Real-Time Label-Free Sensing?</w:t>
            </w:r>
          </w:p>
        </w:tc>
      </w:tr>
      <w:tr>
        <w:tc>
          <w:tcPr>
            <w:tcW w:type="dxa" w:w="2880"/>
          </w:tcPr>
          <w:p>
            <w:r/>
            <w:r>
              <w:rPr>
                <w:sz w:val="15"/>
              </w:rPr>
              <w:t>TMS (trimethylsilylation)</w:t>
            </w:r>
          </w:p>
        </w:tc>
        <w:tc>
          <w:tcPr>
            <w:tcW w:type="dxa" w:w="4176"/>
          </w:tcPr>
          <w:p>
            <w:r/>
            <w:r>
              <w:rPr>
                <w:sz w:val="15"/>
              </w:rPr>
              <w:t>Forms a lactam structure with diagnostic m/z 185 fragment</w:t>
            </w:r>
          </w:p>
        </w:tc>
        <w:tc>
          <w:tcPr>
            <w:tcW w:type="dxa" w:w="3312"/>
          </w:tcPr>
          <w:p>
            <w:r/>
            <w:r>
              <w:rPr>
                <w:sz w:val="15"/>
              </w:rPr>
              <w:t>GC-MS selectivity + sensitivity (sub-ng LOD)</w:t>
            </w:r>
          </w:p>
        </w:tc>
        <w:tc>
          <w:tcPr>
            <w:tcW w:type="dxa" w:w="3168"/>
          </w:tcPr>
          <w:p>
            <w:r/>
            <w:r>
              <w:rPr>
                <w:sz w:val="15"/>
              </w:rPr>
              <w:t>No — off-line, destructive, requires volatilization</w:t>
            </w:r>
          </w:p>
        </w:tc>
      </w:tr>
      <w:tr>
        <w:tc>
          <w:tcPr>
            <w:tcW w:type="dxa" w:w="2880"/>
            <w:shd w:val="clear" w:fill="FBF0DE"/>
          </w:tcPr>
          <w:p>
            <w:r/>
            <w:r>
              <w:rPr>
                <w:sz w:val="15"/>
              </w:rPr>
              <w:t>MAME (methyl ester/O-methyl acetate)</w:t>
            </w:r>
          </w:p>
        </w:tc>
        <w:tc>
          <w:tcPr>
            <w:tcW w:type="dxa" w:w="4176"/>
            <w:shd w:val="clear" w:fill="FBF0DE"/>
          </w:tcPr>
          <w:p>
            <w:r/>
            <w:r>
              <w:rPr>
                <w:sz w:val="15"/>
              </w:rPr>
              <w:t>~12.5x more sensitive than TMS in one comparison</w:t>
            </w:r>
          </w:p>
        </w:tc>
        <w:tc>
          <w:tcPr>
            <w:tcW w:type="dxa" w:w="3312"/>
            <w:shd w:val="clear" w:fill="FBF0DE"/>
          </w:tcPr>
          <w:p>
            <w:r/>
            <w:r>
              <w:rPr>
                <w:sz w:val="15"/>
              </w:rPr>
              <w:t>GC-MS/MS sensitivity</w:t>
            </w:r>
          </w:p>
        </w:tc>
        <w:tc>
          <w:tcPr>
            <w:tcW w:type="dxa" w:w="3168"/>
            <w:shd w:val="clear" w:fill="FBF0DE"/>
          </w:tcPr>
          <w:p>
            <w:r/>
            <w:r>
              <w:rPr>
                <w:sz w:val="15"/>
              </w:rPr>
              <w:t>No</w:t>
            </w:r>
          </w:p>
        </w:tc>
      </w:tr>
      <w:tr>
        <w:tc>
          <w:tcPr>
            <w:tcW w:type="dxa" w:w="2880"/>
          </w:tcPr>
          <w:p>
            <w:r/>
            <w:r>
              <w:rPr>
                <w:sz w:val="15"/>
              </w:rPr>
              <w:t>ANA (aldononitrile acetate)</w:t>
            </w:r>
          </w:p>
        </w:tc>
        <w:tc>
          <w:tcPr>
            <w:tcW w:type="dxa" w:w="4176"/>
          </w:tcPr>
          <w:p>
            <w:r/>
            <w:r>
              <w:rPr>
                <w:sz w:val="15"/>
              </w:rPr>
              <w:t>Amino sugar -&gt; aldononitrile -&gt; peracetylation</w:t>
            </w:r>
          </w:p>
        </w:tc>
        <w:tc>
          <w:tcPr>
            <w:tcW w:type="dxa" w:w="3312"/>
          </w:tcPr>
          <w:p>
            <w:r/>
            <w:r>
              <w:rPr>
                <w:sz w:val="15"/>
              </w:rPr>
              <w:t>GC separation/detection</w:t>
            </w:r>
          </w:p>
        </w:tc>
        <w:tc>
          <w:tcPr>
            <w:tcW w:type="dxa" w:w="3168"/>
          </w:tcPr>
          <w:p>
            <w:r/>
            <w:r>
              <w:rPr>
                <w:sz w:val="15"/>
              </w:rPr>
              <w:t>No</w:t>
            </w:r>
          </w:p>
        </w:tc>
      </w:tr>
      <w:tr>
        <w:tc>
          <w:tcPr>
            <w:tcW w:type="dxa" w:w="2880"/>
            <w:shd w:val="clear" w:fill="FBF0DE"/>
          </w:tcPr>
          <w:p>
            <w:r/>
            <w:r>
              <w:rPr>
                <w:sz w:val="15"/>
              </w:rPr>
              <w:t>PMP (1-phenyl-3-methyl-5-pyrazolone)</w:t>
            </w:r>
          </w:p>
        </w:tc>
        <w:tc>
          <w:tcPr>
            <w:tcW w:type="dxa" w:w="4176"/>
            <w:shd w:val="clear" w:fill="FBF0DE"/>
          </w:tcPr>
          <w:p>
            <w:r/>
            <w:r>
              <w:rPr>
                <w:sz w:val="15"/>
              </w:rPr>
              <w:t>Bis-PMP adduct at the reducing end, strong UV absorbance (248nm)</w:t>
            </w:r>
          </w:p>
        </w:tc>
        <w:tc>
          <w:tcPr>
            <w:tcW w:type="dxa" w:w="3312"/>
            <w:shd w:val="clear" w:fill="FBF0DE"/>
          </w:tcPr>
          <w:p>
            <w:r/>
            <w:r>
              <w:rPr>
                <w:sz w:val="15"/>
              </w:rPr>
              <w:t>LC-UV/DAD and LC-MS ionization</w:t>
            </w:r>
          </w:p>
        </w:tc>
        <w:tc>
          <w:tcPr>
            <w:tcW w:type="dxa" w:w="3168"/>
            <w:shd w:val="clear" w:fill="FBF0DE"/>
          </w:tcPr>
          <w:p>
            <w:r/>
            <w:r>
              <w:rPr>
                <w:sz w:val="15"/>
              </w:rPr>
              <w:t>No — off-line reaction + separation required</w:t>
            </w:r>
          </w:p>
        </w:tc>
      </w:tr>
      <w:tr>
        <w:tc>
          <w:tcPr>
            <w:tcW w:type="dxa" w:w="2880"/>
          </w:tcPr>
          <w:p>
            <w:r/>
            <w:r>
              <w:rPr>
                <w:sz w:val="15"/>
              </w:rPr>
              <w:t>OPA (o-phthaldialdehyde)</w:t>
            </w:r>
          </w:p>
        </w:tc>
        <w:tc>
          <w:tcPr>
            <w:tcW w:type="dxa" w:w="4176"/>
          </w:tcPr>
          <w:p>
            <w:r/>
            <w:r>
              <w:rPr>
                <w:sz w:val="15"/>
              </w:rPr>
              <w:t>Reacts with a free primary amine (requires prior acid hydrolysis/deacetylation of NAM's N-acetyl group first) to form a fluorescent isoindole</w:t>
            </w:r>
          </w:p>
        </w:tc>
        <w:tc>
          <w:tcPr>
            <w:tcW w:type="dxa" w:w="3312"/>
          </w:tcPr>
          <w:p>
            <w:r/>
            <w:r>
              <w:rPr>
                <w:sz w:val="15"/>
              </w:rPr>
              <w:t>LC-fluorescence sensitivity</w:t>
            </w:r>
          </w:p>
        </w:tc>
        <w:tc>
          <w:tcPr>
            <w:tcW w:type="dxa" w:w="3168"/>
          </w:tcPr>
          <w:p>
            <w:r/>
            <w:r>
              <w:rPr>
                <w:sz w:val="15"/>
              </w:rPr>
              <w:t>No, and requires an extra deacetylation step specific to NAM's blocked amine</w:t>
            </w:r>
          </w:p>
        </w:tc>
      </w:tr>
    </w:tbl>
    <w:p>
      <w:pPr>
        <w:spacing w:after="40"/>
      </w:pPr>
    </w:p>
    <w:p>
      <w:pPr>
        <w:spacing w:after="120"/>
      </w:pPr>
      <w:r>
        <w:rPr>
          <w:b w:val="0"/>
          <w:i w:val="0"/>
        </w:rPr>
        <w:t>Adopting derivatization would, by definition, convert a target label-free biosensor (e.g. direct SERS of native NAM) into an indirect, labeled assay requiring extraction plus a chemical reaction step before readout — a direct conflict with the point-of-care, rapid, label-free value proposition motivating this project. Its legitimate roles are narrower: (1) as an off-line reference/validation method (GC-MS or LC-MS with TMS/PMP derivatization, per Sections 7-8) to independently confirm a biosensor's NAM readings during development, and (2) as conceptual inspiration for a deliberate, explicitly-chosen labeled/reporter-tag sensor format if a fully label-free approach proves insufficiently sensitive — a different design decision, not a minor add-on.</w:t>
      </w:r>
    </w:p>
    <w:p>
      <w:pPr>
        <w:pStyle w:val="Heading1"/>
      </w:pPr>
      <w:r>
        <w:t>17. Clinical Sample Detection (Blood/Serum/CSF)</w:t>
      </w:r>
    </w:p>
    <w:p>
      <w:pPr>
        <w:spacing w:after="120"/>
      </w:pPr>
      <w:r>
        <w:rPr>
          <w:b w:val="0"/>
          <w:i w:val="0"/>
        </w:rPr>
        <w:t>This section is critical given the project's stated sepsis-diagnostics goal, and the prompt's explicit instruction not to assume buffer/water success predicts blood/serum success. It does not.</w:t>
      </w:r>
    </w:p>
    <w:p>
      <w:pPr>
        <w:pStyle w:val="Heading2"/>
      </w:pPr>
      <w:r>
        <w:t>17.1 What Has Been Measured, Where</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736"/>
            <w:shd w:val="clear" w:fill="B56A0A"/>
          </w:tcPr>
          <w:p>
            <w:r/>
            <w:r>
              <w:rPr>
                <w:b/>
                <w:color w:val="FFFFFF"/>
                <w:sz w:val="18"/>
              </w:rPr>
              <w:t>Matrix</w:t>
            </w:r>
          </w:p>
        </w:tc>
        <w:tc>
          <w:tcPr>
            <w:tcW w:type="dxa" w:w="4464"/>
            <w:shd w:val="clear" w:fill="B56A0A"/>
          </w:tcPr>
          <w:p>
            <w:r/>
            <w:r>
              <w:rPr>
                <w:b/>
                <w:color w:val="FFFFFF"/>
                <w:sz w:val="18"/>
              </w:rPr>
              <w:t>Concentration Range Found</w:t>
            </w:r>
          </w:p>
        </w:tc>
        <w:tc>
          <w:tcPr>
            <w:tcW w:type="dxa" w:w="2304"/>
            <w:shd w:val="clear" w:fill="B56A0A"/>
          </w:tcPr>
          <w:p>
            <w:r/>
            <w:r>
              <w:rPr>
                <w:b/>
                <w:color w:val="FFFFFF"/>
                <w:sz w:val="18"/>
              </w:rPr>
              <w:t>Population</w:t>
            </w:r>
          </w:p>
        </w:tc>
        <w:tc>
          <w:tcPr>
            <w:tcW w:type="dxa" w:w="3168"/>
            <w:shd w:val="clear" w:fill="B56A0A"/>
          </w:tcPr>
          <w:p>
            <w:r/>
            <w:r>
              <w:rPr>
                <w:b/>
                <w:color w:val="FFFFFF"/>
                <w:sz w:val="18"/>
              </w:rPr>
              <w:t>Source</w:t>
            </w:r>
          </w:p>
        </w:tc>
      </w:tr>
      <w:tr>
        <w:tc>
          <w:tcPr>
            <w:tcW w:type="dxa" w:w="2736"/>
          </w:tcPr>
          <w:p>
            <w:r/>
            <w:r>
              <w:rPr>
                <w:sz w:val="15"/>
              </w:rPr>
              <w:t>Septic synovial fluid</w:t>
            </w:r>
          </w:p>
        </w:tc>
        <w:tc>
          <w:tcPr>
            <w:tcW w:type="dxa" w:w="4464"/>
          </w:tcPr>
          <w:p>
            <w:r/>
            <w:r>
              <w:rPr>
                <w:sz w:val="15"/>
              </w:rPr>
              <w:t>&lt;250-1,700 ng/mL; absent in aseptic fluid; detected in some culture-negative-but-clinically-infected cases (outperforming culture)</w:t>
            </w:r>
          </w:p>
        </w:tc>
        <w:tc>
          <w:tcPr>
            <w:tcW w:type="dxa" w:w="2304"/>
          </w:tcPr>
          <w:p>
            <w:r/>
            <w:r>
              <w:rPr>
                <w:sz w:val="15"/>
              </w:rPr>
              <w:t>Confirmed septic vs. aseptic joints</w:t>
            </w:r>
          </w:p>
        </w:tc>
        <w:tc>
          <w:tcPr>
            <w:tcW w:type="dxa" w:w="3168"/>
          </w:tcPr>
          <w:p>
            <w:r/>
            <w:r>
              <w:rPr>
                <w:sz w:val="15"/>
              </w:rPr>
              <w:t>Christensson et al., Arthritis Rheum. 1989; Lehtonen et al., Br. J. Rheumatol. 1994</w:t>
            </w:r>
          </w:p>
        </w:tc>
      </w:tr>
      <w:tr>
        <w:tc>
          <w:tcPr>
            <w:tcW w:type="dxa" w:w="2736"/>
            <w:shd w:val="clear" w:fill="FBF0DE"/>
          </w:tcPr>
          <w:p>
            <w:r/>
            <w:r>
              <w:rPr>
                <w:sz w:val="15"/>
              </w:rPr>
              <w:t>CSF, pneumococcal meningitis</w:t>
            </w:r>
          </w:p>
        </w:tc>
        <w:tc>
          <w:tcPr>
            <w:tcW w:type="dxa" w:w="4464"/>
            <w:shd w:val="clear" w:fill="FBF0DE"/>
          </w:tcPr>
          <w:p>
            <w:r/>
            <w:r>
              <w:rPr>
                <w:sz w:val="15"/>
              </w:rPr>
              <w:t>6.8-3,900 ng/mL; essentially absent in normal tissue at assay limit</w:t>
            </w:r>
          </w:p>
        </w:tc>
        <w:tc>
          <w:tcPr>
            <w:tcW w:type="dxa" w:w="2304"/>
            <w:shd w:val="clear" w:fill="FBF0DE"/>
          </w:tcPr>
          <w:p>
            <w:r/>
            <w:r>
              <w:rPr>
                <w:sz w:val="15"/>
              </w:rPr>
              <w:t>Confirmed meningitis vs. healthy</w:t>
            </w:r>
          </w:p>
        </w:tc>
        <w:tc>
          <w:tcPr>
            <w:tcW w:type="dxa" w:w="3168"/>
            <w:shd w:val="clear" w:fill="FBF0DE"/>
          </w:tcPr>
          <w:p>
            <w:r/>
            <w:r>
              <w:rPr>
                <w:sz w:val="15"/>
              </w:rPr>
              <w:t>Sud et al., Infect. Immun. 2000, DOI 10.1128/iai.68.8.4688-4698.2000</w:t>
            </w:r>
          </w:p>
        </w:tc>
      </w:tr>
      <w:tr>
        <w:tc>
          <w:tcPr>
            <w:tcW w:type="dxa" w:w="2736"/>
          </w:tcPr>
          <w:p>
            <w:r/>
            <w:r>
              <w:rPr>
                <w:sz w:val="15"/>
              </w:rPr>
              <w:t>Healthy human serum (soluble MurN)</w:t>
            </w:r>
          </w:p>
        </w:tc>
        <w:tc>
          <w:tcPr>
            <w:tcW w:type="dxa" w:w="4464"/>
          </w:tcPr>
          <w:p>
            <w:r/>
            <w:r>
              <w:rPr>
                <w:sz w:val="15"/>
              </w:rPr>
              <w:t>~200 nM average (2025 study); or below ~125 ng/mL detection limit (1991 study, i.e. "not detected" at that era's sensitivity)</w:t>
            </w:r>
          </w:p>
        </w:tc>
        <w:tc>
          <w:tcPr>
            <w:tcW w:type="dxa" w:w="2304"/>
          </w:tcPr>
          <w:p>
            <w:r/>
            <w:r>
              <w:rPr>
                <w:sz w:val="15"/>
              </w:rPr>
              <w:t>Healthy</w:t>
            </w:r>
          </w:p>
        </w:tc>
        <w:tc>
          <w:tcPr>
            <w:tcW w:type="dxa" w:w="3168"/>
          </w:tcPr>
          <w:p>
            <w:r/>
            <w:r>
              <w:rPr>
                <w:sz w:val="15"/>
              </w:rPr>
              <w:t>Nat. Commun. 2025, DOI 10.1038/s41467-025-60678-5; Fox &amp; Fox, Infect. Immun. ~1991</w:t>
            </w:r>
          </w:p>
        </w:tc>
      </w:tr>
      <w:tr>
        <w:tc>
          <w:tcPr>
            <w:tcW w:type="dxa" w:w="2736"/>
            <w:shd w:val="clear" w:fill="FBF0DE"/>
          </w:tcPr>
          <w:p>
            <w:r/>
            <w:r>
              <w:rPr>
                <w:sz w:val="15"/>
              </w:rPr>
              <w:t>Human spleen tissue</w:t>
            </w:r>
          </w:p>
        </w:tc>
        <w:tc>
          <w:tcPr>
            <w:tcW w:type="dxa" w:w="4464"/>
            <w:shd w:val="clear" w:fill="FBF0DE"/>
          </w:tcPr>
          <w:p>
            <w:r/>
            <w:r>
              <w:rPr>
                <w:sz w:val="15"/>
              </w:rPr>
              <w:t>Not generally present (2002 study, GC-MS/MS); earlier 1995 study using cruder methods found mmol-range signal with ~4x disagreement across three assay methods</w:t>
            </w:r>
          </w:p>
        </w:tc>
        <w:tc>
          <w:tcPr>
            <w:tcW w:type="dxa" w:w="2304"/>
            <w:shd w:val="clear" w:fill="FBF0DE"/>
          </w:tcPr>
          <w:p>
            <w:r/>
            <w:r>
              <w:rPr>
                <w:sz w:val="15"/>
              </w:rPr>
              <w:t>Presumed non-septic autopsy/surgical</w:t>
            </w:r>
          </w:p>
        </w:tc>
        <w:tc>
          <w:tcPr>
            <w:tcW w:type="dxa" w:w="3168"/>
            <w:shd w:val="clear" w:fill="FBF0DE"/>
          </w:tcPr>
          <w:p>
            <w:r/>
            <w:r>
              <w:rPr>
                <w:sz w:val="15"/>
              </w:rPr>
              <w:t>Infect. Immun. 2002, DOI 10.1128/iai.70.2.741-748.2002; Infect. Immun. 1995</w:t>
            </w:r>
          </w:p>
        </w:tc>
      </w:tr>
      <w:tr>
        <w:tc>
          <w:tcPr>
            <w:tcW w:type="dxa" w:w="2736"/>
          </w:tcPr>
          <w:p>
            <w:r/>
            <w:r>
              <w:rPr>
                <w:sz w:val="15"/>
              </w:rPr>
              <w:t>Peripheral blood leukocytes (cell pellet, not plasma)</w:t>
            </w:r>
          </w:p>
        </w:tc>
        <w:tc>
          <w:tcPr>
            <w:tcW w:type="dxa" w:w="4464"/>
          </w:tcPr>
          <w:p>
            <w:r/>
            <w:r>
              <w:rPr>
                <w:sz w:val="15"/>
              </w:rPr>
              <w:t>Detected in 21/98 healthy adults (blood cultures simultaneously negative); prevalence declines with age (~60% in youngest group to &lt;5% over age 40)</w:t>
            </w:r>
          </w:p>
        </w:tc>
        <w:tc>
          <w:tcPr>
            <w:tcW w:type="dxa" w:w="2304"/>
          </w:tcPr>
          <w:p>
            <w:r/>
            <w:r>
              <w:rPr>
                <w:sz w:val="15"/>
              </w:rPr>
              <w:t>Healthy adults, age-stratified</w:t>
            </w:r>
          </w:p>
        </w:tc>
        <w:tc>
          <w:tcPr>
            <w:tcW w:type="dxa" w:w="3168"/>
          </w:tcPr>
          <w:p>
            <w:r/>
            <w:r>
              <w:rPr>
                <w:sz w:val="15"/>
              </w:rPr>
              <w:t>J. Infect. Dis. 1995; Eur. J. Clin. Invest. 1997</w:t>
            </w:r>
          </w:p>
        </w:tc>
      </w:tr>
      <w:tr>
        <w:tc>
          <w:tcPr>
            <w:tcW w:type="dxa" w:w="2736"/>
            <w:shd w:val="clear" w:fill="FBF0DE"/>
          </w:tcPr>
          <w:p>
            <w:r/>
            <w:r>
              <w:rPr>
                <w:sz w:val="15"/>
              </w:rPr>
              <w:t>SEPTIC HUMAN BLOOD/SERUM</w:t>
            </w:r>
          </w:p>
        </w:tc>
        <w:tc>
          <w:tcPr>
            <w:tcW w:type="dxa" w:w="4464"/>
            <w:shd w:val="clear" w:fill="FBF0DE"/>
          </w:tcPr>
          <w:p>
            <w:r/>
            <w:r>
              <w:rPr>
                <w:sz w:val="15"/>
              </w:rPr>
              <w:t>NO PUBLISHED DATA FOUND</w:t>
            </w:r>
          </w:p>
        </w:tc>
        <w:tc>
          <w:tcPr>
            <w:tcW w:type="dxa" w:w="2304"/>
            <w:shd w:val="clear" w:fill="FBF0DE"/>
          </w:tcPr>
          <w:p>
            <w:r/>
            <w:r>
              <w:rPr>
                <w:sz w:val="15"/>
              </w:rPr>
              <w:t>N/A</w:t>
            </w:r>
          </w:p>
        </w:tc>
        <w:tc>
          <w:tcPr>
            <w:tcW w:type="dxa" w:w="3168"/>
            <w:shd w:val="clear" w:fill="FBF0DE"/>
          </w:tcPr>
          <w:p>
            <w:r/>
            <w:r>
              <w:rPr>
                <w:sz w:val="15"/>
              </w:rPr>
              <w:t>Confirmed literature gap — searched exhaustively, not located</w:t>
            </w:r>
          </w:p>
        </w:tc>
      </w:tr>
    </w:tbl>
    <w:p>
      <w:pPr>
        <w:spacing w:after="40"/>
      </w:pPr>
    </w:p>
    <w:p>
      <w:pPr>
        <w:spacing w:after="160"/>
        <w:ind w:left="360"/>
      </w:pPr>
      <w:r>
        <w:rPr>
          <w:i/>
          <w:color w:val="555555"/>
          <w:sz w:val="19"/>
        </w:rPr>
        <w:t>The absence of a septic-blood muramic acid dataset is a genuine, confirmed gap after exhaustive searching, not a limitation of this search — multiple targeted queries (muramic acid + sepsis / + blood / + serum / + plasma) consistently surfaced the same synovial-fluid/CSF/leukocyte/occupational-exposure literature rather than any blood-sepsis dataset. This is simultaneously the project's biggest open question and its strongest novelty claim.</w:t>
      </w:r>
    </w:p>
    <w:p>
      <w:pPr>
        <w:pStyle w:val="Heading2"/>
      </w:pPr>
      <w:r>
        <w:t>17.2 Is Free NAM the Right Framing for a Blood Assay?</w:t>
      </w:r>
    </w:p>
    <w:p>
      <w:pPr>
        <w:spacing w:after="120"/>
      </w:pPr>
      <w:r>
        <w:rPr>
          <w:b w:val="0"/>
          <w:i w:val="0"/>
        </w:rPr>
        <w:t>Likely not, without modification. Multiple converging lines of evidence indicate most physiological muramic acid exists bound within intact or partially degraded peptidoglycan/muropeptide fragments, not as the free monomer: (1) essentially all chromatographic/MS quantification protocols for muramic acid from any real biological sample begin with acid hydrolysis to release the monomer from the polymer, treated as mandatory rather than optional field practice; (2) a GI-tract muramidase patent explicitly distinguishes "total" vs. "soluble/free" muramic acid pools, using their ratio as a readout of enzymatic peptidoglycan hydrolysis activity; (3) the 1991 serum study found no detectable natural muramyl peptides in normal serum, consistent with free/small-fragment muramic acid being minimal until released by hydrolysis or degradation. Practical implication: this project's current experiments (detecting free NAM spiked into clean buffer) are a reasonable Phase 1 proof-of-concept, but a real clinical assay will very likely need an explicit acid-hydrolysis or enzymatic-digestion step upstream of detection, regardless of which sensing technology (SERS, electrochemical, or otherwise) is ultimately chosen — this is a universal design requirement, not specific to any one option in Section 27.</w:t>
      </w:r>
    </w:p>
    <w:p>
      <w:pPr>
        <w:pStyle w:val="Heading2"/>
      </w:pPr>
      <w:r>
        <w:t>17.3 Matrix Interferences Moving from Buffer to Blood/Serum</w:t>
      </w:r>
    </w:p>
    <w:p>
      <w:pPr>
        <w:pStyle w:val="ListBullet"/>
        <w:spacing w:after="60"/>
      </w:pPr>
      <w:r>
        <w:rPr>
          <w:b/>
        </w:rPr>
        <w:t xml:space="preserve">Structurally similar amino sugars: </w:t>
      </w:r>
      <w:r>
        <w:t>glucosamine, galactosamine, and mannosamine are abundant in blood as glycoprotein/glycosaminoglycan constituents and co-elute closely with muramic acid on HPLC (retention times within ~1 minute on one tested method); since muramic acid is chemically just glucosamine plus a 3-O-lactyl ether, vibrational (Raman) spectra will likely share most ring and amide-related bands, risking the same interference for a label-free spectroscopic approach as for chromatography.</w:t>
      </w:r>
    </w:p>
    <w:p>
      <w:pPr>
        <w:pStyle w:val="ListBullet"/>
        <w:spacing w:after="60"/>
      </w:pPr>
      <w:r>
        <w:rPr>
          <w:b/>
        </w:rPr>
        <w:t xml:space="preserve">Serum protein background: </w:t>
      </w:r>
      <w:r>
        <w:t>~60-80 mg/mL total protein (orders of magnitude above the expected ng/mL-ug/mL analyte range) — a generic, well-known fouling problem for any nanoparticle/SERS or electrode-based platform moved from buffer into serum, requiring an explicit mitigation strategy (protein depletion, antifouling PEG/zwitterionic coatings, or molecular imprinting selectivity).</w:t>
      </w:r>
    </w:p>
    <w:p>
      <w:pPr>
        <w:pStyle w:val="ListBullet"/>
        <w:spacing w:after="60"/>
      </w:pPr>
      <w:r>
        <w:rPr>
          <w:b/>
        </w:rPr>
        <w:t xml:space="preserve">Rapid clearance kinetics: </w:t>
      </w:r>
      <w:r>
        <w:t>exogenous muramyl peptide is cleared quickly from circulation after introduction, implying circulating levels reflect a dynamic balance between bacterial release and host clearance rather than a simple accumulating pool — argues for near-real-time (point-of-care) measurement rather than delayed lab analysis, a point in favor of a biosensor over a slow reference assay.</w:t>
      </w:r>
    </w:p>
    <w:p>
      <w:pPr>
        <w:pStyle w:val="ListBullet"/>
        <w:spacing w:after="60"/>
      </w:pPr>
      <w:r>
        <w:rPr>
          <w:b/>
        </w:rPr>
        <w:t xml:space="preserve">Assay/reagent artifacts: </w:t>
      </w:r>
      <w:r>
        <w:t>at least one paper documents that a common antibiotic (streptomycin) can introduce artifactual signal in muramic acid assays — directly relevant given a septic ICU population is frequently already on antibiotics by the time blood is drawn.</w:t>
      </w:r>
    </w:p>
    <w:p>
      <w:pPr>
        <w:pStyle w:val="ListBullet"/>
        <w:spacing w:after="60"/>
      </w:pPr>
      <w:r>
        <w:rPr>
          <w:b/>
        </w:rPr>
        <w:t xml:space="preserve">Background muramic acid in healthy leukocytes: </w:t>
      </w:r>
      <w:r>
        <w:t>detectable in a meaningful fraction of healthy people's blood cells (declining with age), meaning a sensor measuring whole blood or a poorly-cleared cellular fraction risks a specific, literature-documented false-positive mechanism unrelated to acute infection — arguing for plasma/serum (cell-free) rather than whole-blood sample type.</w:t>
      </w:r>
    </w:p>
    <w:p>
      <w:pPr>
        <w:pStyle w:val="Heading2"/>
      </w:pPr>
      <w:r>
        <w:t>17.4 Is There Precedent That Muramic Acid Measurement Is Clinically Useful?</w:t>
      </w:r>
    </w:p>
    <w:p>
      <w:pPr>
        <w:spacing w:after="120"/>
      </w:pPr>
      <w:r>
        <w:rPr>
          <w:b w:val="0"/>
          <w:i w:val="0"/>
        </w:rPr>
        <w:t>Yes, in CSF and synovial fluid specifically — both show clean, literature-documented separation between infected and non-infected samples, including cases where muramic acid measurement caught infection that culture missed (culture-negative but clinically and muramic-acid-positive cases in both the synovial-fluid and meningitis literature). No blood/serum precedent exists, and no paper establishes a quantitative dose-response correlation with bacterial load in any matrix — both should be stated as open questions if this project claims eventual semi-quantitative severity staging rather than binary infected/not-infected screening. No muramic-acid-plus-SERS paper was found at all, consistent with the companion review — this supports the project's novelty claim but also means no existing SERS-in-serum interference dataset for this specific analyte exists to lean on; analogies must be drawn from other small-molecule-in-serum SERS work.</w:t>
      </w:r>
    </w:p>
    <w:p>
      <w:pPr>
        <w:pStyle w:val="Heading1"/>
      </w:pPr>
      <w:r>
        <w:t>18. Comprehensive Technology Comparison</w:t>
      </w:r>
    </w:p>
    <w:p>
      <w:pPr>
        <w:spacing w:after="160"/>
        <w:ind w:left="360"/>
      </w:pPr>
      <w:r>
        <w:rPr>
          <w:i/>
          <w:color w:val="555555"/>
          <w:sz w:val="19"/>
        </w:rPr>
        <w:t>"Direct NAM?" uses the Category system from Sections 4-5. Where NAM-specific data does not exist, figures are for the closest validated analogue and are marked (analog).</w:t>
      </w:r>
    </w:p>
    <w:tbl>
      <w:tblPr>
        <w:tblStyle w:val="TableGrid"/>
        <w:tblW w:type="auto" w:w="0"/>
        <w:jc w:val="center"/>
        <w:tblLayout w:type="autofit"/>
        <w:tblLook w:firstColumn="1" w:firstRow="1" w:lastColumn="0" w:lastRow="0" w:noHBand="0" w:noVBand="1" w:val="04A0"/>
      </w:tblPr>
      <w:tblGrid>
        <w:gridCol w:w="1649"/>
        <w:gridCol w:w="1649"/>
        <w:gridCol w:w="1649"/>
        <w:gridCol w:w="1649"/>
        <w:gridCol w:w="1649"/>
        <w:gridCol w:w="1649"/>
      </w:tblGrid>
      <w:tr>
        <w:tc>
          <w:tcPr>
            <w:tcW w:type="dxa" w:w="2448"/>
            <w:shd w:val="clear" w:fill="B56A0A"/>
          </w:tcPr>
          <w:p>
            <w:r/>
            <w:r>
              <w:rPr>
                <w:b/>
                <w:color w:val="FFFFFF"/>
                <w:sz w:val="18"/>
              </w:rPr>
              <w:t>Method</w:t>
            </w:r>
          </w:p>
        </w:tc>
        <w:tc>
          <w:tcPr>
            <w:tcW w:type="dxa" w:w="2160"/>
            <w:shd w:val="clear" w:fill="B56A0A"/>
          </w:tcPr>
          <w:p>
            <w:r/>
            <w:r>
              <w:rPr>
                <w:b/>
                <w:color w:val="FFFFFF"/>
                <w:sz w:val="18"/>
              </w:rPr>
              <w:t>Direct NAM?</w:t>
            </w:r>
          </w:p>
        </w:tc>
        <w:tc>
          <w:tcPr>
            <w:tcW w:type="dxa" w:w="2304"/>
            <w:shd w:val="clear" w:fill="B56A0A"/>
          </w:tcPr>
          <w:p>
            <w:r/>
            <w:r>
              <w:rPr>
                <w:b/>
                <w:color w:val="FFFFFF"/>
                <w:sz w:val="18"/>
              </w:rPr>
              <w:t>LOD</w:t>
            </w:r>
          </w:p>
        </w:tc>
        <w:tc>
          <w:tcPr>
            <w:tcW w:type="dxa" w:w="2016"/>
            <w:shd w:val="clear" w:fill="B56A0A"/>
          </w:tcPr>
          <w:p>
            <w:r/>
            <w:r>
              <w:rPr>
                <w:b/>
                <w:color w:val="FFFFFF"/>
                <w:sz w:val="18"/>
              </w:rPr>
              <w:t>Sample</w:t>
            </w:r>
          </w:p>
        </w:tc>
        <w:tc>
          <w:tcPr>
            <w:tcW w:type="dxa" w:w="2304"/>
            <w:shd w:val="clear" w:fill="B56A0A"/>
          </w:tcPr>
          <w:p>
            <w:r/>
            <w:r>
              <w:rPr>
                <w:b/>
                <w:color w:val="FFFFFF"/>
                <w:sz w:val="18"/>
              </w:rPr>
              <w:t>Selectivity</w:t>
            </w:r>
          </w:p>
        </w:tc>
        <w:tc>
          <w:tcPr>
            <w:tcW w:type="dxa" w:w="1872"/>
            <w:shd w:val="clear" w:fill="B56A0A"/>
          </w:tcPr>
          <w:p>
            <w:r/>
            <w:r>
              <w:rPr>
                <w:b/>
                <w:color w:val="FFFFFF"/>
                <w:sz w:val="18"/>
              </w:rPr>
              <w:t>Portable?</w:t>
            </w:r>
          </w:p>
        </w:tc>
      </w:tr>
      <w:tr>
        <w:tc>
          <w:tcPr>
            <w:tcW w:type="dxa" w:w="2448"/>
          </w:tcPr>
          <w:p>
            <w:r/>
            <w:r>
              <w:rPr>
                <w:sz w:val="14"/>
              </w:rPr>
              <w:t>Conventional Raman</w:t>
            </w:r>
          </w:p>
        </w:tc>
        <w:tc>
          <w:tcPr>
            <w:tcW w:type="dxa" w:w="2160"/>
          </w:tcPr>
          <w:p>
            <w:r/>
            <w:r>
              <w:rPr>
                <w:sz w:val="14"/>
              </w:rPr>
              <w:t>No data</w:t>
            </w:r>
          </w:p>
        </w:tc>
        <w:tc>
          <w:tcPr>
            <w:tcW w:type="dxa" w:w="2304"/>
          </w:tcPr>
          <w:p>
            <w:r/>
            <w:r>
              <w:rPr>
                <w:sz w:val="14"/>
              </w:rPr>
              <w:t>Not established</w:t>
            </w:r>
          </w:p>
        </w:tc>
        <w:tc>
          <w:tcPr>
            <w:tcW w:type="dxa" w:w="2016"/>
          </w:tcPr>
          <w:p>
            <w:r/>
            <w:r>
              <w:rPr>
                <w:sz w:val="14"/>
              </w:rPr>
              <w:t>Powder/solid</w:t>
            </w:r>
          </w:p>
        </w:tc>
        <w:tc>
          <w:tcPr>
            <w:tcW w:type="dxa" w:w="2304"/>
          </w:tcPr>
          <w:p>
            <w:r/>
            <w:r>
              <w:rPr>
                <w:sz w:val="14"/>
              </w:rPr>
              <w:t>Low (no enhancement)</w:t>
            </w:r>
          </w:p>
        </w:tc>
        <w:tc>
          <w:tcPr>
            <w:tcW w:type="dxa" w:w="1872"/>
          </w:tcPr>
          <w:p>
            <w:r/>
            <w:r>
              <w:rPr>
                <w:sz w:val="14"/>
              </w:rPr>
              <w:t>Yes (compact spectrometers exist)</w:t>
            </w:r>
          </w:p>
        </w:tc>
      </w:tr>
      <w:tr>
        <w:tc>
          <w:tcPr>
            <w:tcW w:type="dxa" w:w="2448"/>
            <w:shd w:val="clear" w:fill="FBF0DE"/>
          </w:tcPr>
          <w:p>
            <w:r/>
            <w:r>
              <w:rPr>
                <w:sz w:val="14"/>
              </w:rPr>
              <w:t>SERS (bare, no capture)</w:t>
            </w:r>
          </w:p>
        </w:tc>
        <w:tc>
          <w:tcPr>
            <w:tcW w:type="dxa" w:w="2160"/>
            <w:shd w:val="clear" w:fill="FBF0DE"/>
          </w:tcPr>
          <w:p>
            <w:r/>
            <w:r>
              <w:rPr>
                <w:sz w:val="14"/>
              </w:rPr>
              <w:t>No (Cat. 3 only, inferred)</w:t>
            </w:r>
          </w:p>
        </w:tc>
        <w:tc>
          <w:tcPr>
            <w:tcW w:type="dxa" w:w="2304"/>
            <w:shd w:val="clear" w:fill="FBF0DE"/>
          </w:tcPr>
          <w:p>
            <w:r/>
            <w:r>
              <w:rPr>
                <w:sz w:val="14"/>
              </w:rPr>
              <w:t>Not established for NAM</w:t>
            </w:r>
          </w:p>
        </w:tc>
        <w:tc>
          <w:tcPr>
            <w:tcW w:type="dxa" w:w="2016"/>
            <w:shd w:val="clear" w:fill="FBF0DE"/>
          </w:tcPr>
          <w:p>
            <w:r/>
            <w:r>
              <w:rPr>
                <w:sz w:val="14"/>
              </w:rPr>
              <w:t>Buffer (this project)</w:t>
            </w:r>
          </w:p>
        </w:tc>
        <w:tc>
          <w:tcPr>
            <w:tcW w:type="dxa" w:w="2304"/>
            <w:shd w:val="clear" w:fill="FBF0DE"/>
          </w:tcPr>
          <w:p>
            <w:r/>
            <w:r>
              <w:rPr>
                <w:sz w:val="14"/>
              </w:rPr>
              <w:t>Low (no capture chemistry)</w:t>
            </w:r>
          </w:p>
        </w:tc>
        <w:tc>
          <w:tcPr>
            <w:tcW w:type="dxa" w:w="1872"/>
            <w:shd w:val="clear" w:fill="FBF0DE"/>
          </w:tcPr>
          <w:p>
            <w:r/>
            <w:r>
              <w:rPr>
                <w:sz w:val="14"/>
              </w:rPr>
              <w:t>Yes</w:t>
            </w:r>
          </w:p>
        </w:tc>
      </w:tr>
      <w:tr>
        <w:tc>
          <w:tcPr>
            <w:tcW w:type="dxa" w:w="2448"/>
          </w:tcPr>
          <w:p>
            <w:r/>
            <w:r>
              <w:rPr>
                <w:sz w:val="14"/>
              </w:rPr>
              <w:t>SERS + boronic acid (proposed)</w:t>
            </w:r>
          </w:p>
        </w:tc>
        <w:tc>
          <w:tcPr>
            <w:tcW w:type="dxa" w:w="2160"/>
          </w:tcPr>
          <w:p>
            <w:r/>
            <w:r>
              <w:rPr>
                <w:sz w:val="14"/>
              </w:rPr>
              <w:t>None yet — novel</w:t>
            </w:r>
          </w:p>
        </w:tc>
        <w:tc>
          <w:tcPr>
            <w:tcW w:type="dxa" w:w="2304"/>
          </w:tcPr>
          <w:p>
            <w:r/>
            <w:r>
              <w:rPr>
                <w:sz w:val="14"/>
              </w:rPr>
              <w:t>Untested</w:t>
            </w:r>
          </w:p>
        </w:tc>
        <w:tc>
          <w:tcPr>
            <w:tcW w:type="dxa" w:w="2016"/>
          </w:tcPr>
          <w:p>
            <w:r/>
            <w:r>
              <w:rPr>
                <w:sz w:val="14"/>
              </w:rPr>
              <w:t>Buffer -&gt; eventual serum</w:t>
            </w:r>
          </w:p>
        </w:tc>
        <w:tc>
          <w:tcPr>
            <w:tcW w:type="dxa" w:w="2304"/>
          </w:tcPr>
          <w:p>
            <w:r/>
            <w:r>
              <w:rPr>
                <w:sz w:val="14"/>
              </w:rPr>
              <w:t>Moderate-high (diol-selective)</w:t>
            </w:r>
          </w:p>
        </w:tc>
        <w:tc>
          <w:tcPr>
            <w:tcW w:type="dxa" w:w="1872"/>
          </w:tcPr>
          <w:p>
            <w:r/>
            <w:r>
              <w:rPr>
                <w:sz w:val="14"/>
              </w:rPr>
              <w:t>Yes</w:t>
            </w:r>
          </w:p>
        </w:tc>
      </w:tr>
      <w:tr>
        <w:tc>
          <w:tcPr>
            <w:tcW w:type="dxa" w:w="2448"/>
            <w:shd w:val="clear" w:fill="FBF0DE"/>
          </w:tcPr>
          <w:p>
            <w:r/>
            <w:r>
              <w:rPr>
                <w:sz w:val="14"/>
              </w:rPr>
              <w:t>GC-MS (TMS/MAME)</w:t>
            </w:r>
          </w:p>
        </w:tc>
        <w:tc>
          <w:tcPr>
            <w:tcW w:type="dxa" w:w="2160"/>
            <w:shd w:val="clear" w:fill="FBF0DE"/>
          </w:tcPr>
          <w:p>
            <w:r/>
            <w:r>
              <w:rPr>
                <w:sz w:val="14"/>
              </w:rPr>
              <w:t>YES (Cat. 1)</w:t>
            </w:r>
          </w:p>
        </w:tc>
        <w:tc>
          <w:tcPr>
            <w:tcW w:type="dxa" w:w="2304"/>
            <w:shd w:val="clear" w:fill="FBF0DE"/>
          </w:tcPr>
          <w:p>
            <w:r/>
            <w:r>
              <w:rPr>
                <w:sz w:val="14"/>
              </w:rPr>
              <w:t>0.5-1.1 ng/filter; low pg (NCI mode)</w:t>
            </w:r>
          </w:p>
        </w:tc>
        <w:tc>
          <w:tcPr>
            <w:tcW w:type="dxa" w:w="2016"/>
            <w:shd w:val="clear" w:fill="FBF0DE"/>
          </w:tcPr>
          <w:p>
            <w:r/>
            <w:r>
              <w:rPr>
                <w:sz w:val="14"/>
              </w:rPr>
              <w:t>Tissue, dust, biofluid (with hydrolysis)</w:t>
            </w:r>
          </w:p>
        </w:tc>
        <w:tc>
          <w:tcPr>
            <w:tcW w:type="dxa" w:w="2304"/>
            <w:shd w:val="clear" w:fill="FBF0DE"/>
          </w:tcPr>
          <w:p>
            <w:r/>
            <w:r>
              <w:rPr>
                <w:sz w:val="14"/>
              </w:rPr>
              <w:t>High (diagnostic ion m/z 185)</w:t>
            </w:r>
          </w:p>
        </w:tc>
        <w:tc>
          <w:tcPr>
            <w:tcW w:type="dxa" w:w="1872"/>
            <w:shd w:val="clear" w:fill="FBF0DE"/>
          </w:tcPr>
          <w:p>
            <w:r/>
            <w:r>
              <w:rPr>
                <w:sz w:val="14"/>
              </w:rPr>
              <w:t>No</w:t>
            </w:r>
          </w:p>
        </w:tc>
      </w:tr>
      <w:tr>
        <w:tc>
          <w:tcPr>
            <w:tcW w:type="dxa" w:w="2448"/>
          </w:tcPr>
          <w:p>
            <w:r/>
            <w:r>
              <w:rPr>
                <w:sz w:val="14"/>
              </w:rPr>
              <w:t>LC-MS/MS (HILIC)</w:t>
            </w:r>
          </w:p>
        </w:tc>
        <w:tc>
          <w:tcPr>
            <w:tcW w:type="dxa" w:w="2160"/>
          </w:tcPr>
          <w:p>
            <w:r/>
            <w:r>
              <w:rPr>
                <w:sz w:val="14"/>
              </w:rPr>
              <w:t>YES (Cat. 1)</w:t>
            </w:r>
          </w:p>
        </w:tc>
        <w:tc>
          <w:tcPr>
            <w:tcW w:type="dxa" w:w="2304"/>
          </w:tcPr>
          <w:p>
            <w:r/>
            <w:r>
              <w:rPr>
                <w:sz w:val="14"/>
              </w:rPr>
              <w:t>Low ug/L (~5-20 ng/mL eq.)</w:t>
            </w:r>
          </w:p>
        </w:tc>
        <w:tc>
          <w:tcPr>
            <w:tcW w:type="dxa" w:w="2016"/>
          </w:tcPr>
          <w:p>
            <w:r/>
            <w:r>
              <w:rPr>
                <w:sz w:val="14"/>
              </w:rPr>
              <w:t>Soil, gut, serum (MurN)</w:t>
            </w:r>
          </w:p>
        </w:tc>
        <w:tc>
          <w:tcPr>
            <w:tcW w:type="dxa" w:w="2304"/>
          </w:tcPr>
          <w:p>
            <w:r/>
            <w:r>
              <w:rPr>
                <w:sz w:val="14"/>
              </w:rPr>
              <w:t>High (MRM transitions)</w:t>
            </w:r>
          </w:p>
        </w:tc>
        <w:tc>
          <w:tcPr>
            <w:tcW w:type="dxa" w:w="1872"/>
          </w:tcPr>
          <w:p>
            <w:r/>
            <w:r>
              <w:rPr>
                <w:sz w:val="14"/>
              </w:rPr>
              <w:t>No</w:t>
            </w:r>
          </w:p>
        </w:tc>
      </w:tr>
      <w:tr>
        <w:tc>
          <w:tcPr>
            <w:tcW w:type="dxa" w:w="2448"/>
            <w:shd w:val="clear" w:fill="FBF0DE"/>
          </w:tcPr>
          <w:p>
            <w:r/>
            <w:r>
              <w:rPr>
                <w:sz w:val="14"/>
              </w:rPr>
              <w:t>HPAEC-PAD</w:t>
            </w:r>
          </w:p>
        </w:tc>
        <w:tc>
          <w:tcPr>
            <w:tcW w:type="dxa" w:w="2160"/>
            <w:shd w:val="clear" w:fill="FBF0DE"/>
          </w:tcPr>
          <w:p>
            <w:r/>
            <w:r>
              <w:rPr>
                <w:sz w:val="14"/>
              </w:rPr>
              <w:t>Partial (amino sugars generally)</w:t>
            </w:r>
          </w:p>
        </w:tc>
        <w:tc>
          <w:tcPr>
            <w:tcW w:type="dxa" w:w="2304"/>
            <w:shd w:val="clear" w:fill="FBF0DE"/>
          </w:tcPr>
          <w:p>
            <w:r/>
            <w:r>
              <w:rPr>
                <w:sz w:val="14"/>
              </w:rPr>
              <w:t>~1-10 umol/L</w:t>
            </w:r>
          </w:p>
        </w:tc>
        <w:tc>
          <w:tcPr>
            <w:tcW w:type="dxa" w:w="2016"/>
            <w:shd w:val="clear" w:fill="FBF0DE"/>
          </w:tcPr>
          <w:p>
            <w:r/>
            <w:r>
              <w:rPr>
                <w:sz w:val="14"/>
              </w:rPr>
              <w:t>Hydrolysates</w:t>
            </w:r>
          </w:p>
        </w:tc>
        <w:tc>
          <w:tcPr>
            <w:tcW w:type="dxa" w:w="2304"/>
            <w:shd w:val="clear" w:fill="FBF0DE"/>
          </w:tcPr>
          <w:p>
            <w:r/>
            <w:r>
              <w:rPr>
                <w:sz w:val="14"/>
              </w:rPr>
              <w:t>Moderate (co-elution risk)</w:t>
            </w:r>
          </w:p>
        </w:tc>
        <w:tc>
          <w:tcPr>
            <w:tcW w:type="dxa" w:w="1872"/>
            <w:shd w:val="clear" w:fill="FBF0DE"/>
          </w:tcPr>
          <w:p>
            <w:r/>
            <w:r>
              <w:rPr>
                <w:sz w:val="14"/>
              </w:rPr>
              <w:t>No</w:t>
            </w:r>
          </w:p>
        </w:tc>
      </w:tr>
      <w:tr>
        <w:tc>
          <w:tcPr>
            <w:tcW w:type="dxa" w:w="2448"/>
          </w:tcPr>
          <w:p>
            <w:r/>
            <w:r>
              <w:rPr>
                <w:sz w:val="14"/>
              </w:rPr>
              <w:t>GC-MS (general, listed per prompt)</w:t>
            </w:r>
          </w:p>
        </w:tc>
        <w:tc>
          <w:tcPr>
            <w:tcW w:type="dxa" w:w="2160"/>
          </w:tcPr>
          <w:p>
            <w:r/>
            <w:r>
              <w:rPr>
                <w:sz w:val="14"/>
              </w:rPr>
              <w:t>YES (Cat. 1)</w:t>
            </w:r>
          </w:p>
        </w:tc>
        <w:tc>
          <w:tcPr>
            <w:tcW w:type="dxa" w:w="2304"/>
          </w:tcPr>
          <w:p>
            <w:r/>
            <w:r>
              <w:rPr>
                <w:sz w:val="14"/>
              </w:rPr>
              <w:t>See GC-MS row above</w:t>
            </w:r>
          </w:p>
        </w:tc>
        <w:tc>
          <w:tcPr>
            <w:tcW w:type="dxa" w:w="2016"/>
          </w:tcPr>
          <w:p>
            <w:r/>
            <w:r>
              <w:rPr>
                <w:sz w:val="14"/>
              </w:rPr>
              <w:t>-</w:t>
            </w:r>
          </w:p>
        </w:tc>
        <w:tc>
          <w:tcPr>
            <w:tcW w:type="dxa" w:w="2304"/>
          </w:tcPr>
          <w:p>
            <w:r/>
            <w:r>
              <w:rPr>
                <w:sz w:val="14"/>
              </w:rPr>
              <w:t>-</w:t>
            </w:r>
          </w:p>
        </w:tc>
        <w:tc>
          <w:tcPr>
            <w:tcW w:type="dxa" w:w="1872"/>
          </w:tcPr>
          <w:p>
            <w:r/>
            <w:r>
              <w:rPr>
                <w:sz w:val="14"/>
              </w:rPr>
              <w:t>No</w:t>
            </w:r>
          </w:p>
        </w:tc>
      </w:tr>
      <w:tr>
        <w:tc>
          <w:tcPr>
            <w:tcW w:type="dxa" w:w="2448"/>
            <w:shd w:val="clear" w:fill="FBF0DE"/>
          </w:tcPr>
          <w:p>
            <w:r/>
            <w:r>
              <w:rPr>
                <w:sz w:val="14"/>
              </w:rPr>
              <w:t>Electrochemical (amperometric, muramic acid direct)</w:t>
            </w:r>
          </w:p>
        </w:tc>
        <w:tc>
          <w:tcPr>
            <w:tcW w:type="dxa" w:w="2160"/>
            <w:shd w:val="clear" w:fill="FBF0DE"/>
          </w:tcPr>
          <w:p>
            <w:r/>
            <w:r>
              <w:rPr>
                <w:sz w:val="14"/>
              </w:rPr>
              <w:t>YES (Cat. 1, classical)</w:t>
            </w:r>
          </w:p>
        </w:tc>
        <w:tc>
          <w:tcPr>
            <w:tcW w:type="dxa" w:w="2304"/>
            <w:shd w:val="clear" w:fill="FBF0DE"/>
          </w:tcPr>
          <w:p>
            <w:r/>
            <w:r>
              <w:rPr>
                <w:sz w:val="14"/>
              </w:rPr>
              <w:t>0.05 ppm (~4 pmol)</w:t>
            </w:r>
          </w:p>
        </w:tc>
        <w:tc>
          <w:tcPr>
            <w:tcW w:type="dxa" w:w="2016"/>
            <w:shd w:val="clear" w:fill="FBF0DE"/>
          </w:tcPr>
          <w:p>
            <w:r/>
            <w:r>
              <w:rPr>
                <w:sz w:val="14"/>
              </w:rPr>
              <w:t>Post-HPLC serum fraction</w:t>
            </w:r>
          </w:p>
        </w:tc>
        <w:tc>
          <w:tcPr>
            <w:tcW w:type="dxa" w:w="2304"/>
            <w:shd w:val="clear" w:fill="FBF0DE"/>
          </w:tcPr>
          <w:p>
            <w:r/>
            <w:r>
              <w:rPr>
                <w:sz w:val="14"/>
              </w:rPr>
              <w:t>Low alone (needs prior separation)</w:t>
            </w:r>
          </w:p>
        </w:tc>
        <w:tc>
          <w:tcPr>
            <w:tcW w:type="dxa" w:w="1872"/>
            <w:shd w:val="clear" w:fill="FBF0DE"/>
          </w:tcPr>
          <w:p>
            <w:r/>
            <w:r>
              <w:rPr>
                <w:sz w:val="14"/>
              </w:rPr>
              <w:t>Partially (needs HPLC front-end)</w:t>
            </w:r>
          </w:p>
        </w:tc>
      </w:tr>
      <w:tr>
        <w:tc>
          <w:tcPr>
            <w:tcW w:type="dxa" w:w="2448"/>
          </w:tcPr>
          <w:p>
            <w:r/>
            <w:r>
              <w:rPr>
                <w:sz w:val="14"/>
              </w:rPr>
              <w:t>Electrochemical MIP/boronic acid (analog)</w:t>
            </w:r>
          </w:p>
        </w:tc>
        <w:tc>
          <w:tcPr>
            <w:tcW w:type="dxa" w:w="2160"/>
          </w:tcPr>
          <w:p>
            <w:r/>
            <w:r>
              <w:rPr>
                <w:sz w:val="14"/>
              </w:rPr>
              <w:t>No (analog only)</w:t>
            </w:r>
          </w:p>
        </w:tc>
        <w:tc>
          <w:tcPr>
            <w:tcW w:type="dxa" w:w="2304"/>
          </w:tcPr>
          <w:p>
            <w:r/>
            <w:r>
              <w:rPr>
                <w:sz w:val="14"/>
              </w:rPr>
              <w:t>60 uM - 0.6 mM (sialic acid)</w:t>
            </w:r>
          </w:p>
        </w:tc>
        <w:tc>
          <w:tcPr>
            <w:tcW w:type="dxa" w:w="2016"/>
          </w:tcPr>
          <w:p>
            <w:r/>
            <w:r>
              <w:rPr>
                <w:sz w:val="14"/>
              </w:rPr>
              <w:t>Buffer/urine/serum (analog studies)</w:t>
            </w:r>
          </w:p>
        </w:tc>
        <w:tc>
          <w:tcPr>
            <w:tcW w:type="dxa" w:w="2304"/>
          </w:tcPr>
          <w:p>
            <w:r/>
            <w:r>
              <w:rPr>
                <w:sz w:val="14"/>
              </w:rPr>
              <w:t>Moderate-high (imprinting factor ~12.7x)</w:t>
            </w:r>
          </w:p>
        </w:tc>
        <w:tc>
          <w:tcPr>
            <w:tcW w:type="dxa" w:w="1872"/>
          </w:tcPr>
          <w:p>
            <w:r/>
            <w:r>
              <w:rPr>
                <w:sz w:val="14"/>
              </w:rPr>
              <w:t>Yes (screen-printed/LIG electrodes)</w:t>
            </w:r>
          </w:p>
        </w:tc>
      </w:tr>
      <w:tr>
        <w:tc>
          <w:tcPr>
            <w:tcW w:type="dxa" w:w="2448"/>
            <w:shd w:val="clear" w:fill="FBF0DE"/>
          </w:tcPr>
          <w:p>
            <w:r/>
            <w:r>
              <w:rPr>
                <w:sz w:val="14"/>
              </w:rPr>
              <w:t>EIS (impedimetric, boronic acid)</w:t>
            </w:r>
          </w:p>
        </w:tc>
        <w:tc>
          <w:tcPr>
            <w:tcW w:type="dxa" w:w="2160"/>
            <w:shd w:val="clear" w:fill="FBF0DE"/>
          </w:tcPr>
          <w:p>
            <w:r/>
            <w:r>
              <w:rPr>
                <w:sz w:val="14"/>
              </w:rPr>
              <w:t>No (analog: glucose)</w:t>
            </w:r>
          </w:p>
        </w:tc>
        <w:tc>
          <w:tcPr>
            <w:tcW w:type="dxa" w:w="2304"/>
            <w:shd w:val="clear" w:fill="FBF0DE"/>
          </w:tcPr>
          <w:p>
            <w:r/>
            <w:r>
              <w:rPr>
                <w:sz w:val="14"/>
              </w:rPr>
              <w:t>8.5x10^-9 M (glucose)</w:t>
            </w:r>
          </w:p>
        </w:tc>
        <w:tc>
          <w:tcPr>
            <w:tcW w:type="dxa" w:w="2016"/>
            <w:shd w:val="clear" w:fill="FBF0DE"/>
          </w:tcPr>
          <w:p>
            <w:r/>
            <w:r>
              <w:rPr>
                <w:sz w:val="14"/>
              </w:rPr>
              <w:t>Buffer</w:t>
            </w:r>
          </w:p>
        </w:tc>
        <w:tc>
          <w:tcPr>
            <w:tcW w:type="dxa" w:w="2304"/>
            <w:shd w:val="clear" w:fill="FBF0DE"/>
          </w:tcPr>
          <w:p>
            <w:r/>
            <w:r>
              <w:rPr>
                <w:sz w:val="14"/>
              </w:rPr>
              <w:t>Moderate</w:t>
            </w:r>
          </w:p>
        </w:tc>
        <w:tc>
          <w:tcPr>
            <w:tcW w:type="dxa" w:w="1872"/>
            <w:shd w:val="clear" w:fill="FBF0DE"/>
          </w:tcPr>
          <w:p>
            <w:r/>
            <w:r>
              <w:rPr>
                <w:sz w:val="14"/>
              </w:rPr>
              <w:t>Yes</w:t>
            </w:r>
          </w:p>
        </w:tc>
      </w:tr>
      <w:tr>
        <w:tc>
          <w:tcPr>
            <w:tcW w:type="dxa" w:w="2448"/>
          </w:tcPr>
          <w:p>
            <w:r/>
            <w:r>
              <w:rPr>
                <w:sz w:val="14"/>
              </w:rPr>
              <w:t>SPR/LSPR (boronic acid/protein)</w:t>
            </w:r>
          </w:p>
        </w:tc>
        <w:tc>
          <w:tcPr>
            <w:tcW w:type="dxa" w:w="2160"/>
          </w:tcPr>
          <w:p>
            <w:r/>
            <w:r>
              <w:rPr>
                <w:sz w:val="14"/>
              </w:rPr>
              <w:t>No (analog: glucose)</w:t>
            </w:r>
          </w:p>
        </w:tc>
        <w:tc>
          <w:tcPr>
            <w:tcW w:type="dxa" w:w="2304"/>
          </w:tcPr>
          <w:p>
            <w:r/>
            <w:r>
              <w:rPr>
                <w:sz w:val="14"/>
              </w:rPr>
              <w:t>Not confirmed for a NAM-scale analyte without amplification</w:t>
            </w:r>
          </w:p>
        </w:tc>
        <w:tc>
          <w:tcPr>
            <w:tcW w:type="dxa" w:w="2016"/>
          </w:tcPr>
          <w:p>
            <w:r/>
            <w:r>
              <w:rPr>
                <w:sz w:val="14"/>
              </w:rPr>
              <w:t>Buffer</w:t>
            </w:r>
          </w:p>
        </w:tc>
        <w:tc>
          <w:tcPr>
            <w:tcW w:type="dxa" w:w="2304"/>
          </w:tcPr>
          <w:p>
            <w:r/>
            <w:r>
              <w:rPr>
                <w:sz w:val="14"/>
              </w:rPr>
              <w:t>Moderate</w:t>
            </w:r>
          </w:p>
        </w:tc>
        <w:tc>
          <w:tcPr>
            <w:tcW w:type="dxa" w:w="1872"/>
          </w:tcPr>
          <w:p>
            <w:r/>
            <w:r>
              <w:rPr>
                <w:sz w:val="14"/>
              </w:rPr>
              <w:t>No (bench instrument)</w:t>
            </w:r>
          </w:p>
        </w:tc>
      </w:tr>
      <w:tr>
        <w:tc>
          <w:tcPr>
            <w:tcW w:type="dxa" w:w="2448"/>
            <w:shd w:val="clear" w:fill="FBF0DE"/>
          </w:tcPr>
          <w:p>
            <w:r/>
            <w:r>
              <w:rPr>
                <w:sz w:val="14"/>
              </w:rPr>
              <w:t>Fluorescence (boronic acid, commercial)</w:t>
            </w:r>
          </w:p>
        </w:tc>
        <w:tc>
          <w:tcPr>
            <w:tcW w:type="dxa" w:w="2160"/>
            <w:shd w:val="clear" w:fill="FBF0DE"/>
          </w:tcPr>
          <w:p>
            <w:r/>
            <w:r>
              <w:rPr>
                <w:sz w:val="14"/>
              </w:rPr>
              <w:t>No (analog: glucose)</w:t>
            </w:r>
          </w:p>
        </w:tc>
        <w:tc>
          <w:tcPr>
            <w:tcW w:type="dxa" w:w="2304"/>
            <w:shd w:val="clear" w:fill="FBF0DE"/>
          </w:tcPr>
          <w:p>
            <w:r/>
            <w:r>
              <w:rPr>
                <w:sz w:val="14"/>
              </w:rPr>
              <w:t>Physiological range (mM, glucose)</w:t>
            </w:r>
          </w:p>
        </w:tc>
        <w:tc>
          <w:tcPr>
            <w:tcW w:type="dxa" w:w="2016"/>
            <w:shd w:val="clear" w:fill="FBF0DE"/>
          </w:tcPr>
          <w:p>
            <w:r/>
            <w:r>
              <w:rPr>
                <w:sz w:val="14"/>
              </w:rPr>
              <w:t>Interstitial fluid (implanted)</w:t>
            </w:r>
          </w:p>
        </w:tc>
        <w:tc>
          <w:tcPr>
            <w:tcW w:type="dxa" w:w="2304"/>
            <w:shd w:val="clear" w:fill="FBF0DE"/>
          </w:tcPr>
          <w:p>
            <w:r/>
            <w:r>
              <w:rPr>
                <w:sz w:val="14"/>
              </w:rPr>
              <w:t>High (clinically validated)</w:t>
            </w:r>
          </w:p>
        </w:tc>
        <w:tc>
          <w:tcPr>
            <w:tcW w:type="dxa" w:w="1872"/>
            <w:shd w:val="clear" w:fill="FBF0DE"/>
          </w:tcPr>
          <w:p>
            <w:r/>
            <w:r>
              <w:rPr>
                <w:sz w:val="14"/>
              </w:rPr>
              <w:t>Yes (implantable)</w:t>
            </w:r>
          </w:p>
        </w:tc>
      </w:tr>
      <w:tr>
        <w:tc>
          <w:tcPr>
            <w:tcW w:type="dxa" w:w="2448"/>
          </w:tcPr>
          <w:p>
            <w:r/>
            <w:r>
              <w:rPr>
                <w:sz w:val="14"/>
              </w:rPr>
              <w:t>Colorimetric (classical, muramic acid direct)</w:t>
            </w:r>
          </w:p>
        </w:tc>
        <w:tc>
          <w:tcPr>
            <w:tcW w:type="dxa" w:w="2160"/>
          </w:tcPr>
          <w:p>
            <w:r/>
            <w:r>
              <w:rPr>
                <w:sz w:val="14"/>
              </w:rPr>
              <w:t>YES (Cat. 1, classical)</w:t>
            </w:r>
          </w:p>
        </w:tc>
        <w:tc>
          <w:tcPr>
            <w:tcW w:type="dxa" w:w="2304"/>
          </w:tcPr>
          <w:p>
            <w:r/>
            <w:r>
              <w:rPr>
                <w:sz w:val="14"/>
              </w:rPr>
              <w:t>Not confirmed</w:t>
            </w:r>
          </w:p>
        </w:tc>
        <w:tc>
          <w:tcPr>
            <w:tcW w:type="dxa" w:w="2016"/>
          </w:tcPr>
          <w:p>
            <w:r/>
            <w:r>
              <w:rPr>
                <w:sz w:val="14"/>
              </w:rPr>
              <w:t>Purified extract</w:t>
            </w:r>
          </w:p>
        </w:tc>
        <w:tc>
          <w:tcPr>
            <w:tcW w:type="dxa" w:w="2304"/>
          </w:tcPr>
          <w:p>
            <w:r/>
            <w:r>
              <w:rPr>
                <w:sz w:val="14"/>
              </w:rPr>
              <w:t>Low (non-selective for acetaldehyde-releasers)</w:t>
            </w:r>
          </w:p>
        </w:tc>
        <w:tc>
          <w:tcPr>
            <w:tcW w:type="dxa" w:w="1872"/>
          </w:tcPr>
          <w:p>
            <w:r/>
            <w:r>
              <w:rPr>
                <w:sz w:val="14"/>
              </w:rPr>
              <w:t>Yes (visual)</w:t>
            </w:r>
          </w:p>
        </w:tc>
      </w:tr>
      <w:tr>
        <w:tc>
          <w:tcPr>
            <w:tcW w:type="dxa" w:w="2448"/>
            <w:shd w:val="clear" w:fill="FBF0DE"/>
          </w:tcPr>
          <w:p>
            <w:r/>
            <w:r>
              <w:rPr>
                <w:sz w:val="14"/>
              </w:rPr>
              <w:t>Enzyme assay (MurK/NADH-coupled)</w:t>
            </w:r>
          </w:p>
        </w:tc>
        <w:tc>
          <w:tcPr>
            <w:tcW w:type="dxa" w:w="2160"/>
            <w:shd w:val="clear" w:fill="FBF0DE"/>
          </w:tcPr>
          <w:p>
            <w:r/>
            <w:r>
              <w:rPr>
                <w:sz w:val="14"/>
              </w:rPr>
              <w:t>YES (Cat. 1, direct enzymatic)</w:t>
            </w:r>
          </w:p>
        </w:tc>
        <w:tc>
          <w:tcPr>
            <w:tcW w:type="dxa" w:w="2304"/>
            <w:shd w:val="clear" w:fill="FBF0DE"/>
          </w:tcPr>
          <w:p>
            <w:r/>
            <w:r>
              <w:rPr>
                <w:sz w:val="14"/>
              </w:rPr>
              <w:t>~fmol range (claim not independently re-verified)</w:t>
            </w:r>
          </w:p>
        </w:tc>
        <w:tc>
          <w:tcPr>
            <w:tcW w:type="dxa" w:w="2016"/>
            <w:shd w:val="clear" w:fill="FBF0DE"/>
          </w:tcPr>
          <w:p>
            <w:r/>
            <w:r>
              <w:rPr>
                <w:sz w:val="14"/>
              </w:rPr>
              <w:t>Buffer/lysate</w:t>
            </w:r>
          </w:p>
        </w:tc>
        <w:tc>
          <w:tcPr>
            <w:tcW w:type="dxa" w:w="2304"/>
            <w:shd w:val="clear" w:fill="FBF0DE"/>
          </w:tcPr>
          <w:p>
            <w:r/>
            <w:r>
              <w:rPr>
                <w:sz w:val="14"/>
              </w:rPr>
              <w:t>Moderate (does not distinguish NAM from GlcNAc)</w:t>
            </w:r>
          </w:p>
        </w:tc>
        <w:tc>
          <w:tcPr>
            <w:tcW w:type="dxa" w:w="1872"/>
            <w:shd w:val="clear" w:fill="FBF0DE"/>
          </w:tcPr>
          <w:p>
            <w:r/>
            <w:r>
              <w:rPr>
                <w:sz w:val="14"/>
              </w:rPr>
              <w:t>Potentially (spectrophotometric)</w:t>
            </w:r>
          </w:p>
        </w:tc>
      </w:tr>
      <w:tr>
        <w:tc>
          <w:tcPr>
            <w:tcW w:type="dxa" w:w="2448"/>
          </w:tcPr>
          <w:p>
            <w:r/>
            <w:r>
              <w:rPr>
                <w:sz w:val="14"/>
              </w:rPr>
              <w:t>ELISA / immunoassay</w:t>
            </w:r>
          </w:p>
        </w:tc>
        <w:tc>
          <w:tcPr>
            <w:tcW w:type="dxa" w:w="2160"/>
          </w:tcPr>
          <w:p>
            <w:r/>
            <w:r>
              <w:rPr>
                <w:sz w:val="14"/>
              </w:rPr>
              <w:t>No — no NAM-specific antibody exists</w:t>
            </w:r>
          </w:p>
        </w:tc>
        <w:tc>
          <w:tcPr>
            <w:tcW w:type="dxa" w:w="2304"/>
          </w:tcPr>
          <w:p>
            <w:r/>
            <w:r>
              <w:rPr>
                <w:sz w:val="14"/>
              </w:rPr>
              <w:t>N/A</w:t>
            </w:r>
          </w:p>
        </w:tc>
        <w:tc>
          <w:tcPr>
            <w:tcW w:type="dxa" w:w="2016"/>
          </w:tcPr>
          <w:p>
            <w:r/>
            <w:r>
              <w:rPr>
                <w:sz w:val="14"/>
              </w:rPr>
              <w:t>N/A</w:t>
            </w:r>
          </w:p>
        </w:tc>
        <w:tc>
          <w:tcPr>
            <w:tcW w:type="dxa" w:w="2304"/>
          </w:tcPr>
          <w:p>
            <w:r/>
            <w:r>
              <w:rPr>
                <w:sz w:val="14"/>
              </w:rPr>
              <w:t>N/A (Category 2 at best, via MDP or PGN antibodies)</w:t>
            </w:r>
          </w:p>
        </w:tc>
        <w:tc>
          <w:tcPr>
            <w:tcW w:type="dxa" w:w="1872"/>
          </w:tcPr>
          <w:p>
            <w:r/>
            <w:r>
              <w:rPr>
                <w:sz w:val="14"/>
              </w:rPr>
              <w:t>Yes (lateral-flow format exists for PGN)</w:t>
            </w:r>
          </w:p>
        </w:tc>
      </w:tr>
      <w:tr>
        <w:tc>
          <w:tcPr>
            <w:tcW w:type="dxa" w:w="2448"/>
            <w:shd w:val="clear" w:fill="FBF0DE"/>
          </w:tcPr>
          <w:p>
            <w:r/>
            <w:r>
              <w:rPr>
                <w:sz w:val="14"/>
              </w:rPr>
              <w:t>Aptamer-based</w:t>
            </w:r>
          </w:p>
        </w:tc>
        <w:tc>
          <w:tcPr>
            <w:tcW w:type="dxa" w:w="2160"/>
            <w:shd w:val="clear" w:fill="FBF0DE"/>
          </w:tcPr>
          <w:p>
            <w:r/>
            <w:r>
              <w:rPr>
                <w:sz w:val="14"/>
              </w:rPr>
              <w:t>No — no NAM aptamer exists</w:t>
            </w:r>
          </w:p>
        </w:tc>
        <w:tc>
          <w:tcPr>
            <w:tcW w:type="dxa" w:w="2304"/>
            <w:shd w:val="clear" w:fill="FBF0DE"/>
          </w:tcPr>
          <w:p>
            <w:r/>
            <w:r>
              <w:rPr>
                <w:sz w:val="14"/>
              </w:rPr>
              <w:t>N/A</w:t>
            </w:r>
          </w:p>
        </w:tc>
        <w:tc>
          <w:tcPr>
            <w:tcW w:type="dxa" w:w="2016"/>
            <w:shd w:val="clear" w:fill="FBF0DE"/>
          </w:tcPr>
          <w:p>
            <w:r/>
            <w:r>
              <w:rPr>
                <w:sz w:val="14"/>
              </w:rPr>
              <w:t>N/A</w:t>
            </w:r>
          </w:p>
        </w:tc>
        <w:tc>
          <w:tcPr>
            <w:tcW w:type="dxa" w:w="2304"/>
            <w:shd w:val="clear" w:fill="FBF0DE"/>
          </w:tcPr>
          <w:p>
            <w:r/>
            <w:r>
              <w:rPr>
                <w:sz w:val="14"/>
              </w:rPr>
              <w:t>N/A</w:t>
            </w:r>
          </w:p>
        </w:tc>
        <w:tc>
          <w:tcPr>
            <w:tcW w:type="dxa" w:w="1872"/>
            <w:shd w:val="clear" w:fill="FBF0DE"/>
          </w:tcPr>
          <w:p>
            <w:r/>
            <w:r>
              <w:rPr>
                <w:sz w:val="14"/>
              </w:rPr>
              <w:t>N/A</w:t>
            </w:r>
          </w:p>
        </w:tc>
      </w:tr>
      <w:tr>
        <w:tc>
          <w:tcPr>
            <w:tcW w:type="dxa" w:w="2448"/>
          </w:tcPr>
          <w:p>
            <w:r/>
            <w:r>
              <w:rPr>
                <w:sz w:val="14"/>
              </w:rPr>
              <w:t>Lectin-based (WGA)</w:t>
            </w:r>
          </w:p>
        </w:tc>
        <w:tc>
          <w:tcPr>
            <w:tcW w:type="dxa" w:w="2160"/>
          </w:tcPr>
          <w:p>
            <w:r/>
            <w:r>
              <w:rPr>
                <w:sz w:val="14"/>
              </w:rPr>
              <w:t>No (Cat. 2/3, targets GlcNAc/whole cell)</w:t>
            </w:r>
          </w:p>
        </w:tc>
        <w:tc>
          <w:tcPr>
            <w:tcW w:type="dxa" w:w="2304"/>
          </w:tcPr>
          <w:p>
            <w:r/>
            <w:r>
              <w:rPr>
                <w:sz w:val="14"/>
              </w:rPr>
              <w:t>5-7 CFU/mL (whole bacteria, not free NAM)</w:t>
            </w:r>
          </w:p>
        </w:tc>
        <w:tc>
          <w:tcPr>
            <w:tcW w:type="dxa" w:w="2016"/>
          </w:tcPr>
          <w:p>
            <w:r/>
            <w:r>
              <w:rPr>
                <w:sz w:val="14"/>
              </w:rPr>
              <w:t>Culture/blood (whole-cell)</w:t>
            </w:r>
          </w:p>
        </w:tc>
        <w:tc>
          <w:tcPr>
            <w:tcW w:type="dxa" w:w="2304"/>
          </w:tcPr>
          <w:p>
            <w:r/>
            <w:r>
              <w:rPr>
                <w:sz w:val="14"/>
              </w:rPr>
              <w:t>Broad-spectrum, not NAM-specific</w:t>
            </w:r>
          </w:p>
        </w:tc>
        <w:tc>
          <w:tcPr>
            <w:tcW w:type="dxa" w:w="1872"/>
          </w:tcPr>
          <w:p>
            <w:r/>
            <w:r>
              <w:rPr>
                <w:sz w:val="14"/>
              </w:rPr>
              <w:t>Yes (magnetic/LFA formats exist)</w:t>
            </w:r>
          </w:p>
        </w:tc>
      </w:tr>
      <w:tr>
        <w:tc>
          <w:tcPr>
            <w:tcW w:type="dxa" w:w="2448"/>
            <w:shd w:val="clear" w:fill="FBF0DE"/>
          </w:tcPr>
          <w:p>
            <w:r/>
            <w:r>
              <w:rPr>
                <w:sz w:val="14"/>
              </w:rPr>
              <w:t>MIP (electrochemical/optical/SERS)</w:t>
            </w:r>
          </w:p>
        </w:tc>
        <w:tc>
          <w:tcPr>
            <w:tcW w:type="dxa" w:w="2160"/>
            <w:shd w:val="clear" w:fill="FBF0DE"/>
          </w:tcPr>
          <w:p>
            <w:r/>
            <w:r>
              <w:rPr>
                <w:sz w:val="14"/>
              </w:rPr>
              <w:t>No — no NAM MIP exists</w:t>
            </w:r>
          </w:p>
        </w:tc>
        <w:tc>
          <w:tcPr>
            <w:tcW w:type="dxa" w:w="2304"/>
            <w:shd w:val="clear" w:fill="FBF0DE"/>
          </w:tcPr>
          <w:p>
            <w:r/>
            <w:r>
              <w:rPr>
                <w:sz w:val="14"/>
              </w:rPr>
              <w:t>0.46 ug/L (LPS analog, fluorescent MIP)</w:t>
            </w:r>
          </w:p>
        </w:tc>
        <w:tc>
          <w:tcPr>
            <w:tcW w:type="dxa" w:w="2016"/>
            <w:shd w:val="clear" w:fill="FBF0DE"/>
          </w:tcPr>
          <w:p>
            <w:r/>
            <w:r>
              <w:rPr>
                <w:sz w:val="14"/>
              </w:rPr>
              <w:t>Varies</w:t>
            </w:r>
          </w:p>
        </w:tc>
        <w:tc>
          <w:tcPr>
            <w:tcW w:type="dxa" w:w="2304"/>
            <w:shd w:val="clear" w:fill="FBF0DE"/>
          </w:tcPr>
          <w:p>
            <w:r/>
            <w:r>
              <w:rPr>
                <w:sz w:val="14"/>
              </w:rPr>
              <w:t>High once developed (imprinting-specific)</w:t>
            </w:r>
          </w:p>
        </w:tc>
        <w:tc>
          <w:tcPr>
            <w:tcW w:type="dxa" w:w="1872"/>
            <w:shd w:val="clear" w:fill="FBF0DE"/>
          </w:tcPr>
          <w:p>
            <w:r/>
            <w:r>
              <w:rPr>
                <w:sz w:val="14"/>
              </w:rPr>
              <w:t>Yes (once developed)</w:t>
            </w:r>
          </w:p>
        </w:tc>
      </w:tr>
      <w:tr>
        <w:tc>
          <w:tcPr>
            <w:tcW w:type="dxa" w:w="2448"/>
          </w:tcPr>
          <w:p>
            <w:r/>
            <w:r>
              <w:rPr>
                <w:sz w:val="14"/>
              </w:rPr>
              <w:t>Chemical derivatization + LC/GC (PMP/TMS/OPA)</w:t>
            </w:r>
          </w:p>
        </w:tc>
        <w:tc>
          <w:tcPr>
            <w:tcW w:type="dxa" w:w="2160"/>
          </w:tcPr>
          <w:p>
            <w:r/>
            <w:r>
              <w:rPr>
                <w:sz w:val="14"/>
              </w:rPr>
              <w:t>YES (Cat. 1, as sample-prep for MS/chromatography)</w:t>
            </w:r>
          </w:p>
        </w:tc>
        <w:tc>
          <w:tcPr>
            <w:tcW w:type="dxa" w:w="2304"/>
          </w:tcPr>
          <w:p>
            <w:r/>
            <w:r>
              <w:rPr>
                <w:sz w:val="14"/>
              </w:rPr>
              <w:t>See GC-MS/LC-MS rows</w:t>
            </w:r>
          </w:p>
        </w:tc>
        <w:tc>
          <w:tcPr>
            <w:tcW w:type="dxa" w:w="2016"/>
          </w:tcPr>
          <w:p>
            <w:r/>
            <w:r>
              <w:rPr>
                <w:sz w:val="14"/>
              </w:rPr>
              <w:t>Requires extraction</w:t>
            </w:r>
          </w:p>
        </w:tc>
        <w:tc>
          <w:tcPr>
            <w:tcW w:type="dxa" w:w="2304"/>
          </w:tcPr>
          <w:p>
            <w:r/>
            <w:r>
              <w:rPr>
                <w:sz w:val="14"/>
              </w:rPr>
              <w:t>High (post-derivatization)</w:t>
            </w:r>
          </w:p>
        </w:tc>
        <w:tc>
          <w:tcPr>
            <w:tcW w:type="dxa" w:w="1872"/>
          </w:tcPr>
          <w:p>
            <w:r/>
            <w:r>
              <w:rPr>
                <w:sz w:val="14"/>
              </w:rPr>
              <w:t>No (lab-bound, off-line)</w:t>
            </w:r>
          </w:p>
        </w:tc>
      </w:tr>
    </w:tbl>
    <w:p>
      <w:pPr>
        <w:spacing w:after="40"/>
      </w:pPr>
    </w:p>
    <w:p>
      <w:r>
        <w:br w:type="page"/>
      </w:r>
    </w:p>
    <w:p>
      <w:pPr>
        <w:pStyle w:val="Heading1"/>
      </w:pPr>
      <w:r>
        <w:t>19. Analysis Against My Existing Project</w:t>
      </w:r>
    </w:p>
    <w:p>
      <w:pPr>
        <w:pStyle w:val="Heading2"/>
      </w:pPr>
      <w:r>
        <w:t>19.1 Scientific Suitability Scoring</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880"/>
            <w:shd w:val="clear" w:fill="B56A0A"/>
          </w:tcPr>
          <w:p>
            <w:r/>
            <w:r>
              <w:rPr>
                <w:b/>
                <w:color w:val="FFFFFF"/>
                <w:sz w:val="18"/>
              </w:rPr>
              <w:t>Method</w:t>
            </w:r>
          </w:p>
        </w:tc>
        <w:tc>
          <w:tcPr>
            <w:tcW w:type="dxa" w:w="3312"/>
            <w:shd w:val="clear" w:fill="B56A0A"/>
          </w:tcPr>
          <w:p>
            <w:r/>
            <w:r>
              <w:rPr>
                <w:b/>
                <w:color w:val="FFFFFF"/>
                <w:sz w:val="18"/>
              </w:rPr>
              <w:t>NAM Specificity</w:t>
            </w:r>
          </w:p>
        </w:tc>
        <w:tc>
          <w:tcPr>
            <w:tcW w:type="dxa" w:w="2592"/>
            <w:shd w:val="clear" w:fill="B56A0A"/>
          </w:tcPr>
          <w:p>
            <w:r/>
            <w:r>
              <w:rPr>
                <w:b/>
                <w:color w:val="FFFFFF"/>
                <w:sz w:val="18"/>
              </w:rPr>
              <w:t>Sensitivity</w:t>
            </w:r>
          </w:p>
        </w:tc>
        <w:tc>
          <w:tcPr>
            <w:tcW w:type="dxa" w:w="2736"/>
            <w:shd w:val="clear" w:fill="B56A0A"/>
          </w:tcPr>
          <w:p>
            <w:r/>
            <w:r>
              <w:rPr>
                <w:b/>
                <w:color w:val="FFFFFF"/>
                <w:sz w:val="18"/>
              </w:rPr>
              <w:t>Selectivity</w:t>
            </w:r>
          </w:p>
        </w:tc>
        <w:tc>
          <w:tcPr>
            <w:tcW w:type="dxa" w:w="1979"/>
            <w:shd w:val="clear" w:fill="B56A0A"/>
          </w:tcPr>
          <w:p>
            <w:r/>
            <w:r>
              <w:rPr>
                <w:b/>
                <w:color w:val="FFFFFF"/>
                <w:sz w:val="18"/>
              </w:rPr>
              <w:t>Reproducibility (literature-reported)</w:t>
            </w:r>
          </w:p>
        </w:tc>
      </w:tr>
      <w:tr>
        <w:tc>
          <w:tcPr>
            <w:tcW w:type="dxa" w:w="2880"/>
          </w:tcPr>
          <w:p>
            <w:r/>
            <w:r>
              <w:rPr>
                <w:sz w:val="17"/>
              </w:rPr>
              <w:t>SERS + boronic acid</w:t>
            </w:r>
          </w:p>
        </w:tc>
        <w:tc>
          <w:tcPr>
            <w:tcW w:type="dxa" w:w="3312"/>
          </w:tcPr>
          <w:p>
            <w:r/>
            <w:r>
              <w:rPr>
                <w:sz w:val="17"/>
              </w:rPr>
              <w:t>Chemically well-matched (diol capture) but NAM-untested</w:t>
            </w:r>
          </w:p>
        </w:tc>
        <w:tc>
          <w:tcPr>
            <w:tcW w:type="dxa" w:w="2592"/>
          </w:tcPr>
          <w:p>
            <w:r/>
            <w:r>
              <w:rPr>
                <w:sz w:val="17"/>
              </w:rPr>
              <w:t>Unknown for NAM; general SERS nanomolar-picomolar in buffer</w:t>
            </w:r>
          </w:p>
        </w:tc>
        <w:tc>
          <w:tcPr>
            <w:tcW w:type="dxa" w:w="2736"/>
          </w:tcPr>
          <w:p>
            <w:r/>
            <w:r>
              <w:rPr>
                <w:sz w:val="17"/>
              </w:rPr>
              <w:t>Depends on pH-controlled boronic-acid protocol</w:t>
            </w:r>
          </w:p>
        </w:tc>
        <w:tc>
          <w:tcPr>
            <w:tcW w:type="dxa" w:w="1979"/>
          </w:tcPr>
          <w:p>
            <w:r/>
            <w:r>
              <w:rPr>
                <w:sz w:val="17"/>
              </w:rPr>
              <w:t>~10% RSD (this substrate class) without further refinement</w:t>
            </w:r>
          </w:p>
        </w:tc>
      </w:tr>
      <w:tr>
        <w:tc>
          <w:tcPr>
            <w:tcW w:type="dxa" w:w="2880"/>
            <w:shd w:val="clear" w:fill="FBF0DE"/>
          </w:tcPr>
          <w:p>
            <w:r/>
            <w:r>
              <w:rPr>
                <w:sz w:val="17"/>
              </w:rPr>
              <w:t>GC-MS/LC-MS (reference)</w:t>
            </w:r>
          </w:p>
        </w:tc>
        <w:tc>
          <w:tcPr>
            <w:tcW w:type="dxa" w:w="3312"/>
            <w:shd w:val="clear" w:fill="FBF0DE"/>
          </w:tcPr>
          <w:p>
            <w:r/>
            <w:r>
              <w:rPr>
                <w:sz w:val="17"/>
              </w:rPr>
              <w:t>High, validated</w:t>
            </w:r>
          </w:p>
        </w:tc>
        <w:tc>
          <w:tcPr>
            <w:tcW w:type="dxa" w:w="2592"/>
            <w:shd w:val="clear" w:fill="FBF0DE"/>
          </w:tcPr>
          <w:p>
            <w:r/>
            <w:r>
              <w:rPr>
                <w:sz w:val="17"/>
              </w:rPr>
              <w:t>Sub-ng to low-ug/L</w:t>
            </w:r>
          </w:p>
        </w:tc>
        <w:tc>
          <w:tcPr>
            <w:tcW w:type="dxa" w:w="2736"/>
            <w:shd w:val="clear" w:fill="FBF0DE"/>
          </w:tcPr>
          <w:p>
            <w:r/>
            <w:r>
              <w:rPr>
                <w:sz w:val="17"/>
              </w:rPr>
              <w:t>High (diagnostic ions/MRM)</w:t>
            </w:r>
          </w:p>
        </w:tc>
        <w:tc>
          <w:tcPr>
            <w:tcW w:type="dxa" w:w="1979"/>
            <w:shd w:val="clear" w:fill="FBF0DE"/>
          </w:tcPr>
          <w:p>
            <w:r/>
            <w:r>
              <w:rPr>
                <w:sz w:val="17"/>
              </w:rPr>
              <w:t>Well-characterized, decades of use</w:t>
            </w:r>
          </w:p>
        </w:tc>
      </w:tr>
      <w:tr>
        <w:tc>
          <w:tcPr>
            <w:tcW w:type="dxa" w:w="2880"/>
          </w:tcPr>
          <w:p>
            <w:r/>
            <w:r>
              <w:rPr>
                <w:sz w:val="17"/>
              </w:rPr>
              <w:t>Electrochemical boronic-acid/MIP</w:t>
            </w:r>
          </w:p>
        </w:tc>
        <w:tc>
          <w:tcPr>
            <w:tcW w:type="dxa" w:w="3312"/>
          </w:tcPr>
          <w:p>
            <w:r/>
            <w:r>
              <w:rPr>
                <w:sz w:val="17"/>
              </w:rPr>
              <w:t>Untested for NAM; strong analog precedent (sialic acid)</w:t>
            </w:r>
          </w:p>
        </w:tc>
        <w:tc>
          <w:tcPr>
            <w:tcW w:type="dxa" w:w="2592"/>
          </w:tcPr>
          <w:p>
            <w:r/>
            <w:r>
              <w:rPr>
                <w:sz w:val="17"/>
              </w:rPr>
              <w:t>60uM-0.6mM (analog)</w:t>
            </w:r>
          </w:p>
        </w:tc>
        <w:tc>
          <w:tcPr>
            <w:tcW w:type="dxa" w:w="2736"/>
          </w:tcPr>
          <w:p>
            <w:r/>
            <w:r>
              <w:rPr>
                <w:sz w:val="17"/>
              </w:rPr>
              <w:t>Moderate-high (imprinting factor)</w:t>
            </w:r>
          </w:p>
        </w:tc>
        <w:tc>
          <w:tcPr>
            <w:tcW w:type="dxa" w:w="1979"/>
          </w:tcPr>
          <w:p>
            <w:r/>
            <w:r>
              <w:rPr>
                <w:sz w:val="17"/>
              </w:rPr>
              <w:t>Not established for NAM</w:t>
            </w:r>
          </w:p>
        </w:tc>
      </w:tr>
      <w:tr>
        <w:tc>
          <w:tcPr>
            <w:tcW w:type="dxa" w:w="2880"/>
            <w:shd w:val="clear" w:fill="FBF0DE"/>
          </w:tcPr>
          <w:p>
            <w:r/>
            <w:r>
              <w:rPr>
                <w:sz w:val="17"/>
              </w:rPr>
              <w:t>Enzyme (MurK) assay</w:t>
            </w:r>
          </w:p>
        </w:tc>
        <w:tc>
          <w:tcPr>
            <w:tcW w:type="dxa" w:w="3312"/>
            <w:shd w:val="clear" w:fill="FBF0DE"/>
          </w:tcPr>
          <w:p>
            <w:r/>
            <w:r>
              <w:rPr>
                <w:sz w:val="17"/>
              </w:rPr>
              <w:t>High for NAM+GlcNAc as a pair; not NAM-selective alone</w:t>
            </w:r>
          </w:p>
        </w:tc>
        <w:tc>
          <w:tcPr>
            <w:tcW w:type="dxa" w:w="2592"/>
            <w:shd w:val="clear" w:fill="FBF0DE"/>
          </w:tcPr>
          <w:p>
            <w:r/>
            <w:r>
              <w:rPr>
                <w:sz w:val="17"/>
              </w:rPr>
              <w:t>High (NADH-coupled)</w:t>
            </w:r>
          </w:p>
        </w:tc>
        <w:tc>
          <w:tcPr>
            <w:tcW w:type="dxa" w:w="2736"/>
            <w:shd w:val="clear" w:fill="FBF0DE"/>
          </w:tcPr>
          <w:p>
            <w:r/>
            <w:r>
              <w:rPr>
                <w:sz w:val="17"/>
              </w:rPr>
              <w:t>Needs MurR-based confirmatory step for NAM vs. GlcNAc</w:t>
            </w:r>
          </w:p>
        </w:tc>
        <w:tc>
          <w:tcPr>
            <w:tcW w:type="dxa" w:w="1979"/>
            <w:shd w:val="clear" w:fill="FBF0DE"/>
          </w:tcPr>
          <w:p>
            <w:r/>
            <w:r>
              <w:rPr>
                <w:sz w:val="17"/>
              </w:rPr>
              <w:t>Not established as a device</w:t>
            </w:r>
          </w:p>
        </w:tc>
      </w:tr>
    </w:tbl>
    <w:p>
      <w:pPr>
        <w:spacing w:after="40"/>
      </w:pPr>
    </w:p>
    <w:p>
      <w:pPr>
        <w:pStyle w:val="Heading2"/>
      </w:pPr>
      <w:r>
        <w:t>19.2 Practical Suitability</w:t>
      </w:r>
    </w:p>
    <w:p>
      <w:pPr>
        <w:spacing w:after="120"/>
      </w:pPr>
      <w:r>
        <w:rPr>
          <w:b w:val="0"/>
          <w:i w:val="0"/>
        </w:rPr>
        <w:t>Equipment/chemical availability at IIT Jodhpur/AIIMS Jodhpur is not fully documented in the project files reviewed for this report and should be confirmed directly; the assessment below is based on what this project has already demonstrably used (Raman/SERS instrumentation, MACE fabrication chemicals, Gaussian/DFT compute access) versus what each alternative would newly require.</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880"/>
            <w:shd w:val="clear" w:fill="B56A0A"/>
          </w:tcPr>
          <w:p>
            <w:r/>
            <w:r>
              <w:rPr>
                <w:b/>
                <w:color w:val="FFFFFF"/>
                <w:sz w:val="18"/>
              </w:rPr>
              <w:t>Method</w:t>
            </w:r>
          </w:p>
        </w:tc>
        <w:tc>
          <w:tcPr>
            <w:tcW w:type="dxa" w:w="3456"/>
            <w:shd w:val="clear" w:fill="B56A0A"/>
          </w:tcPr>
          <w:p>
            <w:r/>
            <w:r>
              <w:rPr>
                <w:b/>
                <w:color w:val="FFFFFF"/>
                <w:sz w:val="18"/>
              </w:rPr>
              <w:t>New Equipment Needed</w:t>
            </w:r>
          </w:p>
        </w:tc>
        <w:tc>
          <w:tcPr>
            <w:tcW w:type="dxa" w:w="3456"/>
            <w:shd w:val="clear" w:fill="B56A0A"/>
          </w:tcPr>
          <w:p>
            <w:r/>
            <w:r>
              <w:rPr>
                <w:b/>
                <w:color w:val="FFFFFF"/>
                <w:sz w:val="18"/>
              </w:rPr>
              <w:t>New Chemicals Needed</w:t>
            </w:r>
          </w:p>
        </w:tc>
        <w:tc>
          <w:tcPr>
            <w:tcW w:type="dxa" w:w="3600"/>
            <w:shd w:val="clear" w:fill="B56A0A"/>
          </w:tcPr>
          <w:p>
            <w:r/>
            <w:r>
              <w:rPr>
                <w:b/>
                <w:color w:val="FFFFFF"/>
                <w:sz w:val="18"/>
              </w:rPr>
              <w:t>New Training Needed</w:t>
            </w:r>
          </w:p>
        </w:tc>
      </w:tr>
      <w:tr>
        <w:tc>
          <w:tcPr>
            <w:tcW w:type="dxa" w:w="2880"/>
          </w:tcPr>
          <w:p>
            <w:r/>
            <w:r>
              <w:rPr>
                <w:sz w:val="16"/>
              </w:rPr>
              <w:t>SERS + boronic acid (retain existing platform)</w:t>
            </w:r>
          </w:p>
        </w:tc>
        <w:tc>
          <w:tcPr>
            <w:tcW w:type="dxa" w:w="3456"/>
          </w:tcPr>
          <w:p>
            <w:r/>
            <w:r>
              <w:rPr>
                <w:sz w:val="16"/>
              </w:rPr>
              <w:t>None beyond what this project already has</w:t>
            </w:r>
          </w:p>
        </w:tc>
        <w:tc>
          <w:tcPr>
            <w:tcW w:type="dxa" w:w="3456"/>
          </w:tcPr>
          <w:p>
            <w:r/>
            <w:r>
              <w:rPr>
                <w:sz w:val="16"/>
              </w:rPr>
              <w:t>MPBA or equivalent boronic-acid thiol reagent, pH-buffer set</w:t>
            </w:r>
          </w:p>
        </w:tc>
        <w:tc>
          <w:tcPr>
            <w:tcW w:type="dxa" w:w="3600"/>
          </w:tcPr>
          <w:p>
            <w:r/>
            <w:r>
              <w:rPr>
                <w:sz w:val="16"/>
              </w:rPr>
              <w:t>Boronic-acid SAM functionalization protocol (moderate, well-documented)</w:t>
            </w:r>
          </w:p>
        </w:tc>
      </w:tr>
      <w:tr>
        <w:tc>
          <w:tcPr>
            <w:tcW w:type="dxa" w:w="2880"/>
            <w:shd w:val="clear" w:fill="FBF0DE"/>
          </w:tcPr>
          <w:p>
            <w:r/>
            <w:r>
              <w:rPr>
                <w:sz w:val="16"/>
              </w:rPr>
              <w:t>GC-MS/LC-MS (as reference method)</w:t>
            </w:r>
          </w:p>
        </w:tc>
        <w:tc>
          <w:tcPr>
            <w:tcW w:type="dxa" w:w="3456"/>
            <w:shd w:val="clear" w:fill="FBF0DE"/>
          </w:tcPr>
          <w:p>
            <w:r/>
            <w:r>
              <w:rPr>
                <w:sz w:val="16"/>
              </w:rPr>
              <w:t>GC-MS or LC-MS/MS instrument access (not confirmed as available; likely requires a central analytical facility)</w:t>
            </w:r>
          </w:p>
        </w:tc>
        <w:tc>
          <w:tcPr>
            <w:tcW w:type="dxa" w:w="3456"/>
            <w:shd w:val="clear" w:fill="FBF0DE"/>
          </w:tcPr>
          <w:p>
            <w:r/>
            <w:r>
              <w:rPr>
                <w:sz w:val="16"/>
              </w:rPr>
              <w:t>Derivatization reagents (TMS/MAME) or HILIC column + MS-grade solvents</w:t>
            </w:r>
          </w:p>
        </w:tc>
        <w:tc>
          <w:tcPr>
            <w:tcW w:type="dxa" w:w="3600"/>
            <w:shd w:val="clear" w:fill="FBF0DE"/>
          </w:tcPr>
          <w:p>
            <w:r/>
            <w:r>
              <w:rPr>
                <w:sz w:val="16"/>
              </w:rPr>
              <w:t>Instrument operation training or reliance on facility staff</w:t>
            </w:r>
          </w:p>
        </w:tc>
      </w:tr>
      <w:tr>
        <w:tc>
          <w:tcPr>
            <w:tcW w:type="dxa" w:w="2880"/>
          </w:tcPr>
          <w:p>
            <w:r/>
            <w:r>
              <w:rPr>
                <w:sz w:val="16"/>
              </w:rPr>
              <w:t>Electrochemical boronic-acid/MIP</w:t>
            </w:r>
          </w:p>
        </w:tc>
        <w:tc>
          <w:tcPr>
            <w:tcW w:type="dxa" w:w="3456"/>
          </w:tcPr>
          <w:p>
            <w:r/>
            <w:r>
              <w:rPr>
                <w:sz w:val="16"/>
              </w:rPr>
              <w:t>Potentiostat/electrochemical workstation (commonly available in EE/materials departments; not confirmed for this project specifically)</w:t>
            </w:r>
          </w:p>
        </w:tc>
        <w:tc>
          <w:tcPr>
            <w:tcW w:type="dxa" w:w="3456"/>
          </w:tcPr>
          <w:p>
            <w:r/>
            <w:r>
              <w:rPr>
                <w:sz w:val="16"/>
              </w:rPr>
              <w:t>Boronic-acid monomer, electropolymerization reagents, screen-printed or laser-induced-graphene electrodes</w:t>
            </w:r>
          </w:p>
        </w:tc>
        <w:tc>
          <w:tcPr>
            <w:tcW w:type="dxa" w:w="3600"/>
          </w:tcPr>
          <w:p>
            <w:r/>
            <w:r>
              <w:rPr>
                <w:sz w:val="16"/>
              </w:rPr>
              <w:t>Electrochemistry methodology (new skill set relative to this project's optics/spectroscopy focus)</w:t>
            </w:r>
          </w:p>
        </w:tc>
      </w:tr>
      <w:tr>
        <w:tc>
          <w:tcPr>
            <w:tcW w:type="dxa" w:w="2880"/>
            <w:shd w:val="clear" w:fill="FBF0DE"/>
          </w:tcPr>
          <w:p>
            <w:r/>
            <w:r>
              <w:rPr>
                <w:sz w:val="16"/>
              </w:rPr>
              <w:t>Enzyme (MurK) assay/biosensor</w:t>
            </w:r>
          </w:p>
        </w:tc>
        <w:tc>
          <w:tcPr>
            <w:tcW w:type="dxa" w:w="3456"/>
            <w:shd w:val="clear" w:fill="FBF0DE"/>
          </w:tcPr>
          <w:p>
            <w:r/>
            <w:r>
              <w:rPr>
                <w:sz w:val="16"/>
              </w:rPr>
              <w:t>Standard biochemistry/spectrophotometry equipment (likely available via AIIMS Jodhpur side of the joint programme)</w:t>
            </w:r>
          </w:p>
        </w:tc>
        <w:tc>
          <w:tcPr>
            <w:tcW w:type="dxa" w:w="3456"/>
            <w:shd w:val="clear" w:fill="FBF0DE"/>
          </w:tcPr>
          <w:p>
            <w:r/>
            <w:r>
              <w:rPr>
                <w:sz w:val="16"/>
              </w:rPr>
              <w:t>Recombinant MurK expression/purification reagents, NADH-coupled assay kit components</w:t>
            </w:r>
          </w:p>
        </w:tc>
        <w:tc>
          <w:tcPr>
            <w:tcW w:type="dxa" w:w="3600"/>
            <w:shd w:val="clear" w:fill="FBF0DE"/>
          </w:tcPr>
          <w:p>
            <w:r/>
            <w:r>
              <w:rPr>
                <w:sz w:val="16"/>
              </w:rPr>
              <w:t>Molecular biology/protein biochemistry (substantial new skill set)</w:t>
            </w:r>
          </w:p>
        </w:tc>
      </w:tr>
    </w:tbl>
    <w:p>
      <w:pPr>
        <w:spacing w:after="40"/>
      </w:pPr>
    </w:p>
    <w:p>
      <w:pPr>
        <w:pStyle w:val="Heading2"/>
      </w:pPr>
      <w:r>
        <w:t>19.3 Research Suitability</w:t>
      </w:r>
    </w:p>
    <w:p>
      <w:pPr>
        <w:spacing w:after="120"/>
      </w:pPr>
      <w:r>
        <w:rPr>
          <w:b w:val="0"/>
          <w:i w:val="0"/>
        </w:rPr>
        <w:t>Novelty and publication potential are assessed in full in Section 26; in summary, every option scores highly on novelty because Category 1 (true free-NAM) biosensor precedent is absent across all technologies, not just SERS. Compatibility with this project's existing DFT, Raman, and black-Si/Ag investment is highest for the SERS+boronic-acid option (direct reuse) and lowest for the electrochemical and enzyme options (would require new instrumentation and, for the enzyme route, an essentially new skill set), though both remain viable as parallel or backup tracks rather than requiring the existing work to be discarded.</w:t>
      </w:r>
    </w:p>
    <w:p>
      <w:pPr>
        <w:pStyle w:val="Heading1"/>
      </w:pPr>
      <w:r>
        <w:t>20. Recommended Sensor Architecture</w:t>
      </w:r>
    </w:p>
    <w:p>
      <w:pPr>
        <w:spacing w:after="120"/>
      </w:pPr>
      <w:r>
        <w:rPr>
          <w:b w:val="0"/>
          <w:i w:val="0"/>
        </w:rPr>
        <w:t>Recommended primary architecture (Plan A, detailed in Section 27): retain the black-silicon/Ag one-step-MACE SERS substrate, unchanged in its core fabrication chemistry, and add a boronic-acid (MPBA) capture layer engineered per the pH-controlled protocols identified in the companion NAM-SERS review. This is a capture-chemistry addition to a validated substrate, not a substrate redesign. Recommended parallel/backup architecture (Plan B): a boronic-acid or MIP-functionalized screen-printed or laser-induced-graphene electrode, run as an independent, faster-to-validate track using the sialic acid electrochemical MIP literature (Section 9) as a direct design template.</w:t>
      </w:r>
    </w:p>
    <w:p>
      <w:pPr>
        <w:pStyle w:val="Heading1"/>
      </w:pPr>
      <w:r>
        <w:t>21. Recommended Capture Chemistry</w:t>
      </w:r>
    </w:p>
    <w:p>
      <w:pPr>
        <w:spacing w:after="120"/>
      </w:pPr>
      <w:r>
        <w:rPr>
          <w:b w:val="0"/>
          <w:i w:val="0"/>
        </w:rPr>
        <w:t>Boronic acid (4-mercaptophenylboronic acid, MPBA, or an analogous aminophenylboronic acid for electrode-based work) is the single most literature-supported capture strategy identified across this entire cross-technology search — not merely the top-ranked SERS strategy from the companion review, but also the dominant recognition chemistry across electrochemical, optical, and even the one commercially validated implantable biosensor product found in any modality surveyed (Section 10). Two refinements from this search should be incorporated beyond the companion review's recommendation: (1) rigorous pH control is not optional — the literature explicitly documents a hydroxide/anhydride side-reaction on Ag-bound MPBA that can mimic or block genuine diol-binding signal; (2) given NAM's structural kinship to sialic acid (both are N-acetylated amino-sugar acids bearing a carboxylate near a diol), a dual diol-plus-carboxylate engineered receptor, following the sialic-acid dual-recognition design principle, may outperform a simple diol-only boronic acid and should be tested as a design variant, not assumed.</w:t>
      </w:r>
    </w:p>
    <w:p>
      <w:pPr>
        <w:pStyle w:val="Heading1"/>
      </w:pPr>
      <w:r>
        <w:t>22. Required Equipment</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024"/>
            <w:shd w:val="clear" w:fill="B56A0A"/>
          </w:tcPr>
          <w:p>
            <w:r/>
            <w:r>
              <w:rPr>
                <w:b/>
                <w:color w:val="FFFFFF"/>
                <w:sz w:val="18"/>
              </w:rPr>
              <w:t>Plan</w:t>
            </w:r>
          </w:p>
        </w:tc>
        <w:tc>
          <w:tcPr>
            <w:tcW w:type="dxa" w:w="4176"/>
            <w:shd w:val="clear" w:fill="B56A0A"/>
          </w:tcPr>
          <w:p>
            <w:r/>
            <w:r>
              <w:rPr>
                <w:b/>
                <w:color w:val="FFFFFF"/>
                <w:sz w:val="18"/>
              </w:rPr>
              <w:t>Already Available (per project files)</w:t>
            </w:r>
          </w:p>
        </w:tc>
        <w:tc>
          <w:tcPr>
            <w:tcW w:type="dxa" w:w="4320"/>
            <w:shd w:val="clear" w:fill="B56A0A"/>
          </w:tcPr>
          <w:p>
            <w:r/>
            <w:r>
              <w:rPr>
                <w:b/>
                <w:color w:val="FFFFFF"/>
                <w:sz w:val="18"/>
              </w:rPr>
              <w:t>Required New / To Be Confirmed</w:t>
            </w:r>
          </w:p>
        </w:tc>
      </w:tr>
      <w:tr>
        <w:tc>
          <w:tcPr>
            <w:tcW w:type="dxa" w:w="3024"/>
          </w:tcPr>
          <w:p>
            <w:r/>
            <w:r>
              <w:rPr>
                <w:sz w:val="17"/>
              </w:rPr>
              <w:t>Plan A (SERS + boronic acid)</w:t>
            </w:r>
          </w:p>
        </w:tc>
        <w:tc>
          <w:tcPr>
            <w:tcW w:type="dxa" w:w="4176"/>
          </w:tcPr>
          <w:p>
            <w:r/>
            <w:r>
              <w:rPr>
                <w:sz w:val="17"/>
              </w:rPr>
              <w:t>785nm Raman/SERS system, MACE fabrication setup (AgNO3/HF wet-bench), SEM access</w:t>
            </w:r>
          </w:p>
        </w:tc>
        <w:tc>
          <w:tcPr>
            <w:tcW w:type="dxa" w:w="4320"/>
          </w:tcPr>
          <w:p>
            <w:r/>
            <w:r>
              <w:rPr>
                <w:sz w:val="17"/>
              </w:rPr>
              <w:t>AFM, XRD, UV-Vis (flagged as missing in the companion DOE report's characterization gap analysis) — recommended but not strictly blocking for Plan A to proceed</w:t>
            </w:r>
          </w:p>
        </w:tc>
      </w:tr>
      <w:tr>
        <w:tc>
          <w:tcPr>
            <w:tcW w:type="dxa" w:w="3024"/>
            <w:shd w:val="clear" w:fill="FBF0DE"/>
          </w:tcPr>
          <w:p>
            <w:r/>
            <w:r>
              <w:rPr>
                <w:sz w:val="17"/>
              </w:rPr>
              <w:t>Plan B (electrochemical boronic-acid/MIP)</w:t>
            </w:r>
          </w:p>
        </w:tc>
        <w:tc>
          <w:tcPr>
            <w:tcW w:type="dxa" w:w="4176"/>
            <w:shd w:val="clear" w:fill="FBF0DE"/>
          </w:tcPr>
          <w:p>
            <w:r/>
            <w:r>
              <w:rPr>
                <w:sz w:val="17"/>
              </w:rPr>
              <w:t>None confirmed</w:t>
            </w:r>
          </w:p>
        </w:tc>
        <w:tc>
          <w:tcPr>
            <w:tcW w:type="dxa" w:w="4320"/>
            <w:shd w:val="clear" w:fill="FBF0DE"/>
          </w:tcPr>
          <w:p>
            <w:r/>
            <w:r>
              <w:rPr>
                <w:sz w:val="17"/>
              </w:rPr>
              <w:t>Potentiostat/electrochemical workstation with CV, DPV, and EIS capability; screen-printed or laser-induced-graphene electrode fabrication access (or commercial SPCEs)</w:t>
            </w:r>
          </w:p>
        </w:tc>
      </w:tr>
      <w:tr>
        <w:tc>
          <w:tcPr>
            <w:tcW w:type="dxa" w:w="3024"/>
          </w:tcPr>
          <w:p>
            <w:r/>
            <w:r>
              <w:rPr>
                <w:sz w:val="17"/>
              </w:rPr>
              <w:t>Plan C (MurK enzyme-based)</w:t>
            </w:r>
          </w:p>
        </w:tc>
        <w:tc>
          <w:tcPr>
            <w:tcW w:type="dxa" w:w="4176"/>
          </w:tcPr>
          <w:p>
            <w:r/>
            <w:r>
              <w:rPr>
                <w:sz w:val="17"/>
              </w:rPr>
              <w:t>Standard wet-lab/spectrophotometry equipment (likely via AIIMS Jodhpur)</w:t>
            </w:r>
          </w:p>
        </w:tc>
        <w:tc>
          <w:tcPr>
            <w:tcW w:type="dxa" w:w="4320"/>
          </w:tcPr>
          <w:p>
            <w:r/>
            <w:r>
              <w:rPr>
                <w:sz w:val="17"/>
              </w:rPr>
              <w:t>Recombinant protein expression/purification infrastructure (E. coli expression system, chromatography purification), UV-Vis/fluorescence plate reader for NADH-coupled assay</w:t>
            </w:r>
          </w:p>
        </w:tc>
      </w:tr>
      <w:tr>
        <w:tc>
          <w:tcPr>
            <w:tcW w:type="dxa" w:w="3024"/>
            <w:shd w:val="clear" w:fill="FBF0DE"/>
          </w:tcPr>
          <w:p>
            <w:r/>
            <w:r>
              <w:rPr>
                <w:sz w:val="17"/>
              </w:rPr>
              <w:t>Reference/validation (any plan)</w:t>
            </w:r>
          </w:p>
        </w:tc>
        <w:tc>
          <w:tcPr>
            <w:tcW w:type="dxa" w:w="4176"/>
            <w:shd w:val="clear" w:fill="FBF0DE"/>
          </w:tcPr>
          <w:p>
            <w:r/>
            <w:r>
              <w:rPr>
                <w:sz w:val="17"/>
              </w:rPr>
              <w:t>None confirmed</w:t>
            </w:r>
          </w:p>
        </w:tc>
        <w:tc>
          <w:tcPr>
            <w:tcW w:type="dxa" w:w="4320"/>
            <w:shd w:val="clear" w:fill="FBF0DE"/>
          </w:tcPr>
          <w:p>
            <w:r/>
            <w:r>
              <w:rPr>
                <w:sz w:val="17"/>
              </w:rPr>
              <w:t>Access to a GC-MS or LC-MS/MS facility (central analytical facility at IIT/AIIMS Jodhpur or a collaborating institution) — needed to validate specificity/recovery per Section 7.4</w:t>
            </w:r>
          </w:p>
        </w:tc>
      </w:tr>
    </w:tbl>
    <w:p>
      <w:pPr>
        <w:spacing w:after="40"/>
      </w:pPr>
    </w:p>
    <w:p>
      <w:pPr>
        <w:pStyle w:val="Heading1"/>
      </w:pPr>
      <w:r>
        <w:t>23. Required Chemicals</w:t>
      </w:r>
    </w:p>
    <w:p>
      <w:pPr>
        <w:pStyle w:val="ListBullet"/>
        <w:spacing w:after="60"/>
      </w:pPr>
      <w:r>
        <w:rPr>
          <w:b/>
        </w:rPr>
        <w:t xml:space="preserve">Plan A: </w:t>
      </w:r>
      <w:r>
        <w:t>4-mercaptophenylboronic acid (MPBA) or equivalent thiol-boronic acid; pH buffer series (including a mildly alkaline NH4HCO3-type buffer per the peptidoglycan-capture literature precedent); NAM standard (already available per project files); existing MACE reagents (AgNO3, HF — handle per standard HF safety protocol, already in use on this project).</w:t>
      </w:r>
    </w:p>
    <w:p>
      <w:pPr>
        <w:pStyle w:val="ListBullet"/>
        <w:spacing w:after="60"/>
      </w:pPr>
      <w:r>
        <w:rPr>
          <w:b/>
        </w:rPr>
        <w:t xml:space="preserve">Plan B: </w:t>
      </w:r>
      <w:r>
        <w:t>Aminophenylboronic acid or a boronic-acid-bearing monomer for electropolymerization (e.g. aniline boronic acid); electrode-modification reagents; redox probe (e.g. Fe(CN)6 3-/4-) for EIS baseline characterization.</w:t>
      </w:r>
    </w:p>
    <w:p>
      <w:pPr>
        <w:pStyle w:val="ListBullet"/>
        <w:spacing w:after="60"/>
      </w:pPr>
      <w:r>
        <w:rPr>
          <w:b/>
        </w:rPr>
        <w:t xml:space="preserve">Plan C: </w:t>
      </w:r>
      <w:r>
        <w:t>Standard molecular-biology/protein-expression reagents (plasmid/vector for MurK, E. coli expression host, purification resin, ATP, NADH-coupled-assay components: phosphoenolpyruvate, pyruvate kinase, lactate dehydrogenase).</w:t>
      </w:r>
    </w:p>
    <w:p>
      <w:pPr>
        <w:pStyle w:val="ListBullet"/>
        <w:spacing w:after="60"/>
      </w:pPr>
      <w:r>
        <w:rPr>
          <w:b/>
        </w:rPr>
        <w:t xml:space="preserve">Reference/validation (any plan): </w:t>
      </w:r>
      <w:r>
        <w:t>TMS or PMP derivatization reagents if pursuing GC-MS/LC-UV validation in-house, or budget for external analytical-facility service fees if outsourcing.</w:t>
      </w:r>
    </w:p>
    <w:p>
      <w:pPr>
        <w:pStyle w:val="Heading1"/>
      </w:pPr>
      <w:r>
        <w:t>24. Experimental Development Roadmap</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864"/>
            <w:shd w:val="clear" w:fill="B56A0A"/>
          </w:tcPr>
          <w:p>
            <w:r/>
            <w:r>
              <w:rPr>
                <w:b/>
                <w:color w:val="FFFFFF"/>
                <w:sz w:val="18"/>
              </w:rPr>
              <w:t>Phase</w:t>
            </w:r>
          </w:p>
        </w:tc>
        <w:tc>
          <w:tcPr>
            <w:tcW w:type="dxa" w:w="3744"/>
            <w:shd w:val="clear" w:fill="B56A0A"/>
          </w:tcPr>
          <w:p>
            <w:r/>
            <w:r>
              <w:rPr>
                <w:b/>
                <w:color w:val="FFFFFF"/>
                <w:sz w:val="18"/>
              </w:rPr>
              <w:t>Plan A (SERS+boronic acid)</w:t>
            </w:r>
          </w:p>
        </w:tc>
        <w:tc>
          <w:tcPr>
            <w:tcW w:type="dxa" w:w="3744"/>
            <w:shd w:val="clear" w:fill="B56A0A"/>
          </w:tcPr>
          <w:p>
            <w:r/>
            <w:r>
              <w:rPr>
                <w:b/>
                <w:color w:val="FFFFFF"/>
                <w:sz w:val="18"/>
              </w:rPr>
              <w:t>Plan B (Electrochemical, parallel track)</w:t>
            </w:r>
          </w:p>
        </w:tc>
        <w:tc>
          <w:tcPr>
            <w:tcW w:type="dxa" w:w="2448"/>
            <w:shd w:val="clear" w:fill="B56A0A"/>
          </w:tcPr>
          <w:p>
            <w:r/>
            <w:r>
              <w:rPr>
                <w:b/>
                <w:color w:val="FFFFFF"/>
                <w:sz w:val="18"/>
              </w:rPr>
              <w:t>Approx. Duration</w:t>
            </w:r>
          </w:p>
        </w:tc>
      </w:tr>
      <w:tr>
        <w:tc>
          <w:tcPr>
            <w:tcW w:type="dxa" w:w="864"/>
          </w:tcPr>
          <w:p>
            <w:r/>
            <w:r>
              <w:rPr>
                <w:sz w:val="17"/>
              </w:rPr>
              <w:t>1</w:t>
            </w:r>
          </w:p>
        </w:tc>
        <w:tc>
          <w:tcPr>
            <w:tcW w:type="dxa" w:w="3744"/>
          </w:tcPr>
          <w:p>
            <w:r/>
            <w:r>
              <w:rPr>
                <w:sz w:val="17"/>
              </w:rPr>
              <w:t>Baseline characterization (SEM/EDS/UV-Vis) + MPBA functionalization + bare-Ag/blank/high-concentration-NAM controls</w:t>
            </w:r>
          </w:p>
        </w:tc>
        <w:tc>
          <w:tcPr>
            <w:tcW w:type="dxa" w:w="3744"/>
          </w:tcPr>
          <w:p>
            <w:r/>
            <w:r>
              <w:rPr>
                <w:sz w:val="17"/>
              </w:rPr>
              <w:t>Electrode fabrication + boronic-acid electropolymerization + CV/EIS baseline vs. bare electrode</w:t>
            </w:r>
          </w:p>
        </w:tc>
        <w:tc>
          <w:tcPr>
            <w:tcW w:type="dxa" w:w="2448"/>
          </w:tcPr>
          <w:p>
            <w:r/>
            <w:r>
              <w:rPr>
                <w:sz w:val="17"/>
              </w:rPr>
              <w:t>4-6 weeks (can run concurrently)</w:t>
            </w:r>
          </w:p>
        </w:tc>
      </w:tr>
      <w:tr>
        <w:tc>
          <w:tcPr>
            <w:tcW w:type="dxa" w:w="864"/>
            <w:shd w:val="clear" w:fill="FBF0DE"/>
          </w:tcPr>
          <w:p>
            <w:r/>
            <w:r>
              <w:rPr>
                <w:sz w:val="17"/>
              </w:rPr>
              <w:t>2</w:t>
            </w:r>
          </w:p>
        </w:tc>
        <w:tc>
          <w:tcPr>
            <w:tcW w:type="dxa" w:w="3744"/>
            <w:shd w:val="clear" w:fill="FBF0DE"/>
          </w:tcPr>
          <w:p>
            <w:r/>
            <w:r>
              <w:rPr>
                <w:sz w:val="17"/>
              </w:rPr>
              <w:t>Concentration series, pH optimization, calibration curve, empirical LOD</w:t>
            </w:r>
          </w:p>
        </w:tc>
        <w:tc>
          <w:tcPr>
            <w:tcW w:type="dxa" w:w="3744"/>
            <w:shd w:val="clear" w:fill="FBF0DE"/>
          </w:tcPr>
          <w:p>
            <w:r/>
            <w:r>
              <w:rPr>
                <w:sz w:val="17"/>
              </w:rPr>
              <w:t>Concentration series vs. sialic-acid-analog literature benchmarks; selectivity vs. GlcNAc/glucosamine panel</w:t>
            </w:r>
          </w:p>
        </w:tc>
        <w:tc>
          <w:tcPr>
            <w:tcW w:type="dxa" w:w="2448"/>
            <w:shd w:val="clear" w:fill="FBF0DE"/>
          </w:tcPr>
          <w:p>
            <w:r/>
            <w:r>
              <w:rPr>
                <w:sz w:val="17"/>
              </w:rPr>
              <w:t>4-6 weeks</w:t>
            </w:r>
          </w:p>
        </w:tc>
      </w:tr>
      <w:tr>
        <w:tc>
          <w:tcPr>
            <w:tcW w:type="dxa" w:w="864"/>
          </w:tcPr>
          <w:p>
            <w:r/>
            <w:r>
              <w:rPr>
                <w:sz w:val="17"/>
              </w:rPr>
              <w:t>3</w:t>
            </w:r>
          </w:p>
        </w:tc>
        <w:tc>
          <w:tcPr>
            <w:tcW w:type="dxa" w:w="3744"/>
          </w:tcPr>
          <w:p>
            <w:r/>
            <w:r>
              <w:rPr>
                <w:sz w:val="17"/>
              </w:rPr>
              <w:t>Reproducibility (substrate-to-substrate, day-to-day RSD), Raman mapping statistics</w:t>
            </w:r>
          </w:p>
        </w:tc>
        <w:tc>
          <w:tcPr>
            <w:tcW w:type="dxa" w:w="3744"/>
          </w:tcPr>
          <w:p>
            <w:r/>
            <w:r>
              <w:rPr>
                <w:sz w:val="17"/>
              </w:rPr>
              <w:t>Electrode-to-electrode reproducibility, imprinting-factor validation if MIP variant pursued</w:t>
            </w:r>
          </w:p>
        </w:tc>
        <w:tc>
          <w:tcPr>
            <w:tcW w:type="dxa" w:w="2448"/>
          </w:tcPr>
          <w:p>
            <w:r/>
            <w:r>
              <w:rPr>
                <w:sz w:val="17"/>
              </w:rPr>
              <w:t>3-4 weeks</w:t>
            </w:r>
          </w:p>
        </w:tc>
      </w:tr>
      <w:tr>
        <w:tc>
          <w:tcPr>
            <w:tcW w:type="dxa" w:w="864"/>
            <w:shd w:val="clear" w:fill="FBF0DE"/>
          </w:tcPr>
          <w:p>
            <w:r/>
            <w:r>
              <w:rPr>
                <w:sz w:val="17"/>
              </w:rPr>
              <w:t>4</w:t>
            </w:r>
          </w:p>
        </w:tc>
        <w:tc>
          <w:tcPr>
            <w:tcW w:type="dxa" w:w="3744"/>
            <w:shd w:val="clear" w:fill="FBF0DE"/>
          </w:tcPr>
          <w:p>
            <w:r/>
            <w:r>
              <w:rPr>
                <w:sz w:val="17"/>
              </w:rPr>
              <w:t>Reference-method cross-validation against GC-MS/LC-MS (Section 7) if facility access is secured</w:t>
            </w:r>
          </w:p>
        </w:tc>
        <w:tc>
          <w:tcPr>
            <w:tcW w:type="dxa" w:w="3744"/>
            <w:shd w:val="clear" w:fill="FBF0DE"/>
          </w:tcPr>
          <w:p>
            <w:r/>
            <w:r>
              <w:rPr>
                <w:sz w:val="17"/>
              </w:rPr>
              <w:t>Same reference-method cross-validation</w:t>
            </w:r>
          </w:p>
        </w:tc>
        <w:tc>
          <w:tcPr>
            <w:tcW w:type="dxa" w:w="2448"/>
            <w:shd w:val="clear" w:fill="FBF0DE"/>
          </w:tcPr>
          <w:p>
            <w:r/>
            <w:r>
              <w:rPr>
                <w:sz w:val="17"/>
              </w:rPr>
              <w:t>4-8 weeks (facility-access-dependent)</w:t>
            </w:r>
          </w:p>
        </w:tc>
      </w:tr>
      <w:tr>
        <w:tc>
          <w:tcPr>
            <w:tcW w:type="dxa" w:w="864"/>
          </w:tcPr>
          <w:p>
            <w:r/>
            <w:r>
              <w:rPr>
                <w:sz w:val="17"/>
              </w:rPr>
              <w:t>5</w:t>
            </w:r>
          </w:p>
        </w:tc>
        <w:tc>
          <w:tcPr>
            <w:tcW w:type="dxa" w:w="3744"/>
          </w:tcPr>
          <w:p>
            <w:r/>
            <w:r>
              <w:rPr>
                <w:sz w:val="17"/>
              </w:rPr>
              <w:t>Buffer -&gt; spiked serum matrix testing, with antifouling strategy if needed; evaluate acid-hydrolysis pre-step per Section 17.2</w:t>
            </w:r>
          </w:p>
        </w:tc>
        <w:tc>
          <w:tcPr>
            <w:tcW w:type="dxa" w:w="3744"/>
          </w:tcPr>
          <w:p>
            <w:r/>
            <w:r>
              <w:rPr>
                <w:sz w:val="17"/>
              </w:rPr>
              <w:t>Same serum-matrix transition</w:t>
            </w:r>
          </w:p>
        </w:tc>
        <w:tc>
          <w:tcPr>
            <w:tcW w:type="dxa" w:w="2448"/>
          </w:tcPr>
          <w:p>
            <w:r/>
            <w:r>
              <w:rPr>
                <w:sz w:val="17"/>
              </w:rPr>
              <w:t>6-10 weeks</w:t>
            </w:r>
          </w:p>
        </w:tc>
      </w:tr>
      <w:tr>
        <w:tc>
          <w:tcPr>
            <w:tcW w:type="dxa" w:w="864"/>
            <w:shd w:val="clear" w:fill="FBF0DE"/>
          </w:tcPr>
          <w:p>
            <w:r/>
            <w:r>
              <w:rPr>
                <w:sz w:val="17"/>
              </w:rPr>
              <w:t>6 (stretch)</w:t>
            </w:r>
          </w:p>
        </w:tc>
        <w:tc>
          <w:tcPr>
            <w:tcW w:type="dxa" w:w="3744"/>
            <w:shd w:val="clear" w:fill="FBF0DE"/>
          </w:tcPr>
          <w:p>
            <w:r/>
            <w:r>
              <w:rPr>
                <w:sz w:val="17"/>
              </w:rPr>
              <w:t>Extension to LPS/LTA using validated framework</w:t>
            </w:r>
          </w:p>
        </w:tc>
        <w:tc>
          <w:tcPr>
            <w:tcW w:type="dxa" w:w="3744"/>
            <w:shd w:val="clear" w:fill="FBF0DE"/>
          </w:tcPr>
          <w:p>
            <w:r/>
            <w:r>
              <w:rPr>
                <w:sz w:val="17"/>
              </w:rPr>
              <w:t>Extension to LPS/LTA analog capture chemistry</w:t>
            </w:r>
          </w:p>
        </w:tc>
        <w:tc>
          <w:tcPr>
            <w:tcW w:type="dxa" w:w="2448"/>
            <w:shd w:val="clear" w:fill="FBF0DE"/>
          </w:tcPr>
          <w:p>
            <w:r/>
            <w:r>
              <w:rPr>
                <w:sz w:val="17"/>
              </w:rPr>
              <w:t>6-10 weeks</w:t>
            </w:r>
          </w:p>
        </w:tc>
      </w:tr>
    </w:tbl>
    <w:p>
      <w:pPr>
        <w:spacing w:after="40"/>
      </w:pPr>
    </w:p>
    <w:p>
      <w:pPr>
        <w:spacing w:after="120"/>
      </w:pPr>
      <w:r>
        <w:rPr>
          <w:b w:val="0"/>
          <w:i w:val="0"/>
        </w:rPr>
        <w:t>Plan C (MurK enzyme-based) is not phased in detail here — per Section 27, it is positioned as a longer-term, higher-risk track best pursued as a PhD-extension or parallel-lab-collaboration effort rather than the primary 6-12 month M.Tech deliverable, given the substantial new molecular-biology infrastructure it requires (Section 22).</w:t>
      </w:r>
    </w:p>
    <w:p>
      <w:r>
        <w:br w:type="page"/>
      </w:r>
    </w:p>
    <w:p>
      <w:pPr>
        <w:pStyle w:val="Heading1"/>
      </w:pPr>
      <w:r>
        <w:t>25. Risk Assessment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3744"/>
            <w:shd w:val="clear" w:fill="B56A0A"/>
          </w:tcPr>
          <w:p>
            <w:r/>
            <w:r>
              <w:rPr>
                <w:b/>
                <w:color w:val="FFFFFF"/>
                <w:sz w:val="18"/>
              </w:rPr>
              <w:t>Risk</w:t>
            </w:r>
          </w:p>
        </w:tc>
        <w:tc>
          <w:tcPr>
            <w:tcW w:type="dxa" w:w="1440"/>
            <w:shd w:val="clear" w:fill="B56A0A"/>
          </w:tcPr>
          <w:p>
            <w:r/>
            <w:r>
              <w:rPr>
                <w:b/>
                <w:color w:val="FFFFFF"/>
                <w:sz w:val="18"/>
              </w:rPr>
              <w:t>Plan Affected</w:t>
            </w:r>
          </w:p>
        </w:tc>
        <w:tc>
          <w:tcPr>
            <w:tcW w:type="dxa" w:w="2016"/>
            <w:shd w:val="clear" w:fill="B56A0A"/>
          </w:tcPr>
          <w:p>
            <w:r/>
            <w:r>
              <w:rPr>
                <w:b/>
                <w:color w:val="FFFFFF"/>
                <w:sz w:val="18"/>
              </w:rPr>
              <w:t>Likelihood</w:t>
            </w:r>
          </w:p>
        </w:tc>
        <w:tc>
          <w:tcPr>
            <w:tcW w:type="dxa" w:w="3600"/>
            <w:shd w:val="clear" w:fill="B56A0A"/>
          </w:tcPr>
          <w:p>
            <w:r/>
            <w:r>
              <w:rPr>
                <w:b/>
                <w:color w:val="FFFFFF"/>
                <w:sz w:val="18"/>
              </w:rPr>
              <w:t>Mitigation</w:t>
            </w:r>
          </w:p>
        </w:tc>
      </w:tr>
      <w:tr>
        <w:tc>
          <w:tcPr>
            <w:tcW w:type="dxa" w:w="3744"/>
          </w:tcPr>
          <w:p>
            <w:r/>
            <w:r>
              <w:rPr>
                <w:sz w:val="16"/>
              </w:rPr>
              <w:t>MPBA/boronic acid does not bind NAM's diol with useful affinity/selectivity (NAM's diol geometry differs from glucose/sialic acid)</w:t>
            </w:r>
          </w:p>
        </w:tc>
        <w:tc>
          <w:tcPr>
            <w:tcW w:type="dxa" w:w="1440"/>
          </w:tcPr>
          <w:p>
            <w:r/>
            <w:r>
              <w:rPr>
                <w:sz w:val="16"/>
              </w:rPr>
              <w:t>A, B</w:t>
            </w:r>
          </w:p>
        </w:tc>
        <w:tc>
          <w:tcPr>
            <w:tcW w:type="dxa" w:w="2016"/>
          </w:tcPr>
          <w:p>
            <w:r/>
            <w:r>
              <w:rPr>
                <w:sz w:val="16"/>
              </w:rPr>
              <w:t>Moderate</w:t>
            </w:r>
          </w:p>
        </w:tc>
        <w:tc>
          <w:tcPr>
            <w:tcW w:type="dxa" w:w="3600"/>
          </w:tcPr>
          <w:p>
            <w:r/>
            <w:r>
              <w:rPr>
                <w:sz w:val="16"/>
              </w:rPr>
              <w:t>Empirical concentration-series test early (Phase 1-2) before further investment; DFT binding-energy comparison to phenylboronic acid, leveraging this project's existing Gaussian/DFT capability, as a low-cost pre-screen</w:t>
            </w:r>
          </w:p>
        </w:tc>
      </w:tr>
      <w:tr>
        <w:tc>
          <w:tcPr>
            <w:tcW w:type="dxa" w:w="3744"/>
            <w:shd w:val="clear" w:fill="FBF0DE"/>
          </w:tcPr>
          <w:p>
            <w:r/>
            <w:r>
              <w:rPr>
                <w:sz w:val="16"/>
              </w:rPr>
              <w:t>Matrix effects in serum (protein fouling, co-eluting amino sugars) mask signal</w:t>
            </w:r>
          </w:p>
        </w:tc>
        <w:tc>
          <w:tcPr>
            <w:tcW w:type="dxa" w:w="1440"/>
            <w:shd w:val="clear" w:fill="FBF0DE"/>
          </w:tcPr>
          <w:p>
            <w:r/>
            <w:r>
              <w:rPr>
                <w:sz w:val="16"/>
              </w:rPr>
              <w:t>A, B</w:t>
            </w:r>
          </w:p>
        </w:tc>
        <w:tc>
          <w:tcPr>
            <w:tcW w:type="dxa" w:w="2016"/>
            <w:shd w:val="clear" w:fill="FBF0DE"/>
          </w:tcPr>
          <w:p>
            <w:r/>
            <w:r>
              <w:rPr>
                <w:sz w:val="16"/>
              </w:rPr>
              <w:t>High (per Section 17.3, a near-certainty without mitigation)</w:t>
            </w:r>
          </w:p>
        </w:tc>
        <w:tc>
          <w:tcPr>
            <w:tcW w:type="dxa" w:w="3600"/>
            <w:shd w:val="clear" w:fill="FBF0DE"/>
          </w:tcPr>
          <w:p>
            <w:r/>
            <w:r>
              <w:rPr>
                <w:sz w:val="16"/>
              </w:rPr>
              <w:t>Antifouling coatings, protein depletion, or molecular-imprinting selectivity; budget dedicated time for this transition rather than treating it as a final step</w:t>
            </w:r>
          </w:p>
        </w:tc>
      </w:tr>
      <w:tr>
        <w:tc>
          <w:tcPr>
            <w:tcW w:type="dxa" w:w="3744"/>
          </w:tcPr>
          <w:p>
            <w:r/>
            <w:r>
              <w:rPr>
                <w:sz w:val="16"/>
              </w:rPr>
              <w:t>GC-MS/LC-MS reference-method access unavailable at IIT/AIIMS Jodhpur</w:t>
            </w:r>
          </w:p>
        </w:tc>
        <w:tc>
          <w:tcPr>
            <w:tcW w:type="dxa" w:w="1440"/>
          </w:tcPr>
          <w:p>
            <w:r/>
            <w:r>
              <w:rPr>
                <w:sz w:val="16"/>
              </w:rPr>
              <w:t>All (validation step)</w:t>
            </w:r>
          </w:p>
        </w:tc>
        <w:tc>
          <w:tcPr>
            <w:tcW w:type="dxa" w:w="2016"/>
          </w:tcPr>
          <w:p>
            <w:r/>
            <w:r>
              <w:rPr>
                <w:sz w:val="16"/>
              </w:rPr>
              <w:t>Not confirmed either way</w:t>
            </w:r>
          </w:p>
        </w:tc>
        <w:tc>
          <w:tcPr>
            <w:tcW w:type="dxa" w:w="3600"/>
          </w:tcPr>
          <w:p>
            <w:r/>
            <w:r>
              <w:rPr>
                <w:sz w:val="16"/>
              </w:rPr>
              <w:t>Confirm facility access early; if unavailable, position the sensor's internal reproducibility/statistics (Section 24 Phase 3) as the primary validation evidence and seek an external collaboration for confirmatory MS testing</w:t>
            </w:r>
          </w:p>
        </w:tc>
      </w:tr>
      <w:tr>
        <w:tc>
          <w:tcPr>
            <w:tcW w:type="dxa" w:w="3744"/>
            <w:shd w:val="clear" w:fill="FBF0DE"/>
          </w:tcPr>
          <w:p>
            <w:r/>
            <w:r>
              <w:rPr>
                <w:sz w:val="16"/>
              </w:rPr>
              <w:t>Electrochemical track (Plan B) requires a genuinely new skill set and equipment not yet used on this project</w:t>
            </w:r>
          </w:p>
        </w:tc>
        <w:tc>
          <w:tcPr>
            <w:tcW w:type="dxa" w:w="1440"/>
            <w:shd w:val="clear" w:fill="FBF0DE"/>
          </w:tcPr>
          <w:p>
            <w:r/>
            <w:r>
              <w:rPr>
                <w:sz w:val="16"/>
              </w:rPr>
              <w:t>B</w:t>
            </w:r>
          </w:p>
        </w:tc>
        <w:tc>
          <w:tcPr>
            <w:tcW w:type="dxa" w:w="2016"/>
            <w:shd w:val="clear" w:fill="FBF0DE"/>
          </w:tcPr>
          <w:p>
            <w:r/>
            <w:r>
              <w:rPr>
                <w:sz w:val="16"/>
              </w:rPr>
              <w:t>Confirmed (per Section 19.2)</w:t>
            </w:r>
          </w:p>
        </w:tc>
        <w:tc>
          <w:tcPr>
            <w:tcW w:type="dxa" w:w="3600"/>
            <w:shd w:val="clear" w:fill="FBF0DE"/>
          </w:tcPr>
          <w:p>
            <w:r/>
            <w:r>
              <w:rPr>
                <w:sz w:val="16"/>
              </w:rPr>
              <w:t>Scope Plan B modestly (a single boronic-acid/MIP electrode design, not a full parameter sweep) so it can run as a true parallel/backup track without displacing Plan A effort</w:t>
            </w:r>
          </w:p>
        </w:tc>
      </w:tr>
      <w:tr>
        <w:tc>
          <w:tcPr>
            <w:tcW w:type="dxa" w:w="3744"/>
          </w:tcPr>
          <w:p>
            <w:r/>
            <w:r>
              <w:rPr>
                <w:sz w:val="16"/>
              </w:rPr>
              <w:t>Free-NAM framing may not translate to a real clinical (bound/hydrolyzed) sample</w:t>
            </w:r>
          </w:p>
        </w:tc>
        <w:tc>
          <w:tcPr>
            <w:tcW w:type="dxa" w:w="1440"/>
          </w:tcPr>
          <w:p>
            <w:r/>
            <w:r>
              <w:rPr>
                <w:sz w:val="16"/>
              </w:rPr>
              <w:t>All</w:t>
            </w:r>
          </w:p>
        </w:tc>
        <w:tc>
          <w:tcPr>
            <w:tcW w:type="dxa" w:w="2016"/>
          </w:tcPr>
          <w:p>
            <w:r/>
            <w:r>
              <w:rPr>
                <w:sz w:val="16"/>
              </w:rPr>
              <w:t>High (per Section 17.2)</w:t>
            </w:r>
          </w:p>
        </w:tc>
        <w:tc>
          <w:tcPr>
            <w:tcW w:type="dxa" w:w="3600"/>
          </w:tcPr>
          <w:p>
            <w:r/>
            <w:r>
              <w:rPr>
                <w:sz w:val="16"/>
              </w:rPr>
              <w:t>Explicitly scope Phase 5 (Section 24) to include an acid-hydrolysis pre-treatment arm, tested against both free NAM and hydrolyzed-peptidoglycan spiked serum</w:t>
            </w:r>
          </w:p>
        </w:tc>
      </w:tr>
      <w:tr>
        <w:tc>
          <w:tcPr>
            <w:tcW w:type="dxa" w:w="3744"/>
            <w:shd w:val="clear" w:fill="FBF0DE"/>
          </w:tcPr>
          <w:p>
            <w:r/>
            <w:r>
              <w:rPr>
                <w:sz w:val="16"/>
              </w:rPr>
              <w:t>6-12 month timeline is tight for a genuinely novel (no prior precedent) sensor</w:t>
            </w:r>
          </w:p>
        </w:tc>
        <w:tc>
          <w:tcPr>
            <w:tcW w:type="dxa" w:w="1440"/>
            <w:shd w:val="clear" w:fill="FBF0DE"/>
          </w:tcPr>
          <w:p>
            <w:r/>
            <w:r>
              <w:rPr>
                <w:sz w:val="16"/>
              </w:rPr>
              <w:t>All</w:t>
            </w:r>
          </w:p>
        </w:tc>
        <w:tc>
          <w:tcPr>
            <w:tcW w:type="dxa" w:w="2016"/>
            <w:shd w:val="clear" w:fill="FBF0DE"/>
          </w:tcPr>
          <w:p>
            <w:r/>
            <w:r>
              <w:rPr>
                <w:sz w:val="16"/>
              </w:rPr>
              <w:t>Moderate-high</w:t>
            </w:r>
          </w:p>
        </w:tc>
        <w:tc>
          <w:tcPr>
            <w:tcW w:type="dxa" w:w="3600"/>
            <w:shd w:val="clear" w:fill="FBF0DE"/>
          </w:tcPr>
          <w:p>
            <w:r/>
            <w:r>
              <w:rPr>
                <w:sz w:val="16"/>
              </w:rPr>
              <w:t>Prioritize ruthlessly per the phased roadmap; treat Phase 6 (LPS/LTA extension) and Plan C as explicitly optional stretch goals, not committed deliverables</w:t>
            </w:r>
          </w:p>
        </w:tc>
      </w:tr>
    </w:tbl>
    <w:p>
      <w:pPr>
        <w:spacing w:after="40"/>
      </w:pPr>
    </w:p>
    <w:p>
      <w:r>
        <w:br w:type="page"/>
      </w:r>
    </w:p>
    <w:p>
      <w:pPr>
        <w:pStyle w:val="Heading1"/>
      </w:pPr>
      <w:r>
        <w:t>26. Novelty and Publication Potential</w:t>
      </w:r>
    </w:p>
    <w:p>
      <w:pPr>
        <w:spacing w:after="120"/>
      </w:pPr>
      <w:r>
        <w:rPr>
          <w:b w:val="0"/>
          <w:i w:val="0"/>
        </w:rPr>
        <w:t>Every technology surveyed in this report shares one striking property: none has a published Category 1 (true, direct, free-analyte) biosensor precedent for NAM. This means the novelty question is less "which technology is most novel" and more "which technology, once it works, produces the most defensible, publishable result fastest, using assets this project already has."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736"/>
            <w:shd w:val="clear" w:fill="B56A0A"/>
          </w:tcPr>
          <w:p>
            <w:r/>
            <w:r>
              <w:rPr>
                <w:b/>
                <w:color w:val="FFFFFF"/>
                <w:sz w:val="18"/>
              </w:rPr>
              <w:t>Option</w:t>
            </w:r>
          </w:p>
        </w:tc>
        <w:tc>
          <w:tcPr>
            <w:tcW w:type="dxa" w:w="3744"/>
            <w:shd w:val="clear" w:fill="B56A0A"/>
          </w:tcPr>
          <w:p>
            <w:r/>
            <w:r>
              <w:rPr>
                <w:b/>
                <w:color w:val="FFFFFF"/>
                <w:sz w:val="18"/>
              </w:rPr>
              <w:t>Novelty If Successful</w:t>
            </w:r>
          </w:p>
        </w:tc>
        <w:tc>
          <w:tcPr>
            <w:tcW w:type="dxa" w:w="2880"/>
            <w:shd w:val="clear" w:fill="B56A0A"/>
          </w:tcPr>
          <w:p>
            <w:r/>
            <w:r>
              <w:rPr>
                <w:b/>
                <w:color w:val="FFFFFF"/>
                <w:sz w:val="18"/>
              </w:rPr>
              <w:t>Publication Risk</w:t>
            </w:r>
          </w:p>
        </w:tc>
        <w:tc>
          <w:tcPr>
            <w:tcW w:type="dxa" w:w="2160"/>
            <w:shd w:val="clear" w:fill="B56A0A"/>
          </w:tcPr>
          <w:p>
            <w:r/>
            <w:r>
              <w:rPr>
                <w:b/>
                <w:color w:val="FFFFFF"/>
                <w:sz w:val="18"/>
              </w:rPr>
              <w:t>Leverages Existing Work?</w:t>
            </w:r>
          </w:p>
        </w:tc>
      </w:tr>
      <w:tr>
        <w:tc>
          <w:tcPr>
            <w:tcW w:type="dxa" w:w="2736"/>
          </w:tcPr>
          <w:p>
            <w:r/>
            <w:r>
              <w:rPr>
                <w:sz w:val="16"/>
              </w:rPr>
              <w:t>Plan A (SERS+boronic acid)</w:t>
            </w:r>
          </w:p>
        </w:tc>
        <w:tc>
          <w:tcPr>
            <w:tcW w:type="dxa" w:w="3744"/>
          </w:tcPr>
          <w:p>
            <w:r/>
            <w:r>
              <w:rPr>
                <w:sz w:val="16"/>
              </w:rPr>
              <w:t>First direct NAM SERS measurement in the peer-reviewed literature, period — high novelty</w:t>
            </w:r>
          </w:p>
        </w:tc>
        <w:tc>
          <w:tcPr>
            <w:tcW w:type="dxa" w:w="2880"/>
          </w:tcPr>
          <w:p>
            <w:r/>
            <w:r>
              <w:rPr>
                <w:sz w:val="16"/>
              </w:rPr>
              <w:t>Moderate (capture chemistry may underperform; matrix transition is hard)</w:t>
            </w:r>
          </w:p>
        </w:tc>
        <w:tc>
          <w:tcPr>
            <w:tcW w:type="dxa" w:w="2160"/>
          </w:tcPr>
          <w:p>
            <w:r/>
            <w:r>
              <w:rPr>
                <w:sz w:val="16"/>
              </w:rPr>
              <w:t>Yes — fully reuses DFT, Raman reference-spectrum work, and the fabricated substrate</w:t>
            </w:r>
          </w:p>
        </w:tc>
      </w:tr>
      <w:tr>
        <w:tc>
          <w:tcPr>
            <w:tcW w:type="dxa" w:w="2736"/>
            <w:shd w:val="clear" w:fill="FBF0DE"/>
          </w:tcPr>
          <w:p>
            <w:r/>
            <w:r>
              <w:rPr>
                <w:sz w:val="16"/>
              </w:rPr>
              <w:t>Plan B (electrochemical boronic-acid/MIP)</w:t>
            </w:r>
          </w:p>
        </w:tc>
        <w:tc>
          <w:tcPr>
            <w:tcW w:type="dxa" w:w="3744"/>
            <w:shd w:val="clear" w:fill="FBF0DE"/>
          </w:tcPr>
          <w:p>
            <w:r/>
            <w:r>
              <w:rPr>
                <w:sz w:val="16"/>
              </w:rPr>
              <w:t>First NAM electrochemical sensor — high novelty, and a faster/cheaper path to a first positive result given richer analog precedent</w:t>
            </w:r>
          </w:p>
        </w:tc>
        <w:tc>
          <w:tcPr>
            <w:tcW w:type="dxa" w:w="2880"/>
            <w:shd w:val="clear" w:fill="FBF0DE"/>
          </w:tcPr>
          <w:p>
            <w:r/>
            <w:r>
              <w:rPr>
                <w:sz w:val="16"/>
              </w:rPr>
              <w:t>Lower (best-precedented recognition chemistry of any option surveyed)</w:t>
            </w:r>
          </w:p>
        </w:tc>
        <w:tc>
          <w:tcPr>
            <w:tcW w:type="dxa" w:w="2160"/>
            <w:shd w:val="clear" w:fill="FBF0DE"/>
          </w:tcPr>
          <w:p>
            <w:r/>
            <w:r>
              <w:rPr>
                <w:sz w:val="16"/>
              </w:rPr>
              <w:t>Partial — reuses the boronic-acid capture-chemistry research, not the SERS substrate/instrumentation</w:t>
            </w:r>
          </w:p>
        </w:tc>
      </w:tr>
      <w:tr>
        <w:tc>
          <w:tcPr>
            <w:tcW w:type="dxa" w:w="2736"/>
          </w:tcPr>
          <w:p>
            <w:r/>
            <w:r>
              <w:rPr>
                <w:sz w:val="16"/>
              </w:rPr>
              <w:t>Plan C (MurK enzyme-based)</w:t>
            </w:r>
          </w:p>
        </w:tc>
        <w:tc>
          <w:tcPr>
            <w:tcW w:type="dxa" w:w="3744"/>
          </w:tcPr>
          <w:p>
            <w:r/>
            <w:r>
              <w:rPr>
                <w:sz w:val="16"/>
              </w:rPr>
              <w:t>First NAM biosensor device built on a natural peptidoglycan-recycling enzyme — very high novelty, potentially high-impact given zero device precedent found anywhere in this search</w:t>
            </w:r>
          </w:p>
        </w:tc>
        <w:tc>
          <w:tcPr>
            <w:tcW w:type="dxa" w:w="2880"/>
          </w:tcPr>
          <w:p>
            <w:r/>
            <w:r>
              <w:rPr>
                <w:sz w:val="16"/>
              </w:rPr>
              <w:t>High (new skill set, GlcNAc cross-reactivity needs solving, longer timeline)</w:t>
            </w:r>
          </w:p>
        </w:tc>
        <w:tc>
          <w:tcPr>
            <w:tcW w:type="dxa" w:w="2160"/>
          </w:tcPr>
          <w:p>
            <w:r/>
            <w:r>
              <w:rPr>
                <w:sz w:val="16"/>
              </w:rPr>
              <w:t>No — largely new infrastructure and expertise</w:t>
            </w:r>
          </w:p>
        </w:tc>
      </w:tr>
      <w:tr>
        <w:tc>
          <w:tcPr>
            <w:tcW w:type="dxa" w:w="2736"/>
            <w:shd w:val="clear" w:fill="FBF0DE"/>
          </w:tcPr>
          <w:p>
            <w:r/>
            <w:r>
              <w:rPr>
                <w:sz w:val="16"/>
              </w:rPr>
              <w:t>Original NAM DFT-Raman characterization (any plan)</w:t>
            </w:r>
          </w:p>
        </w:tc>
        <w:tc>
          <w:tcPr>
            <w:tcW w:type="dxa" w:w="3744"/>
            <w:shd w:val="clear" w:fill="FBF0DE"/>
          </w:tcPr>
          <w:p>
            <w:r/>
            <w:r>
              <w:rPr>
                <w:sz w:val="16"/>
              </w:rPr>
              <w:t>The only located NAM-specific DFT study is embedded in an unrelated diagnostic ML paper; a standalone DFT vibrational characterization of NAM would be genuinely novel and directly buildable on this project's existing Gaussian infrastructure</w:t>
            </w:r>
          </w:p>
        </w:tc>
        <w:tc>
          <w:tcPr>
            <w:tcW w:type="dxa" w:w="2880"/>
            <w:shd w:val="clear" w:fill="FBF0DE"/>
          </w:tcPr>
          <w:p>
            <w:r/>
            <w:r>
              <w:rPr>
                <w:sz w:val="16"/>
              </w:rPr>
              <w:t>Low (pure computational work, no wet-lab risk)</w:t>
            </w:r>
          </w:p>
        </w:tc>
        <w:tc>
          <w:tcPr>
            <w:tcW w:type="dxa" w:w="2160"/>
            <w:shd w:val="clear" w:fill="FBF0DE"/>
          </w:tcPr>
          <w:p>
            <w:r/>
            <w:r>
              <w:rPr>
                <w:sz w:val="16"/>
              </w:rPr>
              <w:t>Yes — fully reuses existing DFT expertise, independent of which sensing Plan is chosen</w:t>
            </w:r>
          </w:p>
        </w:tc>
      </w:tr>
    </w:tbl>
    <w:p>
      <w:pPr>
        <w:spacing w:after="40"/>
      </w:pPr>
    </w:p>
    <w:p>
      <w:pPr>
        <w:spacing w:after="120"/>
      </w:pPr>
      <w:r>
        <w:rPr>
          <w:b w:val="0"/>
          <w:i w:val="0"/>
        </w:rPr>
        <w:t>Recommendation embedded in this scoring: pursue the original NAM DFT-Raman characterization regardless of which sensing Plan is chosen — it is low-risk, directly reuses existing expertise, and produces a citable reference spectrum every other Plan in this report depends on (Sections 6, 8, 24).</w:t>
      </w:r>
    </w:p>
    <w:p>
      <w:r>
        <w:br w:type="page"/>
      </w:r>
    </w:p>
    <w:p>
      <w:pPr>
        <w:pStyle w:val="Heading1"/>
      </w:pPr>
      <w:r>
        <w:t>27. Final Recommendation (Plan A / B / C)</w:t>
      </w:r>
    </w:p>
    <w:p>
      <w:pPr>
        <w:pStyle w:val="Heading2"/>
      </w:pPr>
      <w:r>
        <w:t>27.1 Ranked Root-Cause Diagnosis</w:t>
      </w:r>
    </w:p>
    <w:p>
      <w:pPr>
        <w:spacing w:after="120"/>
      </w:pPr>
      <w:r>
        <w:rPr>
          <w:b w:val="0"/>
          <w:i w:val="0"/>
        </w:rPr>
        <w:t>Per the prompt's explicit question — is the problem A) NAM intrinsically hard to detect by Raman, B) NAM doesn't adsorb to Ag, C) NAM doesn't reach the hotspots, D) Ag morphology inadequate, E) acquisition parameters inadequate, F) concentration below practical SERS sensitivity, G) surface chemistry missing, or H) SERS is simply not the most appropriate technology — ranked by the combined evidence of this and the three companion reports: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152"/>
            <w:shd w:val="clear" w:fill="B56A0A"/>
          </w:tcPr>
          <w:p>
            <w:r/>
            <w:r>
              <w:rPr>
                <w:b/>
                <w:color w:val="FFFFFF"/>
                <w:sz w:val="18"/>
              </w:rPr>
              <w:t>Rank</w:t>
            </w:r>
          </w:p>
        </w:tc>
        <w:tc>
          <w:tcPr>
            <w:tcW w:type="dxa" w:w="3312"/>
            <w:shd w:val="clear" w:fill="B56A0A"/>
          </w:tcPr>
          <w:p>
            <w:r/>
            <w:r>
              <w:rPr>
                <w:b/>
                <w:color w:val="FFFFFF"/>
                <w:sz w:val="18"/>
              </w:rPr>
              <w:t>Cause</w:t>
            </w:r>
          </w:p>
        </w:tc>
        <w:tc>
          <w:tcPr>
            <w:tcW w:type="dxa" w:w="6336"/>
            <w:shd w:val="clear" w:fill="B56A0A"/>
          </w:tcPr>
          <w:p>
            <w:r/>
            <w:r>
              <w:rPr>
                <w:b/>
                <w:color w:val="FFFFFF"/>
                <w:sz w:val="18"/>
              </w:rPr>
              <w:t>Supporting Evidence</w:t>
            </w:r>
          </w:p>
        </w:tc>
      </w:tr>
      <w:tr>
        <w:tc>
          <w:tcPr>
            <w:tcW w:type="dxa" w:w="1152"/>
          </w:tcPr>
          <w:p>
            <w:r/>
            <w:r>
              <w:rPr>
                <w:sz w:val="16"/>
              </w:rPr>
              <w:t>1 (joint)</w:t>
            </w:r>
          </w:p>
        </w:tc>
        <w:tc>
          <w:tcPr>
            <w:tcW w:type="dxa" w:w="3312"/>
          </w:tcPr>
          <w:p>
            <w:r/>
            <w:r>
              <w:rPr>
                <w:sz w:val="16"/>
              </w:rPr>
              <w:t>G — Surface chemistry is missing</w:t>
            </w:r>
          </w:p>
        </w:tc>
        <w:tc>
          <w:tcPr>
            <w:tcW w:type="dxa" w:w="6336"/>
          </w:tcPr>
          <w:p>
            <w:r/>
            <w:r>
              <w:rPr>
                <w:sz w:val="16"/>
              </w:rPr>
              <w:t>Confirmed across every companion report and reinforced here: R6G (a strong adsorber) works, NAM (no thiol, no aromatic ring, blocked amine) does not; boronic-acid literature directly targets this gap</w:t>
            </w:r>
          </w:p>
        </w:tc>
      </w:tr>
      <w:tr>
        <w:tc>
          <w:tcPr>
            <w:tcW w:type="dxa" w:w="1152"/>
            <w:shd w:val="clear" w:fill="FBF0DE"/>
          </w:tcPr>
          <w:p>
            <w:r/>
            <w:r>
              <w:rPr>
                <w:sz w:val="16"/>
              </w:rPr>
              <w:t>1 (joint)</w:t>
            </w:r>
          </w:p>
        </w:tc>
        <w:tc>
          <w:tcPr>
            <w:tcW w:type="dxa" w:w="3312"/>
            <w:shd w:val="clear" w:fill="FBF0DE"/>
          </w:tcPr>
          <w:p>
            <w:r/>
            <w:r>
              <w:rPr>
                <w:sz w:val="16"/>
              </w:rPr>
              <w:t>B — NAM does not adsorb to bare Ag</w:t>
            </w:r>
          </w:p>
        </w:tc>
        <w:tc>
          <w:tcPr>
            <w:tcW w:type="dxa" w:w="6336"/>
            <w:shd w:val="clear" w:fill="FBF0DE"/>
          </w:tcPr>
          <w:p>
            <w:r/>
            <w:r>
              <w:rPr>
                <w:sz w:val="16"/>
              </w:rPr>
              <w:t>Direct mechanistic cause underlying G; confirmed via structure-affinity analysis in the companion NAM-SERS review and reinforced by this search's electrochemical/optical analog literature</w:t>
            </w:r>
          </w:p>
        </w:tc>
      </w:tr>
      <w:tr>
        <w:tc>
          <w:tcPr>
            <w:tcW w:type="dxa" w:w="1152"/>
          </w:tcPr>
          <w:p>
            <w:r/>
            <w:r>
              <w:rPr>
                <w:sz w:val="16"/>
              </w:rPr>
              <w:t>3</w:t>
            </w:r>
          </w:p>
        </w:tc>
        <w:tc>
          <w:tcPr>
            <w:tcW w:type="dxa" w:w="3312"/>
          </w:tcPr>
          <w:p>
            <w:r/>
            <w:r>
              <w:rPr>
                <w:sz w:val="16"/>
              </w:rPr>
              <w:t>H — SERS may not be the most appropriate technology for a LABEL-FREE, bare-adsorption approach specifically</w:t>
            </w:r>
          </w:p>
        </w:tc>
        <w:tc>
          <w:tcPr>
            <w:tcW w:type="dxa" w:w="6336"/>
          </w:tcPr>
          <w:p>
            <w:r/>
            <w:r>
              <w:rPr>
                <w:sz w:val="16"/>
              </w:rPr>
              <w:t>This report's central finding: boronic-acid chemistry has far richer, more mature precedent in electrochemical/optical modalities than in SERS — but this is a qualification of HOW to do SERS (add capture chemistry), not a full rejection, since SERS+boronic acid remains viable and leverages existing assets</w:t>
            </w:r>
          </w:p>
        </w:tc>
      </w:tr>
      <w:tr>
        <w:tc>
          <w:tcPr>
            <w:tcW w:type="dxa" w:w="1152"/>
            <w:shd w:val="clear" w:fill="FBF0DE"/>
          </w:tcPr>
          <w:p>
            <w:r/>
            <w:r>
              <w:rPr>
                <w:sz w:val="16"/>
              </w:rPr>
              <w:t>4</w:t>
            </w:r>
          </w:p>
        </w:tc>
        <w:tc>
          <w:tcPr>
            <w:tcW w:type="dxa" w:w="3312"/>
            <w:shd w:val="clear" w:fill="FBF0DE"/>
          </w:tcPr>
          <w:p>
            <w:r/>
            <w:r>
              <w:rPr>
                <w:sz w:val="16"/>
              </w:rPr>
              <w:t>F — Concentration may be below practical sensitivity IF no capture chemistry is added</w:t>
            </w:r>
          </w:p>
        </w:tc>
        <w:tc>
          <w:tcPr>
            <w:tcW w:type="dxa" w:w="6336"/>
            <w:shd w:val="clear" w:fill="FBF0DE"/>
          </w:tcPr>
          <w:p>
            <w:r/>
            <w:r>
              <w:rPr>
                <w:sz w:val="16"/>
              </w:rPr>
              <w:t>MS/chromatography prove NAM exists in real biofluids at ng/mL-ug/mL levels — plausibly SERS-accessible with enhancement, but not via bare physisorption at those concentrations</w:t>
            </w:r>
          </w:p>
        </w:tc>
      </w:tr>
      <w:tr>
        <w:tc>
          <w:tcPr>
            <w:tcW w:type="dxa" w:w="1152"/>
          </w:tcPr>
          <w:p>
            <w:r/>
            <w:r>
              <w:rPr>
                <w:sz w:val="16"/>
              </w:rPr>
              <w:t>5</w:t>
            </w:r>
          </w:p>
        </w:tc>
        <w:tc>
          <w:tcPr>
            <w:tcW w:type="dxa" w:w="3312"/>
          </w:tcPr>
          <w:p>
            <w:r/>
            <w:r>
              <w:rPr>
                <w:sz w:val="16"/>
              </w:rPr>
              <w:t>D — Ag morphology inadequate</w:t>
            </w:r>
          </w:p>
        </w:tc>
        <w:tc>
          <w:tcPr>
            <w:tcW w:type="dxa" w:w="6336"/>
          </w:tcPr>
          <w:p>
            <w:r/>
            <w:r>
              <w:rPr>
                <w:sz w:val="16"/>
              </w:rPr>
              <w:t>Contributing, secondary factor per the companion DOE report (regrowth-cycle/3D-texturing refinements recommended), but R6G's success on the same substrate shows the electromagnetic function is not the primary failure</w:t>
            </w:r>
          </w:p>
        </w:tc>
      </w:tr>
      <w:tr>
        <w:tc>
          <w:tcPr>
            <w:tcW w:type="dxa" w:w="1152"/>
            <w:shd w:val="clear" w:fill="FBF0DE"/>
          </w:tcPr>
          <w:p>
            <w:r/>
            <w:r>
              <w:rPr>
                <w:sz w:val="16"/>
              </w:rPr>
              <w:t>6</w:t>
            </w:r>
          </w:p>
        </w:tc>
        <w:tc>
          <w:tcPr>
            <w:tcW w:type="dxa" w:w="3312"/>
            <w:shd w:val="clear" w:fill="FBF0DE"/>
          </w:tcPr>
          <w:p>
            <w:r/>
            <w:r>
              <w:rPr>
                <w:sz w:val="16"/>
              </w:rPr>
              <w:t>C — NAM does not reach the hotspots</w:t>
            </w:r>
          </w:p>
        </w:tc>
        <w:tc>
          <w:tcPr>
            <w:tcW w:type="dxa" w:w="6336"/>
            <w:shd w:val="clear" w:fill="FBF0DE"/>
          </w:tcPr>
          <w:p>
            <w:r/>
            <w:r>
              <w:rPr>
                <w:sz w:val="16"/>
              </w:rPr>
              <w:t>Not independently supported as a distinct cause — NAM's small size (~1nm) means physical access to even the tightest hotspot gaps is not the bottleneck (established in this conversation's earlier discussion of pore/gap size)</w:t>
            </w:r>
          </w:p>
        </w:tc>
      </w:tr>
      <w:tr>
        <w:tc>
          <w:tcPr>
            <w:tcW w:type="dxa" w:w="1152"/>
          </w:tcPr>
          <w:p>
            <w:r/>
            <w:r>
              <w:rPr>
                <w:sz w:val="16"/>
              </w:rPr>
              <w:t>7</w:t>
            </w:r>
          </w:p>
        </w:tc>
        <w:tc>
          <w:tcPr>
            <w:tcW w:type="dxa" w:w="3312"/>
          </w:tcPr>
          <w:p>
            <w:r/>
            <w:r>
              <w:rPr>
                <w:sz w:val="16"/>
              </w:rPr>
              <w:t>E — Acquisition parameters inadequate</w:t>
            </w:r>
          </w:p>
        </w:tc>
        <w:tc>
          <w:tcPr>
            <w:tcW w:type="dxa" w:w="6336"/>
          </w:tcPr>
          <w:p>
            <w:r/>
            <w:r>
              <w:rPr>
                <w:sz w:val="16"/>
              </w:rPr>
              <w:t>Minor/secondary; 785nm is literature-precedented for this substrate class and R6G already validates the acquisition chain works</w:t>
            </w:r>
          </w:p>
        </w:tc>
      </w:tr>
      <w:tr>
        <w:tc>
          <w:tcPr>
            <w:tcW w:type="dxa" w:w="1152"/>
            <w:shd w:val="clear" w:fill="FBF0DE"/>
          </w:tcPr>
          <w:p>
            <w:r/>
            <w:r>
              <w:rPr>
                <w:sz w:val="16"/>
              </w:rPr>
              <w:t>8</w:t>
            </w:r>
          </w:p>
        </w:tc>
        <w:tc>
          <w:tcPr>
            <w:tcW w:type="dxa" w:w="3312"/>
            <w:shd w:val="clear" w:fill="FBF0DE"/>
          </w:tcPr>
          <w:p>
            <w:r/>
            <w:r>
              <w:rPr>
                <w:sz w:val="16"/>
              </w:rPr>
              <w:t>A — NAM is intrinsically hard to detect by Raman</w:t>
            </w:r>
          </w:p>
        </w:tc>
        <w:tc>
          <w:tcPr>
            <w:tcW w:type="dxa" w:w="6336"/>
            <w:shd w:val="clear" w:fill="FBF0DE"/>
          </w:tcPr>
          <w:p>
            <w:r/>
            <w:r>
              <w:rPr>
                <w:sz w:val="16"/>
              </w:rPr>
              <w:t>Partially true (weak, non-resonant cross-section is real) but NOT the dominant or limiting cause — MS detects NAM readily, and even a modest capture-chemistry-driven local concentration boost combined with SERS's electromagnetic enhancement is expected to compensate for a large part of this intrinsic weakness</w:t>
            </w:r>
          </w:p>
        </w:tc>
      </w:tr>
    </w:tbl>
    <w:p>
      <w:pPr>
        <w:spacing w:after="40"/>
      </w:pPr>
    </w:p>
    <w:p>
      <w:pPr>
        <w:pStyle w:val="Heading2"/>
      </w:pPr>
      <w:r>
        <w:t>27.2 If I Were Your Research Supervisor</w:t>
      </w:r>
    </w:p>
    <w:p>
      <w:pPr>
        <w:spacing w:after="120"/>
      </w:pPr>
      <w:r>
        <w:rPr>
          <w:b w:val="0"/>
          <w:i w:val="0"/>
        </w:rPr>
        <w:t>Given a 6-12 month deadline to produce a working NAM sensor: I would not abandon SERS, and I would not treat it as untouchable either. I would run Plan A as the primary deliverable because it is the only option that fully monetizes six-plus months of DFT, Raman, and fabrication investment already made, and because the root-cause analysis above places the failure specifically at the missing-capture-chemistry step, which Plan A directly fixes using the best-supported chemistry found across every technology surveyed, not just SERS. I would simultaneously scope a deliberately modest Plan B (a single boronic-acid or MIP electrode design, not a full parameter sweep) as a genuine parallel track, both as risk insurance and because its richer analog precedent makes it more likely to produce a first positive result faster, which is valuable for morale and for an interim thesis-committee checkpoint. I would not pursue Plan C within this timeline — it is the most novel and potentially highest-impact option, but it requires infrastructure and expertise this project does not currently have, and attempting it alongside Plans A/B within 6-12 months risks completing none of them well.</w:t>
      </w:r>
    </w:p>
    <w:p>
      <w:pPr>
        <w:pStyle w:val="Heading3"/>
      </w:pPr>
      <w:r>
        <w:t>Plan A — Best Option: SERS + Boronic-Acid Capture (Primary)</w:t>
      </w:r>
    </w:p>
    <w:p>
      <w:pPr>
        <w:spacing w:after="120"/>
      </w:pPr>
      <w:r>
        <w:rPr>
          <w:b w:val="0"/>
          <w:i w:val="0"/>
        </w:rPr>
        <w:t>Retain the black-silicon/Ag MACE substrate and Raman/DFT infrastructure unchanged; add an MPBA capture layer per Section 21; follow the phased roadmap in Section 24 and the DOE matrix already developed in the companion report. This directly addresses root causes G/B (rank 1-2 above), is the highest-novelty option that also reuses existing assets, and produces, if successful, the first direct NAM SERS measurement in the literature.</w:t>
      </w:r>
    </w:p>
    <w:p>
      <w:pPr>
        <w:pStyle w:val="Heading3"/>
      </w:pPr>
      <w:r>
        <w:t>Plan B — Backup Option: Electrochemical Boronic-Acid/MIP Sensor (Parallel)</w:t>
      </w:r>
    </w:p>
    <w:p>
      <w:pPr>
        <w:spacing w:after="120"/>
      </w:pPr>
      <w:r>
        <w:rPr>
          <w:b w:val="0"/>
          <w:i w:val="0"/>
        </w:rPr>
        <w:t>A modestly-scoped boronic-acid or MIP-functionalized screen-printed/laser-induced-graphene electrode, run in parallel using the sialic-acid electrochemical MIP literature (Section 9) as a direct design template. Faster path to a first positive result given richer analog precedent; provides genuine risk insurance if Plan A's matrix-transition or affinity challenges prove harder than expected; does not require abandoning Plan A, since both can be scoped to run concurrently with different lab time allocations.</w:t>
      </w:r>
    </w:p>
    <w:p>
      <w:pPr>
        <w:pStyle w:val="Heading3"/>
      </w:pPr>
      <w:r>
        <w:t>Plan C — Novel/High-Risk Option: MurK Enzyme-Amplified Biosensor (Longer-Term)</w:t>
      </w:r>
    </w:p>
    <w:p>
      <w:pPr>
        <w:spacing w:after="120"/>
      </w:pPr>
      <w:r>
        <w:rPr>
          <w:b w:val="0"/>
          <w:i w:val="0"/>
        </w:rPr>
        <w:t>Pair MurK's confirmed, specific NAM/GlcNAc phosphorylation with a MurR-based confirmatory specificity filter and either an optical (NADH-coupled) or electrochemical readout — potentially, in a later stage, coupled to a SERS or electrochemical reporter for signal transduction. No device precedent exists anywhere in the literature searched for this project, making it the single highest-novelty, highest-potential-impact option in this entire report — but it requires recombinant protein infrastructure and molecular-biology expertise not currently part of this project, and is realistically a PhD-extension or collaborative (AIIMS Jodhpur biochemistry) effort rather than a 6-12 month M.Tech deliverable on its own.</w:t>
      </w:r>
    </w:p>
    <w:p>
      <w:r>
        <w:br w:type="page"/>
      </w:r>
    </w:p>
    <w:p>
      <w:pPr>
        <w:pStyle w:val="Heading1"/>
      </w:pPr>
      <w:r>
        <w:t>28. References</w:t>
      </w:r>
    </w:p>
    <w:p>
      <w:pPr>
        <w:spacing w:after="120"/>
      </w:pPr>
      <w:r>
        <w:rPr>
          <w:b w:val="0"/>
          <w:i w:val="0"/>
        </w:rPr>
        <w:t>This report cites approximately 60 additional sources beyond the 101 already catalogued in the companion NAM-SERS Literature Review, spanning mass spectrometry, chromatography, electrochemistry, optical biosensing, enzymology, immunology, and clinical-sample literature. Full author lists, journals, and DOIs for these sources are given inline in Sections 7-17 above at first citation; entries marked "not confirmed" throughout this report were not independently resolvable from the search snippets retrieved in this session (several PubMed/PMC full-text fetches were blocked by reCAPTCHA) and must be verified against CrossRef, the publisher's page, or a university library resolver before use in a thesis bibliography or journal submission.</w:t>
      </w:r>
    </w:p>
    <w:p>
      <w:pPr>
        <w:spacing w:after="120"/>
      </w:pPr>
      <w:r>
        <w:rPr>
          <w:b w:val="0"/>
          <w:i w:val="0"/>
        </w:rPr>
        <w:t>Key load-bearing citations to prioritize for independent full-text verification, given their centrality to this report's conclusions: Christensson et al. (Arthritis Rheum. 1989) and Sud et al. (Infect. Immun. 2000, DOI 10.1128/iai.68.8.4688-4698.2000) for the clinical concentration-range claims underpinning Section 17; the muramic-acid TMS derivatization mechanism paper (PMID 11777574) and the 2023 J. Chromatogr. A method (PMID 36528898) for the GC-MS gold-standard claims in Section 7; Jaeger &amp; Mayer (J. Bacteriol. 2011, DOI 10.1128/jb.05514-11) for the MurK enzymatic-recognition claims in Section 11; and the 1983 J. Immunol. Methods anti-MDP monoclonal antibody paper (DOI 10.1016/0161-5890(83)90052-4) for the immunological-gap claim in Section 12.</w:t>
      </w:r>
    </w:p>
    <w:p>
      <w:pPr>
        <w:spacing w:after="120"/>
      </w:pPr>
      <w:r>
        <w:rPr>
          <w:b w:val="0"/>
          <w:i w:val="0"/>
        </w:rPr>
        <w:t>This report should be read alongside its four companion documents prepared for this project on 7-8 August 2026: the Comprehensive Research Progress Report, the Critical Scientific Evaluation &amp; Sensor Development Strategy, the NAM Detection Optimization &amp; Black Silicon Substrate Design (DOE) report, and the NAM-SERS Literature Review (101 papers). Together, the five documents provide a full-project audit, a root-cause diagnosis, a DOE-structured experimental plan, an in-depth SERS-specific literature base, and — with this report — a cross-technology validation that the SERS-plus-boronic-acid strategy already recommended is not merely the path of least resistance from an existing project, but the strategy independently best-supported by the wider literature once every alternative technology has been fairly considered.</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B56A0A"/>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