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NAM Raman + DFT Paper</w:t>
      </w:r>
    </w:p>
    <w:p>
      <w:pPr>
        <w:spacing w:after="60"/>
        <w:jc w:val="center"/>
      </w:pPr>
      <w:r>
        <w:rPr>
          <w:color w:val="404040"/>
          <w:sz w:val="26"/>
          <w:szCs w:val="26"/>
        </w:rPr>
        <w:t xml:space="preserve">Publication Readiness Assessment, Data Gap Analysis &amp; Writing Guide</w:t>
      </w:r>
    </w:p>
    <w:p>
      <w:pPr>
        <w:spacing w:after="400"/>
        <w:jc w:val="center"/>
      </w:pPr>
      <w:r>
        <w:rPr>
          <w:color w:val="808080"/>
          <w:sz w:val="20"/>
          <w:szCs w:val="20"/>
        </w:rPr>
        <w:t xml:space="preserve">Sukesh P  |  IIT Jodhpur  |  Prepared 4 August 2026</w:t>
      </w:r>
    </w:p>
    <w:p>
      <w:pPr>
        <w:pStyle w:val="Heading1"/>
        <w:spacing w:after="160" w:before="320"/>
      </w:pPr>
      <w:r>
        <w:t xml:space="preserve">1. The Verdict: Can You Publish This?</w:t>
      </w:r>
    </w:p>
    <w:p>
      <w:pPr>
        <w:spacing w:after="120"/>
      </w:pPr>
      <w:r>
        <w:rPr>
          <w:b/>
          <w:bCs/>
        </w:rPr>
        <w:t xml:space="preserve">Yes. Your work is publishable — but not in its current form. Here is the honest assessment.</w:t>
      </w:r>
    </w:p>
    <w:p>
      <w:pPr>
        <w:pStyle w:val="Heading3"/>
        <w:spacing w:after="100" w:before="200"/>
      </w:pPr>
      <w:r>
        <w:t xml:space="preserve">What you have that is genuinely strong</w:t>
      </w:r>
    </w:p>
    <w:p>
      <w:pPr>
        <w:spacing w:after="120"/>
      </w:pPr>
      <w:r>
        <w:t xml:space="preserve">• Real experimental Raman data on isolated, pure β-N-acetylmuramic acid powder — this does not exist in modern literature.</w:t>
      </w:r>
    </w:p>
    <w:p>
      <w:pPr>
        <w:spacing w:after="120"/>
      </w:pPr>
      <w:r>
        <w:t xml:space="preserve">• A modern, defensible DFT setup: B3LYP-D3BJ/6-311++G(d,p), tight optimisation, ultrafine grid, SMD water solvation.</w:t>
      </w:r>
    </w:p>
    <w:p>
      <w:pPr>
        <w:spacing w:after="120"/>
      </w:pPr>
      <w:r>
        <w:t xml:space="preserve">• A clean, demonstrable literature gap. Ma et al. (Vibrational Spectroscopy, 2024) simulated NAM by DFT and used it to interpret whole-cell E. coli spectra — but never measured isolated NAM experimentally. Their assignments are therefore unvalidated. You close exactly that loop.</w:t>
      </w:r>
    </w:p>
    <w:p>
      <w:pPr>
        <w:spacing w:after="120"/>
      </w:pPr>
      <w:r>
        <w:t xml:space="preserve">• Proper experimental hygiene: glass blanks, multiple spots, photostability checks, power and integration-time optimisation.</w:t>
      </w:r>
    </w:p>
    <w:p>
      <w:pPr>
        <w:pStyle w:val="Heading3"/>
        <w:spacing w:after="100" w:before="200"/>
      </w:pPr>
      <w:r>
        <w:t xml:space="preserve">What is blocking publication right now</w:t>
      </w:r>
    </w:p>
    <w:p>
      <w:pPr>
        <w:spacing w:after="120"/>
      </w:pPr>
      <w:r>
        <w:t xml:space="preserve">Your current 5-page draft reports only four peak comparisons (873, 1092, 1450, 1652 cm⁻¹). A reviewer at any respectable spectroscopy journal will reject that as insufficient. Worse, those four values do not match the experimental peaks you recorded in your own measurements (456, 541, 828, 870, 930, 954, 1022, 1127, 1346, 1450 cm⁻¹). That inconsistency must be resolved before anything else — it looks like the draft table was written from expected/literature values rather than from your actual data.</w:t>
      </w:r>
    </w:p>
    <w:p>
      <w:pPr>
        <w:spacing w:after="120"/>
      </w:pPr>
      <w:r>
        <w:rPr>
          <w:b/>
          <w:bCs/>
        </w:rPr>
        <w:t xml:space="preserve">Bottom line: you have roughly 60% of a publishable paper. The missing 40% is analysis, not new experiments.</w:t>
      </w:r>
    </w:p>
    <w:p>
      <w:pPr>
        <w:pStyle w:val="Heading1"/>
        <w:spacing w:after="160" w:before="320"/>
      </w:pPr>
      <w:r>
        <w:t xml:space="preserve">2. Where You Stand — Component Scorecard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5200"/>
      </w:tblGrid>
      <w:tr>
        <w:trPr>
          <w:tblHeader/>
        </w:trPr>
        <w:tc>
          <w:tcPr>
            <w:tcW w:type="dxa" w:w="2600"/>
            <w:shd w:fill="1F3864" w:val="clear"/>
          </w:tcPr>
          <w:p>
            <w:r>
              <w:rPr>
                <w:b/>
                <w:bCs/>
                <w:color w:val="FFFFFF"/>
                <w:sz w:val="20"/>
                <w:szCs w:val="20"/>
              </w:rPr>
              <w:t xml:space="preserve">Component</w:t>
            </w:r>
          </w:p>
        </w:tc>
        <w:tc>
          <w:tcPr>
            <w:tcW w:type="dxa" w:w="1300"/>
            <w:shd w:fill="1F3864" w:val="clear"/>
          </w:tcPr>
          <w:p>
            <w:r>
              <w:rPr>
                <w:b/>
                <w:bCs/>
                <w:color w:val="FFFFFF"/>
                <w:sz w:val="20"/>
                <w:szCs w:val="20"/>
              </w:rPr>
              <w:t xml:space="preserve">Status</w:t>
            </w:r>
          </w:p>
        </w:tc>
        <w:tc>
          <w:tcPr>
            <w:tcW w:type="dxa" w:w="5200"/>
            <w:shd w:fill="1F3864" w:val="clear"/>
          </w:tcPr>
          <w:p>
            <w:r>
              <w:rPr>
                <w:b/>
                <w:bCs/>
                <w:color w:val="FFFFFF"/>
                <w:sz w:val="20"/>
                <w:szCs w:val="20"/>
              </w:rPr>
              <w:t xml:space="preserve">What is missing</w:t>
            </w:r>
          </w:p>
        </w:tc>
      </w:tr>
      <w:tr>
        <w:trPr>
          <w:tblHeader w:val="false"/>
        </w:trPr>
        <w:tc>
          <w:tcPr>
            <w:tcW w:type="dxa" w:w="2600"/>
            <w:shd w:fill="FFFFFF" w:val="clear"/>
          </w:tcPr>
          <w:p>
            <w:r>
              <w:rPr>
                <w:b w:val="false"/>
                <w:bCs w:val="false"/>
                <w:color w:val="000000"/>
                <w:sz w:val="20"/>
                <w:szCs w:val="20"/>
              </w:rPr>
              <w:t xml:space="preserve">Experimental Raman data</w:t>
            </w:r>
          </w:p>
        </w:tc>
        <w:tc>
          <w:tcPr>
            <w:tcW w:type="dxa" w:w="1300"/>
            <w:shd w:fill="FFFFFF" w:val="clear"/>
          </w:tcPr>
          <w:p>
            <w:r>
              <w:rPr>
                <w:b w:val="false"/>
                <w:bCs w:val="false"/>
                <w:color w:val="000000"/>
                <w:sz w:val="20"/>
                <w:szCs w:val="20"/>
              </w:rPr>
              <w:t xml:space="preserve">READY</w:t>
            </w:r>
          </w:p>
        </w:tc>
        <w:tc>
          <w:tcPr>
            <w:tcW w:type="dxa" w:w="5200"/>
            <w:shd w:fill="FFFFFF" w:val="clear"/>
          </w:tcPr>
          <w:p>
            <w:r>
              <w:rPr>
                <w:b w:val="false"/>
                <w:bCs w:val="false"/>
                <w:color w:val="000000"/>
                <w:sz w:val="20"/>
                <w:szCs w:val="20"/>
              </w:rPr>
              <w:t xml:space="preserve">Nothing. Data acquisition is complete and well-controlled.</w:t>
            </w:r>
          </w:p>
        </w:tc>
      </w:tr>
      <w:tr>
        <w:trPr>
          <w:tblHeader w:val="false"/>
        </w:trPr>
        <w:tc>
          <w:tcPr>
            <w:tcW w:type="dxa" w:w="2600"/>
            <w:shd w:fill="F2F2F2" w:val="clear"/>
          </w:tcPr>
          <w:p>
            <w:r>
              <w:rPr>
                <w:b w:val="false"/>
                <w:bCs w:val="false"/>
                <w:color w:val="000000"/>
                <w:sz w:val="20"/>
                <w:szCs w:val="20"/>
              </w:rPr>
              <w:t xml:space="preserve">Glass/substrate control</w:t>
            </w:r>
          </w:p>
        </w:tc>
        <w:tc>
          <w:tcPr>
            <w:tcW w:type="dxa" w:w="1300"/>
            <w:shd w:fill="F2F2F2" w:val="clear"/>
          </w:tcPr>
          <w:p>
            <w:r>
              <w:rPr>
                <w:b w:val="false"/>
                <w:bCs w:val="false"/>
                <w:color w:val="000000"/>
                <w:sz w:val="20"/>
                <w:szCs w:val="20"/>
              </w:rPr>
              <w:t xml:space="preserve">READY</w:t>
            </w:r>
          </w:p>
        </w:tc>
        <w:tc>
          <w:tcPr>
            <w:tcW w:type="dxa" w:w="5200"/>
            <w:shd w:fill="F2F2F2" w:val="clear"/>
          </w:tcPr>
          <w:p>
            <w:r>
              <w:rPr>
                <w:b w:val="false"/>
                <w:bCs w:val="false"/>
                <w:color w:val="000000"/>
                <w:sz w:val="20"/>
                <w:szCs w:val="20"/>
              </w:rPr>
              <w:t xml:space="preserve">Nothing. Blanks collected at 3 spots.</w:t>
            </w:r>
          </w:p>
        </w:tc>
      </w:tr>
      <w:tr>
        <w:trPr>
          <w:tblHeader w:val="false"/>
        </w:trPr>
        <w:tc>
          <w:tcPr>
            <w:tcW w:type="dxa" w:w="2600"/>
            <w:shd w:fill="FFFFFF" w:val="clear"/>
          </w:tcPr>
          <w:p>
            <w:r>
              <w:rPr>
                <w:b w:val="false"/>
                <w:bCs w:val="false"/>
                <w:color w:val="000000"/>
                <w:sz w:val="20"/>
                <w:szCs w:val="20"/>
              </w:rPr>
              <w:t xml:space="preserve">Photostability check</w:t>
            </w:r>
          </w:p>
        </w:tc>
        <w:tc>
          <w:tcPr>
            <w:tcW w:type="dxa" w:w="1300"/>
            <w:shd w:fill="FFFFFF" w:val="clear"/>
          </w:tcPr>
          <w:p>
            <w:r>
              <w:rPr>
                <w:b w:val="false"/>
                <w:bCs w:val="false"/>
                <w:color w:val="000000"/>
                <w:sz w:val="20"/>
                <w:szCs w:val="20"/>
              </w:rPr>
              <w:t xml:space="preserve">READY</w:t>
            </w:r>
          </w:p>
        </w:tc>
        <w:tc>
          <w:tcPr>
            <w:tcW w:type="dxa" w:w="5200"/>
            <w:shd w:fill="FFFFFF" w:val="clear"/>
          </w:tcPr>
          <w:p>
            <w:r>
              <w:rPr>
                <w:b w:val="false"/>
                <w:bCs w:val="false"/>
                <w:color w:val="000000"/>
                <w:sz w:val="20"/>
                <w:szCs w:val="20"/>
              </w:rPr>
              <w:t xml:space="preserve">Nothing. Same-spot repeat scans done.</w:t>
            </w:r>
          </w:p>
        </w:tc>
      </w:tr>
      <w:tr>
        <w:trPr>
          <w:tblHeader w:val="false"/>
        </w:trPr>
        <w:tc>
          <w:tcPr>
            <w:tcW w:type="dxa" w:w="2600"/>
            <w:shd w:fill="F2F2F2" w:val="clear"/>
          </w:tcPr>
          <w:p>
            <w:r>
              <w:rPr>
                <w:b w:val="false"/>
                <w:bCs w:val="false"/>
                <w:color w:val="000000"/>
                <w:sz w:val="20"/>
                <w:szCs w:val="20"/>
              </w:rPr>
              <w:t xml:space="preserve">Acquisition optimisation</w:t>
            </w:r>
          </w:p>
        </w:tc>
        <w:tc>
          <w:tcPr>
            <w:tcW w:type="dxa" w:w="1300"/>
            <w:shd w:fill="F2F2F2" w:val="clear"/>
          </w:tcPr>
          <w:p>
            <w:r>
              <w:rPr>
                <w:b w:val="false"/>
                <w:bCs w:val="false"/>
                <w:color w:val="000000"/>
                <w:sz w:val="20"/>
                <w:szCs w:val="20"/>
              </w:rPr>
              <w:t xml:space="preserve">READY</w:t>
            </w:r>
          </w:p>
        </w:tc>
        <w:tc>
          <w:tcPr>
            <w:tcW w:type="dxa" w:w="5200"/>
            <w:shd w:fill="F2F2F2" w:val="clear"/>
          </w:tcPr>
          <w:p>
            <w:r>
              <w:rPr>
                <w:b w:val="false"/>
                <w:bCs w:val="false"/>
                <w:color w:val="000000"/>
                <w:sz w:val="20"/>
                <w:szCs w:val="20"/>
              </w:rPr>
              <w:t xml:space="preserve">Nothing. Power and integration time both varied systematically.</w:t>
            </w:r>
          </w:p>
        </w:tc>
      </w:tr>
      <w:tr>
        <w:trPr>
          <w:tblHeader w:val="false"/>
        </w:trPr>
        <w:tc>
          <w:tcPr>
            <w:tcW w:type="dxa" w:w="2600"/>
            <w:shd w:fill="FFFFFF" w:val="clear"/>
          </w:tcPr>
          <w:p>
            <w:r>
              <w:rPr>
                <w:b w:val="false"/>
                <w:bCs w:val="false"/>
                <w:color w:val="000000"/>
                <w:sz w:val="20"/>
                <w:szCs w:val="20"/>
              </w:rPr>
              <w:t xml:space="preserve">DFT geometry + frequencies</w:t>
            </w:r>
          </w:p>
        </w:tc>
        <w:tc>
          <w:tcPr>
            <w:tcW w:type="dxa" w:w="1300"/>
            <w:shd w:fill="FFFFFF" w:val="clear"/>
          </w:tcPr>
          <w:p>
            <w:r>
              <w:rPr>
                <w:b w:val="false"/>
                <w:bCs w:val="false"/>
                <w:color w:val="000000"/>
                <w:sz w:val="20"/>
                <w:szCs w:val="20"/>
              </w:rPr>
              <w:t xml:space="preserve">LIKELY READY</w:t>
            </w:r>
          </w:p>
        </w:tc>
        <w:tc>
          <w:tcPr>
            <w:tcW w:type="dxa" w:w="5200"/>
            <w:shd w:fill="FFFFFF" w:val="clear"/>
          </w:tcPr>
          <w:p>
            <w:r>
              <w:rPr>
                <w:b w:val="false"/>
                <w:bCs w:val="false"/>
                <w:color w:val="000000"/>
                <w:sz w:val="20"/>
                <w:szCs w:val="20"/>
              </w:rPr>
              <w:t xml:space="preserve">Must confirm zero imaginary frequencies in the .log file.</w:t>
            </w:r>
          </w:p>
        </w:tc>
      </w:tr>
      <w:tr>
        <w:trPr>
          <w:tblHeader w:val="false"/>
        </w:trPr>
        <w:tc>
          <w:tcPr>
            <w:tcW w:type="dxa" w:w="2600"/>
            <w:shd w:fill="F2F2F2" w:val="clear"/>
          </w:tcPr>
          <w:p>
            <w:r>
              <w:rPr>
                <w:b w:val="false"/>
                <w:bCs w:val="false"/>
                <w:color w:val="000000"/>
                <w:sz w:val="20"/>
                <w:szCs w:val="20"/>
              </w:rPr>
              <w:t xml:space="preserve">Averaged experimental spectrum</w:t>
            </w:r>
          </w:p>
        </w:tc>
        <w:tc>
          <w:tcPr>
            <w:tcW w:type="dxa" w:w="1300"/>
            <w:shd w:fill="F2F2F2" w:val="clear"/>
          </w:tcPr>
          <w:p>
            <w:r>
              <w:rPr>
                <w:b w:val="false"/>
                <w:bCs w:val="false"/>
                <w:color w:val="000000"/>
                <w:sz w:val="20"/>
                <w:szCs w:val="20"/>
              </w:rPr>
              <w:t xml:space="preserve">PARTIAL</w:t>
            </w:r>
          </w:p>
        </w:tc>
        <w:tc>
          <w:tcPr>
            <w:tcW w:type="dxa" w:w="5200"/>
            <w:shd w:fill="F2F2F2" w:val="clear"/>
          </w:tcPr>
          <w:p>
            <w:r>
              <w:rPr>
                <w:b w:val="false"/>
                <w:bCs w:val="false"/>
                <w:color w:val="000000"/>
                <w:sz w:val="20"/>
                <w:szCs w:val="20"/>
              </w:rPr>
              <w:t xml:space="preserve">Mean ± SD across replicate spots must be computed and plotted.</w:t>
            </w:r>
          </w:p>
        </w:tc>
      </w:tr>
      <w:tr>
        <w:trPr>
          <w:tblHeader w:val="false"/>
        </w:trPr>
        <w:tc>
          <w:tcPr>
            <w:tcW w:type="dxa" w:w="2600"/>
            <w:shd w:fill="FFFFFF" w:val="clear"/>
          </w:tcPr>
          <w:p>
            <w:r>
              <w:rPr>
                <w:b w:val="false"/>
                <w:bCs w:val="false"/>
                <w:color w:val="000000"/>
                <w:sz w:val="20"/>
                <w:szCs w:val="20"/>
              </w:rPr>
              <w:t xml:space="preserve">Peak table (exp vs DFT)</w:t>
            </w:r>
          </w:p>
        </w:tc>
        <w:tc>
          <w:tcPr>
            <w:tcW w:type="dxa" w:w="1300"/>
            <w:shd w:fill="FFFFFF" w:val="clear"/>
          </w:tcPr>
          <w:p>
            <w:r>
              <w:rPr>
                <w:b w:val="false"/>
                <w:bCs w:val="false"/>
                <w:color w:val="000000"/>
                <w:sz w:val="20"/>
                <w:szCs w:val="20"/>
              </w:rPr>
              <w:t xml:space="preserve">MISSING</w:t>
            </w:r>
          </w:p>
        </w:tc>
        <w:tc>
          <w:tcPr>
            <w:tcW w:type="dxa" w:w="5200"/>
            <w:shd w:fill="FFFFFF" w:val="clear"/>
          </w:tcPr>
          <w:p>
            <w:r>
              <w:rPr>
                <w:b w:val="false"/>
                <w:bCs w:val="false"/>
                <w:color w:val="000000"/>
                <w:sz w:val="20"/>
                <w:szCs w:val="20"/>
              </w:rPr>
              <w:t xml:space="preserve">Need 20–30 assigned peaks, not 4. This is the heart of the paper.</w:t>
            </w:r>
          </w:p>
        </w:tc>
      </w:tr>
      <w:tr>
        <w:trPr>
          <w:tblHeader w:val="false"/>
        </w:trPr>
        <w:tc>
          <w:tcPr>
            <w:tcW w:type="dxa" w:w="2600"/>
            <w:shd w:fill="F2F2F2" w:val="clear"/>
          </w:tcPr>
          <w:p>
            <w:r>
              <w:rPr>
                <w:b w:val="false"/>
                <w:bCs w:val="false"/>
                <w:color w:val="000000"/>
                <w:sz w:val="20"/>
                <w:szCs w:val="20"/>
              </w:rPr>
              <w:t xml:space="preserve">Scaling factor</w:t>
            </w:r>
          </w:p>
        </w:tc>
        <w:tc>
          <w:tcPr>
            <w:tcW w:type="dxa" w:w="1300"/>
            <w:shd w:fill="F2F2F2" w:val="clear"/>
          </w:tcPr>
          <w:p>
            <w:r>
              <w:rPr>
                <w:b w:val="false"/>
                <w:bCs w:val="false"/>
                <w:color w:val="000000"/>
                <w:sz w:val="20"/>
                <w:szCs w:val="20"/>
              </w:rPr>
              <w:t xml:space="preserve">MISSING</w:t>
            </w:r>
          </w:p>
        </w:tc>
        <w:tc>
          <w:tcPr>
            <w:tcW w:type="dxa" w:w="5200"/>
            <w:shd w:fill="F2F2F2" w:val="clear"/>
          </w:tcPr>
          <w:p>
            <w:r>
              <w:rPr>
                <w:b w:val="false"/>
                <w:bCs w:val="false"/>
                <w:color w:val="000000"/>
                <w:sz w:val="20"/>
                <w:szCs w:val="20"/>
              </w:rPr>
              <w:t xml:space="preserve">Must state the value used and cite its source.</w:t>
            </w:r>
          </w:p>
        </w:tc>
      </w:tr>
      <w:tr>
        <w:trPr>
          <w:tblHeader w:val="false"/>
        </w:trPr>
        <w:tc>
          <w:tcPr>
            <w:tcW w:type="dxa" w:w="2600"/>
            <w:shd w:fill="FFFFFF" w:val="clear"/>
          </w:tcPr>
          <w:p>
            <w:r>
              <w:rPr>
                <w:b w:val="false"/>
                <w:bCs w:val="false"/>
                <w:color w:val="000000"/>
                <w:sz w:val="20"/>
                <w:szCs w:val="20"/>
              </w:rPr>
              <w:t xml:space="preserve">RMSE / mean deviation</w:t>
            </w:r>
          </w:p>
        </w:tc>
        <w:tc>
          <w:tcPr>
            <w:tcW w:type="dxa" w:w="1300"/>
            <w:shd w:fill="FFFFFF" w:val="clear"/>
          </w:tcPr>
          <w:p>
            <w:r>
              <w:rPr>
                <w:b w:val="false"/>
                <w:bCs w:val="false"/>
                <w:color w:val="000000"/>
                <w:sz w:val="20"/>
                <w:szCs w:val="20"/>
              </w:rPr>
              <w:t xml:space="preserve">MISSING</w:t>
            </w:r>
          </w:p>
        </w:tc>
        <w:tc>
          <w:tcPr>
            <w:tcW w:type="dxa" w:w="5200"/>
            <w:shd w:fill="FFFFFF" w:val="clear"/>
          </w:tcPr>
          <w:p>
            <w:r>
              <w:rPr>
                <w:b w:val="false"/>
                <w:bCs w:val="false"/>
                <w:color w:val="000000"/>
                <w:sz w:val="20"/>
                <w:szCs w:val="20"/>
              </w:rPr>
              <w:t xml:space="preserve">Reviewers expect a number. The 1994 study reported 4 cm⁻¹.</w:t>
            </w:r>
          </w:p>
        </w:tc>
      </w:tr>
      <w:tr>
        <w:trPr>
          <w:tblHeader w:val="false"/>
        </w:trPr>
        <w:tc>
          <w:tcPr>
            <w:tcW w:type="dxa" w:w="2600"/>
            <w:shd w:fill="F2F2F2" w:val="clear"/>
          </w:tcPr>
          <w:p>
            <w:r>
              <w:rPr>
                <w:b w:val="false"/>
                <w:bCs w:val="false"/>
                <w:color w:val="000000"/>
                <w:sz w:val="20"/>
                <w:szCs w:val="20"/>
              </w:rPr>
              <w:t xml:space="preserve">Overlay figure</w:t>
            </w:r>
          </w:p>
        </w:tc>
        <w:tc>
          <w:tcPr>
            <w:tcW w:type="dxa" w:w="1300"/>
            <w:shd w:fill="F2F2F2" w:val="clear"/>
          </w:tcPr>
          <w:p>
            <w:r>
              <w:rPr>
                <w:b w:val="false"/>
                <w:bCs w:val="false"/>
                <w:color w:val="000000"/>
                <w:sz w:val="20"/>
                <w:szCs w:val="20"/>
              </w:rPr>
              <w:t xml:space="preserve">MISSING</w:t>
            </w:r>
          </w:p>
        </w:tc>
        <w:tc>
          <w:tcPr>
            <w:tcW w:type="dxa" w:w="5200"/>
            <w:shd w:fill="F2F2F2" w:val="clear"/>
          </w:tcPr>
          <w:p>
            <w:r>
              <w:rPr>
                <w:b w:val="false"/>
                <w:bCs w:val="false"/>
                <w:color w:val="000000"/>
                <w:sz w:val="20"/>
                <w:szCs w:val="20"/>
              </w:rPr>
              <w:t xml:space="preserve">Experimental vs simulated on one axis. This is your headline figure.</w:t>
            </w:r>
          </w:p>
        </w:tc>
      </w:tr>
      <w:tr>
        <w:trPr>
          <w:tblHeader w:val="false"/>
        </w:trPr>
        <w:tc>
          <w:tcPr>
            <w:tcW w:type="dxa" w:w="2600"/>
            <w:shd w:fill="FFFFFF" w:val="clear"/>
          </w:tcPr>
          <w:p>
            <w:r>
              <w:rPr>
                <w:b w:val="false"/>
                <w:bCs w:val="false"/>
                <w:color w:val="000000"/>
                <w:sz w:val="20"/>
                <w:szCs w:val="20"/>
              </w:rPr>
              <w:t xml:space="preserve">PED analysis</w:t>
            </w:r>
          </w:p>
        </w:tc>
        <w:tc>
          <w:tcPr>
            <w:tcW w:type="dxa" w:w="1300"/>
            <w:shd w:fill="FFFFFF" w:val="clear"/>
          </w:tcPr>
          <w:p>
            <w:r>
              <w:rPr>
                <w:b w:val="false"/>
                <w:bCs w:val="false"/>
                <w:color w:val="000000"/>
                <w:sz w:val="20"/>
                <w:szCs w:val="20"/>
              </w:rPr>
              <w:t xml:space="preserve">MISSING</w:t>
            </w:r>
          </w:p>
        </w:tc>
        <w:tc>
          <w:tcPr>
            <w:tcW w:type="dxa" w:w="5200"/>
            <w:shd w:fill="FFFFFF" w:val="clear"/>
          </w:tcPr>
          <w:p>
            <w:r>
              <w:rPr>
                <w:b w:val="false"/>
                <w:bCs w:val="false"/>
                <w:color w:val="000000"/>
                <w:sz w:val="20"/>
                <w:szCs w:val="20"/>
              </w:rPr>
              <w:t xml:space="preserve">Optional but strongly upgrades the paper's credibility.</w:t>
            </w:r>
          </w:p>
        </w:tc>
      </w:tr>
      <w:tr>
        <w:trPr>
          <w:tblHeader w:val="false"/>
        </w:trPr>
        <w:tc>
          <w:tcPr>
            <w:tcW w:type="dxa" w:w="2600"/>
            <w:shd w:fill="F2F2F2" w:val="clear"/>
          </w:tcPr>
          <w:p>
            <w:r>
              <w:rPr>
                <w:b w:val="false"/>
                <w:bCs w:val="false"/>
                <w:color w:val="000000"/>
                <w:sz w:val="20"/>
                <w:szCs w:val="20"/>
              </w:rPr>
              <w:t xml:space="preserve">730 cm⁻¹ discussion</w:t>
            </w:r>
          </w:p>
        </w:tc>
        <w:tc>
          <w:tcPr>
            <w:tcW w:type="dxa" w:w="1300"/>
            <w:shd w:fill="F2F2F2" w:val="clear"/>
          </w:tcPr>
          <w:p>
            <w:r>
              <w:rPr>
                <w:b w:val="false"/>
                <w:bCs w:val="false"/>
                <w:color w:val="000000"/>
                <w:sz w:val="20"/>
                <w:szCs w:val="20"/>
              </w:rPr>
              <w:t xml:space="preserve">MISSING</w:t>
            </w:r>
          </w:p>
        </w:tc>
        <w:tc>
          <w:tcPr>
            <w:tcW w:type="dxa" w:w="5200"/>
            <w:shd w:fill="F2F2F2" w:val="clear"/>
          </w:tcPr>
          <w:p>
            <w:r>
              <w:rPr>
                <w:b w:val="false"/>
                <w:bCs w:val="false"/>
                <w:color w:val="000000"/>
                <w:sz w:val="20"/>
                <w:szCs w:val="20"/>
              </w:rPr>
              <w:t xml:space="preserve">Your single biggest scientific opportunity — see Section 5.</w:t>
            </w:r>
          </w:p>
        </w:tc>
      </w:tr>
      <w:tr>
        <w:trPr>
          <w:tblHeader w:val="false"/>
        </w:trPr>
        <w:tc>
          <w:tcPr>
            <w:tcW w:type="dxa" w:w="2600"/>
            <w:shd w:fill="FFFFFF" w:val="clear"/>
          </w:tcPr>
          <w:p>
            <w:r>
              <w:rPr>
                <w:b w:val="false"/>
                <w:bCs w:val="false"/>
                <w:color w:val="000000"/>
                <w:sz w:val="20"/>
                <w:szCs w:val="20"/>
              </w:rPr>
              <w:t xml:space="preserve">Introduction / lit gap</w:t>
            </w:r>
          </w:p>
        </w:tc>
        <w:tc>
          <w:tcPr>
            <w:tcW w:type="dxa" w:w="1300"/>
            <w:shd w:fill="FFFFFF" w:val="clear"/>
          </w:tcPr>
          <w:p>
            <w:r>
              <w:rPr>
                <w:b w:val="false"/>
                <w:bCs w:val="false"/>
                <w:color w:val="000000"/>
                <w:sz w:val="20"/>
                <w:szCs w:val="20"/>
              </w:rPr>
              <w:t xml:space="preserve">PARTIAL</w:t>
            </w:r>
          </w:p>
        </w:tc>
        <w:tc>
          <w:tcPr>
            <w:tcW w:type="dxa" w:w="5200"/>
            <w:shd w:fill="FFFFFF" w:val="clear"/>
          </w:tcPr>
          <w:p>
            <w:r>
              <w:rPr>
                <w:b w:val="false"/>
                <w:bCs w:val="false"/>
                <w:color w:val="000000"/>
                <w:sz w:val="20"/>
                <w:szCs w:val="20"/>
              </w:rPr>
              <w:t xml:space="preserve">Gap statement exists but needs the Ma et al. framing.</w:t>
            </w:r>
          </w:p>
        </w:tc>
      </w:tr>
    </w:tbl>
    <w:p>
      <w:pPr>
        <w:pStyle w:val="Heading1"/>
        <w:spacing w:after="160" w:before="320"/>
      </w:pPr>
      <w:r>
        <w:t xml:space="preserve">3. What Data You Still Need</w:t>
      </w:r>
    </w:p>
    <w:p>
      <w:pPr>
        <w:spacing w:after="120"/>
      </w:pPr>
      <w:r>
        <w:rPr>
          <w:i/>
          <w:iCs/>
        </w:rPr>
        <w:t xml:space="preserve">Good news: you almost certainly do not need to return to the Raman instrument. Everything below is analysis of data you already own.</w:t>
      </w:r>
    </w:p>
    <w:p>
      <w:pPr>
        <w:pStyle w:val="Heading2"/>
        <w:spacing w:after="120" w:before="260"/>
      </w:pPr>
      <w:r>
        <w:t xml:space="preserve">3.1 From your existing Raman files (analysis only)</w:t>
      </w:r>
    </w:p>
    <w:p>
      <w:pPr>
        <w:spacing w:after="120"/>
      </w:pPr>
      <w:r>
        <w:rPr>
          <w:b/>
          <w:bCs/>
        </w:rPr>
        <w:t xml:space="preserve">A. Averaged spectrum with error band</w:t>
      </w:r>
    </w:p>
    <w:p>
      <w:pPr>
        <w:spacing w:after="120"/>
      </w:pPr>
      <w:r>
        <w:t xml:space="preserve">Take your 5 best spectra at final optimised settings. Baseline-correct (ALS, λ=1e5, p=0.001), Savitzky–Golay smooth (window 11, order 3), min–max normalise, then compute mean and standard deviation at every wavenumber. Plot the mean as a solid line with the ±1 SD as a shaded band. This single figure demonstrates reproducibility far more convincingly than showing three separate traces.</w:t>
      </w:r>
    </w:p>
    <w:p>
      <w:pPr>
        <w:spacing w:after="120"/>
      </w:pPr>
      <w:r>
        <w:rPr>
          <w:b/>
          <w:bCs/>
        </w:rPr>
        <w:t xml:space="preserve">B. Full peak list with confidence</w:t>
      </w:r>
    </w:p>
    <w:p>
      <w:pPr>
        <w:spacing w:after="120"/>
      </w:pPr>
      <w:r>
        <w:t xml:space="preserve">Run automated peak detection (prominence ≈ 0.02, min distance ≈ 10 points) on the averaged spectrum. For each detected peak record: centre position (cm⁻¹), relative intensity (strong/medium/weak), FWHM, and — critically — in how many of your independent spectra that peak appears. A peak found in 5/5 spectra is high confidence; 2/5 is not reportable. This 'confidence' column is unusual in Raman papers and will impress reviewers.</w:t>
      </w:r>
    </w:p>
    <w:p>
      <w:pPr>
        <w:spacing w:after="120"/>
      </w:pPr>
      <w:r>
        <w:t xml:space="preserve">Target: 20–30 peaks across 400–1800 cm⁻¹. You listed 10 already; systematic detection will find the rest.</w:t>
      </w:r>
    </w:p>
    <w:p>
      <w:pPr>
        <w:spacing w:after="120"/>
      </w:pPr>
      <w:r>
        <w:rPr>
          <w:b/>
          <w:bCs/>
        </w:rPr>
        <w:t xml:space="preserve">C. Glass subtraction verification</w:t>
      </w:r>
    </w:p>
    <w:p>
      <w:pPr>
        <w:spacing w:after="120"/>
      </w:pPr>
      <w:r>
        <w:t xml:space="preserve">Process the glass blank through the identical pipeline and overlay it with the NAM spectrum. Any band appearing in both must be flagged and excluded. State explicitly in the paper that this check was performed — it pre-empts an obvious reviewer objection.</w:t>
      </w:r>
    </w:p>
    <w:p>
      <w:pPr>
        <w:spacing w:after="120"/>
      </w:pPr>
      <w:r>
        <w:rPr>
          <w:b/>
          <w:bCs/>
        </w:rPr>
        <w:t xml:space="preserve">D. Integration-time and power series figures</w:t>
      </w:r>
    </w:p>
    <w:p>
      <w:pPr>
        <w:spacing w:after="120"/>
      </w:pPr>
      <w:r>
        <w:t xml:space="preserve">You collected 5/10/20/30 s and 30/50/70/90% power series. Turn these into a supplementary figure showing SNR versus setting, and use it to justify your final chosen parameters. This converts routine optimisation work into a defensible methods result.</w:t>
      </w:r>
    </w:p>
    <w:p>
      <w:pPr>
        <w:pStyle w:val="Heading2"/>
        <w:spacing w:after="120" w:before="260"/>
      </w:pPr>
      <w:r>
        <w:t xml:space="preserve">3.2 From your Gaussian output (extraction only)</w:t>
      </w:r>
    </w:p>
    <w:p>
      <w:pPr>
        <w:spacing w:after="120"/>
      </w:pPr>
      <w:r>
        <w:rPr>
          <w:b/>
          <w:bCs/>
        </w:rPr>
        <w:t xml:space="preserve">E. Confirm the structure is a true minimum</w:t>
      </w:r>
    </w:p>
    <w:p>
      <w:pPr>
        <w:spacing w:after="120"/>
      </w:pPr>
      <w:r>
        <w:t xml:space="preserve">Open the .log file and search for 'Frequencies --'. Every value must be positive. A single negative (imaginary) frequency invalidates all downstream assignments. Report explicitly in the paper: 'No imaginary frequencies were obtained, confirming the optimised geometry corresponds to a true energy minimum.'</w:t>
      </w:r>
    </w:p>
    <w:p>
      <w:pPr>
        <w:spacing w:after="120"/>
      </w:pPr>
      <w:r>
        <w:rPr>
          <w:b/>
          <w:bCs/>
        </w:rPr>
        <w:t xml:space="preserve">F. Extract frequencies and Raman activities</w:t>
      </w:r>
    </w:p>
    <w:p>
      <w:pPr>
        <w:spacing w:after="120"/>
      </w:pPr>
      <w:r>
        <w:t xml:space="preserve">Pull the full list of harmonic frequencies and their corresponding Raman activities (Å⁴/amu) from the .log file. You need every mode in the 400–1800 cm⁻¹ window, not just the strong ones.</w:t>
      </w:r>
    </w:p>
    <w:p>
      <w:pPr>
        <w:spacing w:after="120"/>
      </w:pPr>
      <w:r>
        <w:rPr>
          <w:b/>
          <w:bCs/>
        </w:rPr>
        <w:t xml:space="preserve">G. Apply and justify a scaling factor</w:t>
      </w:r>
    </w:p>
    <w:p>
      <w:pPr>
        <w:spacing w:after="120"/>
      </w:pPr>
      <w:r>
        <w:t xml:space="preserve">Harmonic DFT frequencies are systematically too high. You must scale them. For B3LYP/6-311++G(d,p) the accepted range is 0.96–0.98. Ma et al. used a dual scheme — 0.980 below 1800 cm⁻¹ and 0.967 above — derived from Frosch et al. Using the same scheme is the smartest choice: it makes your results directly comparable to the only other modern NAM DFT study, and you inherit their justification.</w:t>
      </w:r>
    </w:p>
    <w:p>
      <w:pPr>
        <w:spacing w:after="120"/>
      </w:pPr>
      <w:r>
        <w:rPr>
          <w:b/>
          <w:bCs/>
        </w:rPr>
        <w:t xml:space="preserve">H. Convert stick spectrum to a comparable curve</w:t>
      </w:r>
    </w:p>
    <w:p>
      <w:pPr>
        <w:spacing w:after="120"/>
      </w:pPr>
      <w:r>
        <w:t xml:space="preserve">Gaussian outputs discrete lines. Convolve them with Lorentzian broadening (FWHM ≈ 8–10 cm⁻¹) so the simulated spectrum has the same visual character as your experimental trace. Without this the overlay figure is unreadable.</w:t>
      </w:r>
    </w:p>
    <w:p>
      <w:pPr>
        <w:spacing w:after="120"/>
      </w:pPr>
      <w:r>
        <w:rPr>
          <w:b/>
          <w:bCs/>
        </w:rPr>
        <w:t xml:space="preserve">I. Assign each mode</w:t>
      </w:r>
    </w:p>
    <w:p>
      <w:pPr>
        <w:spacing w:after="120"/>
      </w:pPr>
      <w:r>
        <w:t xml:space="preserve">Open the .log in GaussView and visually inspect the normal mode animation for each significant peak. Record what physically moves: ring breathing, C–O stretch, CH₂ scissoring, amide I, lactyl deformation, and so on. This is tedious but it is the actual scientific content of the paper.</w:t>
      </w:r>
    </w:p>
    <w:p>
      <w:pPr>
        <w:pStyle w:val="Heading2"/>
        <w:spacing w:after="120" w:before="260"/>
      </w:pPr>
      <w:r>
        <w:t xml:space="preserve">3.3 Optional additions that materially raise impact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4800"/>
      </w:tblGrid>
      <w:tr>
        <w:trPr>
          <w:tblHeader/>
        </w:trPr>
        <w:tc>
          <w:tcPr>
            <w:tcW w:type="dxa" w:w="2900"/>
            <w:shd w:fill="1F3864" w:val="clear"/>
          </w:tcPr>
          <w:p>
            <w:r>
              <w:rPr>
                <w:b/>
                <w:bCs/>
                <w:color w:val="FFFFFF"/>
                <w:sz w:val="20"/>
                <w:szCs w:val="20"/>
              </w:rPr>
              <w:t xml:space="preserve">Addition</w:t>
            </w:r>
          </w:p>
        </w:tc>
        <w:tc>
          <w:tcPr>
            <w:tcW w:type="dxa" w:w="1400"/>
            <w:shd w:fill="1F3864" w:val="clear"/>
          </w:tcPr>
          <w:p>
            <w:r>
              <w:rPr>
                <w:b/>
                <w:bCs/>
                <w:color w:val="FFFFFF"/>
                <w:sz w:val="20"/>
                <w:szCs w:val="20"/>
              </w:rPr>
              <w:t xml:space="preserve">Effort</w:t>
            </w:r>
          </w:p>
        </w:tc>
        <w:tc>
          <w:tcPr>
            <w:tcW w:type="dxa" w:w="4800"/>
            <w:shd w:fill="1F3864" w:val="clear"/>
          </w:tcPr>
          <w:p>
            <w:r>
              <w:rPr>
                <w:b/>
                <w:bCs/>
                <w:color w:val="FFFFFF"/>
                <w:sz w:val="20"/>
                <w:szCs w:val="20"/>
              </w:rPr>
              <w:t xml:space="preserve">Why it matters</w:t>
            </w:r>
          </w:p>
        </w:tc>
      </w:tr>
      <w:tr>
        <w:trPr>
          <w:tblHeader w:val="false"/>
        </w:trPr>
        <w:tc>
          <w:tcPr>
            <w:tcW w:type="dxa" w:w="2900"/>
            <w:shd w:fill="FFFFFF" w:val="clear"/>
          </w:tcPr>
          <w:p>
            <w:r>
              <w:rPr>
                <w:b w:val="false"/>
                <w:bCs w:val="false"/>
                <w:color w:val="000000"/>
                <w:sz w:val="20"/>
                <w:szCs w:val="20"/>
              </w:rPr>
              <w:t xml:space="preserve">PED analysis (VEDA software)</w:t>
            </w:r>
          </w:p>
        </w:tc>
        <w:tc>
          <w:tcPr>
            <w:tcW w:type="dxa" w:w="1400"/>
            <w:shd w:fill="FFFFFF" w:val="clear"/>
          </w:tcPr>
          <w:p>
            <w:r>
              <w:rPr>
                <w:b w:val="false"/>
                <w:bCs w:val="false"/>
                <w:color w:val="000000"/>
                <w:sz w:val="20"/>
                <w:szCs w:val="20"/>
              </w:rPr>
              <w:t xml:space="preserve">1–2 weeks</w:t>
            </w:r>
          </w:p>
        </w:tc>
        <w:tc>
          <w:tcPr>
            <w:tcW w:type="dxa" w:w="4800"/>
            <w:shd w:fill="FFFFFF" w:val="clear"/>
          </w:tcPr>
          <w:p>
            <w:r>
              <w:rPr>
                <w:b w:val="false"/>
                <w:bCs w:val="false"/>
                <w:color w:val="000000"/>
                <w:sz w:val="20"/>
                <w:szCs w:val="20"/>
              </w:rPr>
              <w:t xml:space="preserve">Converts qualitative assignments into quantitative percentage contributions. Strongly expected in high-quality vibrational papers.</w:t>
            </w:r>
          </w:p>
        </w:tc>
      </w:tr>
      <w:tr>
        <w:trPr>
          <w:tblHeader w:val="false"/>
        </w:trPr>
        <w:tc>
          <w:tcPr>
            <w:tcW w:type="dxa" w:w="2900"/>
            <w:shd w:fill="F2F2F2" w:val="clear"/>
          </w:tcPr>
          <w:p>
            <w:r>
              <w:rPr>
                <w:b w:val="false"/>
                <w:bCs w:val="false"/>
                <w:color w:val="000000"/>
                <w:sz w:val="20"/>
                <w:szCs w:val="20"/>
              </w:rPr>
              <w:t xml:space="preserve">N-acetylglucosamine (NAG) comparison</w:t>
            </w:r>
          </w:p>
        </w:tc>
        <w:tc>
          <w:tcPr>
            <w:tcW w:type="dxa" w:w="1400"/>
            <w:shd w:fill="F2F2F2" w:val="clear"/>
          </w:tcPr>
          <w:p>
            <w:r>
              <w:rPr>
                <w:b w:val="false"/>
                <w:bCs w:val="false"/>
                <w:color w:val="000000"/>
                <w:sz w:val="20"/>
                <w:szCs w:val="20"/>
              </w:rPr>
              <w:t xml:space="preserve">2–3 weeks</w:t>
            </w:r>
          </w:p>
        </w:tc>
        <w:tc>
          <w:tcPr>
            <w:tcW w:type="dxa" w:w="4800"/>
            <w:shd w:fill="F2F2F2" w:val="clear"/>
          </w:tcPr>
          <w:p>
            <w:r>
              <w:rPr>
                <w:b w:val="false"/>
                <w:bCs w:val="false"/>
                <w:color w:val="000000"/>
                <w:sz w:val="20"/>
                <w:szCs w:val="20"/>
              </w:rPr>
              <w:t xml:space="preserve">NAM and NAG are the two peptidoglycan sugars. Showing which bands distinguish them is directly useful to every bacterial Raman researcher.</w:t>
            </w:r>
          </w:p>
        </w:tc>
      </w:tr>
      <w:tr>
        <w:trPr>
          <w:tblHeader w:val="false"/>
        </w:trPr>
        <w:tc>
          <w:tcPr>
            <w:tcW w:type="dxa" w:w="2900"/>
            <w:shd w:fill="FFFFFF" w:val="clear"/>
          </w:tcPr>
          <w:p>
            <w:r>
              <w:rPr>
                <w:b w:val="false"/>
                <w:bCs w:val="false"/>
                <w:color w:val="000000"/>
                <w:sz w:val="20"/>
                <w:szCs w:val="20"/>
              </w:rPr>
              <w:t xml:space="preserve">Preliminary SERS spectrum on Ag colloid</w:t>
            </w:r>
          </w:p>
        </w:tc>
        <w:tc>
          <w:tcPr>
            <w:tcW w:type="dxa" w:w="1400"/>
            <w:shd w:fill="FFFFFF" w:val="clear"/>
          </w:tcPr>
          <w:p>
            <w:r>
              <w:rPr>
                <w:b w:val="false"/>
                <w:bCs w:val="false"/>
                <w:color w:val="000000"/>
                <w:sz w:val="20"/>
                <w:szCs w:val="20"/>
              </w:rPr>
              <w:t xml:space="preserve">2–4 weeks</w:t>
            </w:r>
          </w:p>
        </w:tc>
        <w:tc>
          <w:tcPr>
            <w:tcW w:type="dxa" w:w="4800"/>
            <w:shd w:fill="FFFFFF" w:val="clear"/>
          </w:tcPr>
          <w:p>
            <w:r>
              <w:rPr>
                <w:b w:val="false"/>
                <w:bCs w:val="false"/>
                <w:color w:val="000000"/>
                <w:sz w:val="20"/>
                <w:szCs w:val="20"/>
              </w:rPr>
              <w:t xml:space="preserve">Would let you target SERS-focused journals and connect directly to your sepsis project.</w:t>
            </w:r>
          </w:p>
        </w:tc>
      </w:tr>
      <w:tr>
        <w:trPr>
          <w:tblHeader w:val="false"/>
        </w:trPr>
        <w:tc>
          <w:tcPr>
            <w:tcW w:type="dxa" w:w="2900"/>
            <w:shd w:fill="F2F2F2" w:val="clear"/>
          </w:tcPr>
          <w:p>
            <w:r>
              <w:rPr>
                <w:b w:val="false"/>
                <w:bCs w:val="false"/>
                <w:color w:val="000000"/>
                <w:sz w:val="20"/>
                <w:szCs w:val="20"/>
              </w:rPr>
              <w:t xml:space="preserve">Anharmonic frequency calculation</w:t>
            </w:r>
          </w:p>
        </w:tc>
        <w:tc>
          <w:tcPr>
            <w:tcW w:type="dxa" w:w="1400"/>
            <w:shd w:fill="F2F2F2" w:val="clear"/>
          </w:tcPr>
          <w:p>
            <w:r>
              <w:rPr>
                <w:b w:val="false"/>
                <w:bCs w:val="false"/>
                <w:color w:val="000000"/>
                <w:sz w:val="20"/>
                <w:szCs w:val="20"/>
              </w:rPr>
              <w:t xml:space="preserve">High compute</w:t>
            </w:r>
          </w:p>
        </w:tc>
        <w:tc>
          <w:tcPr>
            <w:tcW w:type="dxa" w:w="4800"/>
            <w:shd w:fill="F2F2F2" w:val="clear"/>
          </w:tcPr>
          <w:p>
            <w:r>
              <w:rPr>
                <w:b w:val="false"/>
                <w:bCs w:val="false"/>
                <w:color w:val="000000"/>
                <w:sz w:val="20"/>
                <w:szCs w:val="20"/>
              </w:rPr>
              <w:t xml:space="preserve">Improves agreement but expensive. Skip unless HPC time is free.</w:t>
            </w:r>
          </w:p>
        </w:tc>
      </w:tr>
    </w:tbl>
    <w:p>
      <w:pPr>
        <w:pStyle w:val="Heading1"/>
        <w:spacing w:after="160" w:before="320"/>
      </w:pPr>
      <w:r>
        <w:t xml:space="preserve">4. Your Single Biggest Scientific Opportunity: The 730 cm⁻¹ Band</w:t>
      </w:r>
    </w:p>
    <w:p>
      <w:pPr>
        <w:spacing w:after="120"/>
      </w:pPr>
      <w:r>
        <w:t xml:space="preserve">This deserves its own section because it can elevate your paper from 'useful reference data' to 'resolves an open question'.</w:t>
      </w:r>
    </w:p>
    <w:p>
      <w:pPr>
        <w:spacing w:after="120"/>
      </w:pPr>
      <w:r>
        <w:t xml:space="preserve">In bacterial SERS literature there is a long-running dispute about the origin of the ~730 cm⁻¹ band, one of the strongest and most diagnostically used features in bacterial spectra. Kubryk et al. (Analyst, 2016) and Premasiri et al. (Applied Spectroscopy, 2016) attribute it variously to adenine, to nucleotide degradation products, or to cell-wall components. Because nobody had a clean isolated-NAM spectrum, the peptidoglycan contribution could never be tested directly.</w:t>
      </w:r>
    </w:p>
    <w:p>
      <w:pPr>
        <w:spacing w:after="120"/>
      </w:pPr>
      <w:r>
        <w:rPr>
          <w:b/>
          <w:bCs/>
        </w:rPr>
        <w:t xml:space="preserve">You now have that spectrum.</w:t>
      </w:r>
    </w:p>
    <w:p>
      <w:pPr>
        <w:spacing w:after="120"/>
      </w:pPr>
      <w:r>
        <w:t xml:space="preserve">So do this:</w:t>
      </w:r>
    </w:p>
    <w:p>
      <w:pPr>
        <w:spacing w:after="120"/>
      </w:pPr>
      <w:r>
        <w:t xml:space="preserve">1. Examine your averaged experimental spectrum carefully in the 700–760 cm⁻¹ window.</w:t>
      </w:r>
    </w:p>
    <w:p>
      <w:pPr>
        <w:spacing w:after="120"/>
      </w:pPr>
      <w:r>
        <w:t xml:space="preserve">2. Check whether a band exists there, and at what relative intensity.</w:t>
      </w:r>
    </w:p>
    <w:p>
      <w:pPr>
        <w:spacing w:after="120"/>
      </w:pPr>
      <w:r>
        <w:t xml:space="preserve">3. Check what your DFT predicts in that region and what mode it corresponds to.</w:t>
      </w:r>
    </w:p>
    <w:p>
      <w:pPr>
        <w:spacing w:after="120"/>
      </w:pPr>
      <w:r>
        <w:t xml:space="preserve">4. Write a dedicated discussion subsection stating what isolated NAM does — or does not — contribute at 730 cm⁻¹.</w:t>
      </w:r>
    </w:p>
    <w:p>
      <w:pPr>
        <w:spacing w:after="120"/>
      </w:pPr>
      <w:r>
        <w:t xml:space="preserve">Either outcome is publishable and interesting. If NAM shows a band there, you have identified a peptidoglycan contribution to a major bacterial marker. If NAM shows nothing, you have provided direct evidence that the 730 cm⁻¹ band is not peptidoglycan-derived — which constrains the field's interpretation. A null result, properly demonstrated, is a genuine contribution here.</w:t>
      </w:r>
    </w:p>
    <w:p>
      <w:pPr>
        <w:spacing w:after="120"/>
      </w:pPr>
      <w:r>
        <w:rPr>
          <w:b/>
          <w:bCs/>
        </w:rPr>
        <w:t xml:space="preserve">Frame this in your abstract. It transforms the paper's positioning from descriptive to explanatory.</w:t>
      </w:r>
    </w:p>
    <w:p>
      <w:pPr>
        <w:pStyle w:val="Heading1"/>
        <w:spacing w:after="160" w:before="320"/>
      </w:pPr>
      <w:r>
        <w:t xml:space="preserve">5. Documents and Files You Need to Assemble</w:t>
      </w:r>
    </w:p>
    <w:p>
      <w:pPr>
        <w:pStyle w:val="Heading2"/>
        <w:spacing w:after="120" w:before="260"/>
      </w:pPr>
      <w:r>
        <w:t xml:space="preserve">5.1 For writing the manuscript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400"/>
        <w:gridCol w:w="5700"/>
      </w:tblGrid>
      <w:tr>
        <w:trPr>
          <w:tblHeader/>
        </w:trPr>
        <w:tc>
          <w:tcPr>
            <w:tcW w:type="dxa" w:w="3400"/>
            <w:shd w:fill="1F3864" w:val="clear"/>
          </w:tcPr>
          <w:p>
            <w:r>
              <w:rPr>
                <w:b/>
                <w:bCs/>
                <w:color w:val="FFFFFF"/>
                <w:sz w:val="20"/>
                <w:szCs w:val="20"/>
              </w:rPr>
              <w:t xml:space="preserve">File / item</w:t>
            </w:r>
          </w:p>
        </w:tc>
        <w:tc>
          <w:tcPr>
            <w:tcW w:type="dxa" w:w="5700"/>
            <w:shd w:fill="1F3864" w:val="clear"/>
          </w:tcPr>
          <w:p>
            <w:r>
              <w:rPr>
                <w:b/>
                <w:bCs/>
                <w:color w:val="FFFFFF"/>
                <w:sz w:val="20"/>
                <w:szCs w:val="20"/>
              </w:rPr>
              <w:t xml:space="preserve">Purpose</w:t>
            </w:r>
          </w:p>
        </w:tc>
      </w:tr>
      <w:tr>
        <w:trPr>
          <w:tblHeader w:val="false"/>
        </w:trPr>
        <w:tc>
          <w:tcPr>
            <w:tcW w:type="dxa" w:w="3400"/>
            <w:shd w:fill="FFFFFF" w:val="clear"/>
          </w:tcPr>
          <w:p>
            <w:r>
              <w:rPr>
                <w:b w:val="false"/>
                <w:bCs w:val="false"/>
                <w:color w:val="000000"/>
                <w:sz w:val="20"/>
                <w:szCs w:val="20"/>
              </w:rPr>
              <w:t xml:space="preserve">All raw Raman spectra (.csv or .xlsx)</w:t>
            </w:r>
          </w:p>
        </w:tc>
        <w:tc>
          <w:tcPr>
            <w:tcW w:type="dxa" w:w="5700"/>
            <w:shd w:fill="FFFFFF" w:val="clear"/>
          </w:tcPr>
          <w:p>
            <w:r>
              <w:rPr>
                <w:b w:val="false"/>
                <w:bCs w:val="false"/>
                <w:color w:val="000000"/>
                <w:sz w:val="20"/>
                <w:szCs w:val="20"/>
              </w:rPr>
              <w:t xml:space="preserve">Source data; also archived for the data-availability statement</w:t>
            </w:r>
          </w:p>
        </w:tc>
      </w:tr>
      <w:tr>
        <w:trPr>
          <w:tblHeader w:val="false"/>
        </w:trPr>
        <w:tc>
          <w:tcPr>
            <w:tcW w:type="dxa" w:w="3400"/>
            <w:shd w:fill="F2F2F2" w:val="clear"/>
          </w:tcPr>
          <w:p>
            <w:r>
              <w:rPr>
                <w:b w:val="false"/>
                <w:bCs w:val="false"/>
                <w:color w:val="000000"/>
                <w:sz w:val="20"/>
                <w:szCs w:val="20"/>
              </w:rPr>
              <w:t xml:space="preserve">Gaussian input file (.gjf / .com)</w:t>
            </w:r>
          </w:p>
        </w:tc>
        <w:tc>
          <w:tcPr>
            <w:tcW w:type="dxa" w:w="5700"/>
            <w:shd w:fill="F2F2F2" w:val="clear"/>
          </w:tcPr>
          <w:p>
            <w:r>
              <w:rPr>
                <w:b w:val="false"/>
                <w:bCs w:val="false"/>
                <w:color w:val="000000"/>
                <w:sz w:val="20"/>
                <w:szCs w:val="20"/>
              </w:rPr>
              <w:t xml:space="preserve">Reported verbatim in Methods; often requested as SI</w:t>
            </w:r>
          </w:p>
        </w:tc>
      </w:tr>
      <w:tr>
        <w:trPr>
          <w:tblHeader w:val="false"/>
        </w:trPr>
        <w:tc>
          <w:tcPr>
            <w:tcW w:type="dxa" w:w="3400"/>
            <w:shd w:fill="FFFFFF" w:val="clear"/>
          </w:tcPr>
          <w:p>
            <w:r>
              <w:rPr>
                <w:b w:val="false"/>
                <w:bCs w:val="false"/>
                <w:color w:val="000000"/>
                <w:sz w:val="20"/>
                <w:szCs w:val="20"/>
              </w:rPr>
              <w:t xml:space="preserve">Gaussian output file (.log)</w:t>
            </w:r>
          </w:p>
        </w:tc>
        <w:tc>
          <w:tcPr>
            <w:tcW w:type="dxa" w:w="5700"/>
            <w:shd w:fill="FFFFFF" w:val="clear"/>
          </w:tcPr>
          <w:p>
            <w:r>
              <w:rPr>
                <w:b w:val="false"/>
                <w:bCs w:val="false"/>
                <w:color w:val="000000"/>
                <w:sz w:val="20"/>
                <w:szCs w:val="20"/>
              </w:rPr>
              <w:t xml:space="preserve">Source of frequencies, Raman activities, mode assignments</w:t>
            </w:r>
          </w:p>
        </w:tc>
      </w:tr>
      <w:tr>
        <w:trPr>
          <w:tblHeader w:val="false"/>
        </w:trPr>
        <w:tc>
          <w:tcPr>
            <w:tcW w:type="dxa" w:w="3400"/>
            <w:shd w:fill="F2F2F2" w:val="clear"/>
          </w:tcPr>
          <w:p>
            <w:r>
              <w:rPr>
                <w:b w:val="false"/>
                <w:bCs w:val="false"/>
                <w:color w:val="000000"/>
                <w:sz w:val="20"/>
                <w:szCs w:val="20"/>
              </w:rPr>
              <w:t xml:space="preserve">Optimised geometry coordinates (XYZ)</w:t>
            </w:r>
          </w:p>
        </w:tc>
        <w:tc>
          <w:tcPr>
            <w:tcW w:type="dxa" w:w="5700"/>
            <w:shd w:fill="F2F2F2" w:val="clear"/>
          </w:tcPr>
          <w:p>
            <w:r>
              <w:rPr>
                <w:b w:val="false"/>
                <w:bCs w:val="false"/>
                <w:color w:val="000000"/>
                <w:sz w:val="20"/>
                <w:szCs w:val="20"/>
              </w:rPr>
              <w:t xml:space="preserve">Standard SI table in computational papers</w:t>
            </w:r>
          </w:p>
        </w:tc>
      </w:tr>
      <w:tr>
        <w:trPr>
          <w:tblHeader w:val="false"/>
        </w:trPr>
        <w:tc>
          <w:tcPr>
            <w:tcW w:type="dxa" w:w="3400"/>
            <w:shd w:fill="FFFFFF" w:val="clear"/>
          </w:tcPr>
          <w:p>
            <w:r>
              <w:rPr>
                <w:b w:val="false"/>
                <w:bCs w:val="false"/>
                <w:color w:val="000000"/>
                <w:sz w:val="20"/>
                <w:szCs w:val="20"/>
              </w:rPr>
              <w:t xml:space="preserve">Instrument specification sheet</w:t>
            </w:r>
          </w:p>
        </w:tc>
        <w:tc>
          <w:tcPr>
            <w:tcW w:type="dxa" w:w="5700"/>
            <w:shd w:fill="FFFFFF" w:val="clear"/>
          </w:tcPr>
          <w:p>
            <w:r>
              <w:rPr>
                <w:b w:val="false"/>
                <w:bCs w:val="false"/>
                <w:color w:val="000000"/>
                <w:sz w:val="20"/>
                <w:szCs w:val="20"/>
              </w:rPr>
              <w:t xml:space="preserve">Exact model, spectrometer, grating, detector, spectral resolution</w:t>
            </w:r>
          </w:p>
        </w:tc>
      </w:tr>
      <w:tr>
        <w:trPr>
          <w:tblHeader w:val="false"/>
        </w:trPr>
        <w:tc>
          <w:tcPr>
            <w:tcW w:type="dxa" w:w="3400"/>
            <w:shd w:fill="F2F2F2" w:val="clear"/>
          </w:tcPr>
          <w:p>
            <w:r>
              <w:rPr>
                <w:b w:val="false"/>
                <w:bCs w:val="false"/>
                <w:color w:val="000000"/>
                <w:sz w:val="20"/>
                <w:szCs w:val="20"/>
              </w:rPr>
              <w:t xml:space="preserve">NAM reagent details</w:t>
            </w:r>
          </w:p>
        </w:tc>
        <w:tc>
          <w:tcPr>
            <w:tcW w:type="dxa" w:w="5700"/>
            <w:shd w:fill="F2F2F2" w:val="clear"/>
          </w:tcPr>
          <w:p>
            <w:r>
              <w:rPr>
                <w:b w:val="false"/>
                <w:bCs w:val="false"/>
                <w:color w:val="000000"/>
                <w:sz w:val="20"/>
                <w:szCs w:val="20"/>
              </w:rPr>
              <w:t xml:space="preserve">Supplier, catalogue number, purity, lot, stated stereochemistry (β)</w:t>
            </w:r>
          </w:p>
        </w:tc>
      </w:tr>
      <w:tr>
        <w:trPr>
          <w:tblHeader w:val="false"/>
        </w:trPr>
        <w:tc>
          <w:tcPr>
            <w:tcW w:type="dxa" w:w="3400"/>
            <w:shd w:fill="FFFFFF" w:val="clear"/>
          </w:tcPr>
          <w:p>
            <w:r>
              <w:rPr>
                <w:b w:val="false"/>
                <w:bCs w:val="false"/>
                <w:color w:val="000000"/>
                <w:sz w:val="20"/>
                <w:szCs w:val="20"/>
              </w:rPr>
              <w:t xml:space="preserve">Reference manager library (.bib)</w:t>
            </w:r>
          </w:p>
        </w:tc>
        <w:tc>
          <w:tcPr>
            <w:tcW w:type="dxa" w:w="5700"/>
            <w:shd w:fill="FFFFFF" w:val="clear"/>
          </w:tcPr>
          <w:p>
            <w:r>
              <w:rPr>
                <w:b w:val="false"/>
                <w:bCs w:val="false"/>
                <w:color w:val="000000"/>
                <w:sz w:val="20"/>
                <w:szCs w:val="20"/>
              </w:rPr>
              <w:t xml:space="preserve">30–45 references; BibTeX for Overleaf</w:t>
            </w:r>
          </w:p>
        </w:tc>
      </w:tr>
    </w:tbl>
    <w:p>
      <w:pPr>
        <w:pStyle w:val="Heading2"/>
        <w:spacing w:after="120" w:before="260"/>
      </w:pPr>
      <w:r>
        <w:t xml:space="preserve">5.2 Figures to produce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600"/>
      </w:tblGrid>
      <w:tr>
        <w:trPr>
          <w:tblHeader/>
        </w:trPr>
        <w:tc>
          <w:tcPr>
            <w:tcW w:type="dxa" w:w="1100"/>
            <w:shd w:fill="1F3864" w:val="clear"/>
          </w:tcPr>
          <w:p>
            <w:r>
              <w:rPr>
                <w:b/>
                <w:bCs/>
                <w:color w:val="FFFFFF"/>
                <w:sz w:val="20"/>
                <w:szCs w:val="20"/>
              </w:rPr>
              <w:t xml:space="preserve">Figure</w:t>
            </w:r>
          </w:p>
        </w:tc>
        <w:tc>
          <w:tcPr>
            <w:tcW w:type="dxa" w:w="3400"/>
            <w:shd w:fill="1F3864" w:val="clear"/>
          </w:tcPr>
          <w:p>
            <w:r>
              <w:rPr>
                <w:b/>
                <w:bCs/>
                <w:color w:val="FFFFFF"/>
                <w:sz w:val="20"/>
                <w:szCs w:val="20"/>
              </w:rPr>
              <w:t xml:space="preserve">Content</w:t>
            </w:r>
          </w:p>
        </w:tc>
        <w:tc>
          <w:tcPr>
            <w:tcW w:type="dxa" w:w="4600"/>
            <w:shd w:fill="1F3864" w:val="clear"/>
          </w:tcPr>
          <w:p>
            <w:r>
              <w:rPr>
                <w:b/>
                <w:bCs/>
                <w:color w:val="FFFFFF"/>
                <w:sz w:val="20"/>
                <w:szCs w:val="20"/>
              </w:rPr>
              <w:t xml:space="preserve">Notes</w:t>
            </w:r>
          </w:p>
        </w:tc>
      </w:tr>
      <w:tr>
        <w:trPr>
          <w:tblHeader w:val="false"/>
        </w:trPr>
        <w:tc>
          <w:tcPr>
            <w:tcW w:type="dxa" w:w="1100"/>
            <w:shd w:fill="FFFFFF" w:val="clear"/>
          </w:tcPr>
          <w:p>
            <w:r>
              <w:rPr>
                <w:b w:val="false"/>
                <w:bCs w:val="false"/>
                <w:color w:val="000000"/>
                <w:sz w:val="20"/>
                <w:szCs w:val="20"/>
              </w:rPr>
              <w:t xml:space="preserve">Fig. 1</w:t>
            </w:r>
          </w:p>
        </w:tc>
        <w:tc>
          <w:tcPr>
            <w:tcW w:type="dxa" w:w="3400"/>
            <w:shd w:fill="FFFFFF" w:val="clear"/>
          </w:tcPr>
          <w:p>
            <w:r>
              <w:rPr>
                <w:b w:val="false"/>
                <w:bCs w:val="false"/>
                <w:color w:val="000000"/>
                <w:sz w:val="20"/>
                <w:szCs w:val="20"/>
              </w:rPr>
              <w:t xml:space="preserve">Molecular structure of β-MurNAc + DFT-optimised geometry</w:t>
            </w:r>
          </w:p>
        </w:tc>
        <w:tc>
          <w:tcPr>
            <w:tcW w:type="dxa" w:w="4600"/>
            <w:shd w:fill="FFFFFF" w:val="clear"/>
          </w:tcPr>
          <w:p>
            <w:r>
              <w:rPr>
                <w:b w:val="false"/>
                <w:bCs w:val="false"/>
                <w:color w:val="000000"/>
                <w:sz w:val="20"/>
                <w:szCs w:val="20"/>
              </w:rPr>
              <w:t xml:space="preserve">Two panels side by side; label the lactyl and acetamido groups</w:t>
            </w:r>
          </w:p>
        </w:tc>
      </w:tr>
      <w:tr>
        <w:trPr>
          <w:tblHeader w:val="false"/>
        </w:trPr>
        <w:tc>
          <w:tcPr>
            <w:tcW w:type="dxa" w:w="1100"/>
            <w:shd w:fill="F2F2F2" w:val="clear"/>
          </w:tcPr>
          <w:p>
            <w:r>
              <w:rPr>
                <w:b w:val="false"/>
                <w:bCs w:val="false"/>
                <w:color w:val="000000"/>
                <w:sz w:val="20"/>
                <w:szCs w:val="20"/>
              </w:rPr>
              <w:t xml:space="preserve">Fig. 2</w:t>
            </w:r>
          </w:p>
        </w:tc>
        <w:tc>
          <w:tcPr>
            <w:tcW w:type="dxa" w:w="3400"/>
            <w:shd w:fill="F2F2F2" w:val="clear"/>
          </w:tcPr>
          <w:p>
            <w:r>
              <w:rPr>
                <w:b w:val="false"/>
                <w:bCs w:val="false"/>
                <w:color w:val="000000"/>
                <w:sz w:val="20"/>
                <w:szCs w:val="20"/>
              </w:rPr>
              <w:t xml:space="preserve">Averaged experimental Raman spectrum, 400–1800 cm⁻¹</w:t>
            </w:r>
          </w:p>
        </w:tc>
        <w:tc>
          <w:tcPr>
            <w:tcW w:type="dxa" w:w="4600"/>
            <w:shd w:fill="F2F2F2" w:val="clear"/>
          </w:tcPr>
          <w:p>
            <w:r>
              <w:rPr>
                <w:b w:val="false"/>
                <w:bCs w:val="false"/>
                <w:color w:val="000000"/>
                <w:sz w:val="20"/>
                <w:szCs w:val="20"/>
              </w:rPr>
              <w:t xml:space="preserve">Mean line with ±1 SD shaded band; annotate major peaks</w:t>
            </w:r>
          </w:p>
        </w:tc>
      </w:tr>
      <w:tr>
        <w:trPr>
          <w:tblHeader w:val="false"/>
        </w:trPr>
        <w:tc>
          <w:tcPr>
            <w:tcW w:type="dxa" w:w="1100"/>
            <w:shd w:fill="FFFFFF" w:val="clear"/>
          </w:tcPr>
          <w:p>
            <w:r>
              <w:rPr>
                <w:b w:val="false"/>
                <w:bCs w:val="false"/>
                <w:color w:val="000000"/>
                <w:sz w:val="20"/>
                <w:szCs w:val="20"/>
              </w:rPr>
              <w:t xml:space="preserve">Fig. 3</w:t>
            </w:r>
          </w:p>
        </w:tc>
        <w:tc>
          <w:tcPr>
            <w:tcW w:type="dxa" w:w="3400"/>
            <w:shd w:fill="FFFFFF" w:val="clear"/>
          </w:tcPr>
          <w:p>
            <w:r>
              <w:rPr>
                <w:b w:val="false"/>
                <w:bCs w:val="false"/>
                <w:color w:val="000000"/>
                <w:sz w:val="20"/>
                <w:szCs w:val="20"/>
              </w:rPr>
              <w:t xml:space="preserve">Glass blank overlaid with NAM spectrum</w:t>
            </w:r>
          </w:p>
        </w:tc>
        <w:tc>
          <w:tcPr>
            <w:tcW w:type="dxa" w:w="4600"/>
            <w:shd w:fill="FFFFFF" w:val="clear"/>
          </w:tcPr>
          <w:p>
            <w:r>
              <w:rPr>
                <w:b w:val="false"/>
                <w:bCs w:val="false"/>
                <w:color w:val="000000"/>
                <w:sz w:val="20"/>
                <w:szCs w:val="20"/>
              </w:rPr>
              <w:t xml:space="preserve">Demonstrates substrate bands are accounted for</w:t>
            </w:r>
          </w:p>
        </w:tc>
      </w:tr>
      <w:tr>
        <w:trPr>
          <w:tblHeader w:val="false"/>
        </w:trPr>
        <w:tc>
          <w:tcPr>
            <w:tcW w:type="dxa" w:w="1100"/>
            <w:shd w:fill="F2F2F2" w:val="clear"/>
          </w:tcPr>
          <w:p>
            <w:r>
              <w:rPr>
                <w:b w:val="false"/>
                <w:bCs w:val="false"/>
                <w:color w:val="000000"/>
                <w:sz w:val="20"/>
                <w:szCs w:val="20"/>
              </w:rPr>
              <w:t xml:space="preserve">Fig. 4</w:t>
            </w:r>
          </w:p>
        </w:tc>
        <w:tc>
          <w:tcPr>
            <w:tcW w:type="dxa" w:w="3400"/>
            <w:shd w:fill="F2F2F2" w:val="clear"/>
          </w:tcPr>
          <w:p>
            <w:r>
              <w:rPr>
                <w:b w:val="false"/>
                <w:bCs w:val="false"/>
                <w:color w:val="000000"/>
                <w:sz w:val="20"/>
                <w:szCs w:val="20"/>
              </w:rPr>
              <w:t xml:space="preserve">Simulated (scaled, Lorentzian-broadened) Raman spectrum</w:t>
            </w:r>
          </w:p>
        </w:tc>
        <w:tc>
          <w:tcPr>
            <w:tcW w:type="dxa" w:w="4600"/>
            <w:shd w:fill="F2F2F2" w:val="clear"/>
          </w:tcPr>
          <w:p>
            <w:r>
              <w:rPr>
                <w:b w:val="false"/>
                <w:bCs w:val="false"/>
                <w:color w:val="000000"/>
                <w:sz w:val="20"/>
                <w:szCs w:val="20"/>
              </w:rPr>
              <w:t xml:space="preserve">State scaling factor in the caption</w:t>
            </w:r>
          </w:p>
        </w:tc>
      </w:tr>
      <w:tr>
        <w:trPr>
          <w:tblHeader w:val="false"/>
        </w:trPr>
        <w:tc>
          <w:tcPr>
            <w:tcW w:type="dxa" w:w="1100"/>
            <w:shd w:fill="FFFFFF" w:val="clear"/>
          </w:tcPr>
          <w:p>
            <w:r>
              <w:rPr>
                <w:b w:val="false"/>
                <w:bCs w:val="false"/>
                <w:color w:val="000000"/>
                <w:sz w:val="20"/>
                <w:szCs w:val="20"/>
              </w:rPr>
              <w:t xml:space="preserve">Fig. 5</w:t>
            </w:r>
          </w:p>
        </w:tc>
        <w:tc>
          <w:tcPr>
            <w:tcW w:type="dxa" w:w="3400"/>
            <w:shd w:fill="FFFFFF" w:val="clear"/>
          </w:tcPr>
          <w:p>
            <w:r>
              <w:rPr>
                <w:b w:val="false"/>
                <w:bCs w:val="false"/>
                <w:color w:val="000000"/>
                <w:sz w:val="20"/>
                <w:szCs w:val="20"/>
              </w:rPr>
              <w:t xml:space="preserve">Experimental vs simulated overlay</w:t>
            </w:r>
          </w:p>
        </w:tc>
        <w:tc>
          <w:tcPr>
            <w:tcW w:type="dxa" w:w="4600"/>
            <w:shd w:fill="FFFFFF" w:val="clear"/>
          </w:tcPr>
          <w:p>
            <w:r>
              <w:rPr>
                <w:b w:val="false"/>
                <w:bCs w:val="false"/>
                <w:color w:val="000000"/>
                <w:sz w:val="20"/>
                <w:szCs w:val="20"/>
              </w:rPr>
              <w:t xml:space="preserve">HEADLINE FIGURE. Add a residual sub-panel underneath</w:t>
            </w:r>
          </w:p>
        </w:tc>
      </w:tr>
      <w:tr>
        <w:trPr>
          <w:tblHeader w:val="false"/>
        </w:trPr>
        <w:tc>
          <w:tcPr>
            <w:tcW w:type="dxa" w:w="1100"/>
            <w:shd w:fill="F2F2F2" w:val="clear"/>
          </w:tcPr>
          <w:p>
            <w:r>
              <w:rPr>
                <w:b w:val="false"/>
                <w:bCs w:val="false"/>
                <w:color w:val="000000"/>
                <w:sz w:val="20"/>
                <w:szCs w:val="20"/>
              </w:rPr>
              <w:t xml:space="preserve">Fig. 6</w:t>
            </w:r>
          </w:p>
        </w:tc>
        <w:tc>
          <w:tcPr>
            <w:tcW w:type="dxa" w:w="3400"/>
            <w:shd w:fill="F2F2F2" w:val="clear"/>
          </w:tcPr>
          <w:p>
            <w:r>
              <w:rPr>
                <w:b w:val="false"/>
                <w:bCs w:val="false"/>
                <w:color w:val="000000"/>
                <w:sz w:val="20"/>
                <w:szCs w:val="20"/>
              </w:rPr>
              <w:t xml:space="preserve">Zoom on 700–760 cm⁻¹ region</w:t>
            </w:r>
          </w:p>
        </w:tc>
        <w:tc>
          <w:tcPr>
            <w:tcW w:type="dxa" w:w="4600"/>
            <w:shd w:fill="F2F2F2" w:val="clear"/>
          </w:tcPr>
          <w:p>
            <w:r>
              <w:rPr>
                <w:b w:val="false"/>
                <w:bCs w:val="false"/>
                <w:color w:val="000000"/>
                <w:sz w:val="20"/>
                <w:szCs w:val="20"/>
              </w:rPr>
              <w:t xml:space="preserve">Supports the 730 cm⁻¹ discussion</w:t>
            </w:r>
          </w:p>
        </w:tc>
      </w:tr>
      <w:tr>
        <w:trPr>
          <w:tblHeader w:val="false"/>
        </w:trPr>
        <w:tc>
          <w:tcPr>
            <w:tcW w:type="dxa" w:w="1100"/>
            <w:shd w:fill="FFFFFF" w:val="clear"/>
          </w:tcPr>
          <w:p>
            <w:r>
              <w:rPr>
                <w:b w:val="false"/>
                <w:bCs w:val="false"/>
                <w:color w:val="000000"/>
                <w:sz w:val="20"/>
                <w:szCs w:val="20"/>
              </w:rPr>
              <w:t xml:space="preserve">Fig. S1</w:t>
            </w:r>
          </w:p>
        </w:tc>
        <w:tc>
          <w:tcPr>
            <w:tcW w:type="dxa" w:w="3400"/>
            <w:shd w:fill="FFFFFF" w:val="clear"/>
          </w:tcPr>
          <w:p>
            <w:r>
              <w:rPr>
                <w:b w:val="false"/>
                <w:bCs w:val="false"/>
                <w:color w:val="000000"/>
                <w:sz w:val="20"/>
                <w:szCs w:val="20"/>
              </w:rPr>
              <w:t xml:space="preserve">Integration time / power optimisation, SNR curves</w:t>
            </w:r>
          </w:p>
        </w:tc>
        <w:tc>
          <w:tcPr>
            <w:tcW w:type="dxa" w:w="4600"/>
            <w:shd w:fill="FFFFFF" w:val="clear"/>
          </w:tcPr>
          <w:p>
            <w:r>
              <w:rPr>
                <w:b w:val="false"/>
                <w:bCs w:val="false"/>
                <w:color w:val="000000"/>
                <w:sz w:val="20"/>
                <w:szCs w:val="20"/>
              </w:rPr>
              <w:t xml:space="preserve">Supplementary</w:t>
            </w:r>
          </w:p>
        </w:tc>
      </w:tr>
      <w:tr>
        <w:trPr>
          <w:tblHeader w:val="false"/>
        </w:trPr>
        <w:tc>
          <w:tcPr>
            <w:tcW w:type="dxa" w:w="1100"/>
            <w:shd w:fill="F2F2F2" w:val="clear"/>
          </w:tcPr>
          <w:p>
            <w:r>
              <w:rPr>
                <w:b w:val="false"/>
                <w:bCs w:val="false"/>
                <w:color w:val="000000"/>
                <w:sz w:val="20"/>
                <w:szCs w:val="20"/>
              </w:rPr>
              <w:t xml:space="preserve">Fig. S2</w:t>
            </w:r>
          </w:p>
        </w:tc>
        <w:tc>
          <w:tcPr>
            <w:tcW w:type="dxa" w:w="3400"/>
            <w:shd w:fill="F2F2F2" w:val="clear"/>
          </w:tcPr>
          <w:p>
            <w:r>
              <w:rPr>
                <w:b w:val="false"/>
                <w:bCs w:val="false"/>
                <w:color w:val="000000"/>
                <w:sz w:val="20"/>
                <w:szCs w:val="20"/>
              </w:rPr>
              <w:t xml:space="preserve">Photostability: repeated same-spot scans</w:t>
            </w:r>
          </w:p>
        </w:tc>
        <w:tc>
          <w:tcPr>
            <w:tcW w:type="dxa" w:w="4600"/>
            <w:shd w:fill="F2F2F2" w:val="clear"/>
          </w:tcPr>
          <w:p>
            <w:r>
              <w:rPr>
                <w:b w:val="false"/>
                <w:bCs w:val="false"/>
                <w:color w:val="000000"/>
                <w:sz w:val="20"/>
                <w:szCs w:val="20"/>
              </w:rPr>
              <w:t xml:space="preserve">Supplementary</w:t>
            </w:r>
          </w:p>
        </w:tc>
      </w:tr>
    </w:tbl>
    <w:p>
      <w:pPr>
        <w:pStyle w:val="Heading2"/>
        <w:spacing w:after="120" w:before="260"/>
      </w:pPr>
      <w:r>
        <w:t xml:space="preserve">5.3 Tables to produce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4600"/>
      </w:tblGrid>
      <w:tr>
        <w:trPr>
          <w:tblHeader/>
        </w:trPr>
        <w:tc>
          <w:tcPr>
            <w:tcW w:type="dxa" w:w="1100"/>
            <w:shd w:fill="1F3864" w:val="clear"/>
          </w:tcPr>
          <w:p>
            <w:r>
              <w:rPr>
                <w:b/>
                <w:bCs/>
                <w:color w:val="FFFFFF"/>
                <w:sz w:val="20"/>
                <w:szCs w:val="20"/>
              </w:rPr>
              <w:t xml:space="preserve">Table</w:t>
            </w:r>
          </w:p>
        </w:tc>
        <w:tc>
          <w:tcPr>
            <w:tcW w:type="dxa" w:w="3400"/>
            <w:shd w:fill="1F3864" w:val="clear"/>
          </w:tcPr>
          <w:p>
            <w:r>
              <w:rPr>
                <w:b/>
                <w:bCs/>
                <w:color w:val="FFFFFF"/>
                <w:sz w:val="20"/>
                <w:szCs w:val="20"/>
              </w:rPr>
              <w:t xml:space="preserve">Content</w:t>
            </w:r>
          </w:p>
        </w:tc>
        <w:tc>
          <w:tcPr>
            <w:tcW w:type="dxa" w:w="4600"/>
            <w:shd w:fill="1F3864" w:val="clear"/>
          </w:tcPr>
          <w:p>
            <w:r>
              <w:rPr>
                <w:b/>
                <w:bCs/>
                <w:color w:val="FFFFFF"/>
                <w:sz w:val="20"/>
                <w:szCs w:val="20"/>
              </w:rPr>
              <w:t xml:space="preserve">Notes</w:t>
            </w:r>
          </w:p>
        </w:tc>
      </w:tr>
      <w:tr>
        <w:trPr>
          <w:tblHeader w:val="false"/>
        </w:trPr>
        <w:tc>
          <w:tcPr>
            <w:tcW w:type="dxa" w:w="1100"/>
            <w:shd w:fill="FFFFFF" w:val="clear"/>
          </w:tcPr>
          <w:p>
            <w:r>
              <w:rPr>
                <w:b w:val="false"/>
                <w:bCs w:val="false"/>
                <w:color w:val="000000"/>
                <w:sz w:val="20"/>
                <w:szCs w:val="20"/>
              </w:rPr>
              <w:t xml:space="preserve">Table 1</w:t>
            </w:r>
          </w:p>
        </w:tc>
        <w:tc>
          <w:tcPr>
            <w:tcW w:type="dxa" w:w="3400"/>
            <w:shd w:fill="FFFFFF" w:val="clear"/>
          </w:tcPr>
          <w:p>
            <w:r>
              <w:rPr>
                <w:b w:val="false"/>
                <w:bCs w:val="false"/>
                <w:color w:val="000000"/>
                <w:sz w:val="20"/>
                <w:szCs w:val="20"/>
              </w:rPr>
              <w:t xml:space="preserve">Raman acquisition parameters</w:t>
            </w:r>
          </w:p>
        </w:tc>
        <w:tc>
          <w:tcPr>
            <w:tcW w:type="dxa" w:w="4600"/>
            <w:shd w:fill="FFFFFF" w:val="clear"/>
          </w:tcPr>
          <w:p>
            <w:r>
              <w:rPr>
                <w:b w:val="false"/>
                <w:bCs w:val="false"/>
                <w:color w:val="000000"/>
                <w:sz w:val="20"/>
                <w:szCs w:val="20"/>
              </w:rPr>
              <w:t xml:space="preserve">Laser, power, objective, integration, accumulations, range, resolution</w:t>
            </w:r>
          </w:p>
        </w:tc>
      </w:tr>
      <w:tr>
        <w:trPr>
          <w:tblHeader w:val="false"/>
        </w:trPr>
        <w:tc>
          <w:tcPr>
            <w:tcW w:type="dxa" w:w="1100"/>
            <w:shd w:fill="F2F2F2" w:val="clear"/>
          </w:tcPr>
          <w:p>
            <w:r>
              <w:rPr>
                <w:b w:val="false"/>
                <w:bCs w:val="false"/>
                <w:color w:val="000000"/>
                <w:sz w:val="20"/>
                <w:szCs w:val="20"/>
              </w:rPr>
              <w:t xml:space="preserve">Table 2</w:t>
            </w:r>
          </w:p>
        </w:tc>
        <w:tc>
          <w:tcPr>
            <w:tcW w:type="dxa" w:w="3400"/>
            <w:shd w:fill="F2F2F2" w:val="clear"/>
          </w:tcPr>
          <w:p>
            <w:r>
              <w:rPr>
                <w:b w:val="false"/>
                <w:bCs w:val="false"/>
                <w:color w:val="000000"/>
                <w:sz w:val="20"/>
                <w:szCs w:val="20"/>
              </w:rPr>
              <w:t xml:space="preserve">DFT computational details</w:t>
            </w:r>
          </w:p>
        </w:tc>
        <w:tc>
          <w:tcPr>
            <w:tcW w:type="dxa" w:w="4600"/>
            <w:shd w:fill="F2F2F2" w:val="clear"/>
          </w:tcPr>
          <w:p>
            <w:r>
              <w:rPr>
                <w:b w:val="false"/>
                <w:bCs w:val="false"/>
                <w:color w:val="000000"/>
                <w:sz w:val="20"/>
                <w:szCs w:val="20"/>
              </w:rPr>
              <w:t xml:space="preserve">Software version, functional, dispersion, basis set, solvation, convergence, scaling</w:t>
            </w:r>
          </w:p>
        </w:tc>
      </w:tr>
      <w:tr>
        <w:trPr>
          <w:tblHeader w:val="false"/>
        </w:trPr>
        <w:tc>
          <w:tcPr>
            <w:tcW w:type="dxa" w:w="1100"/>
            <w:shd w:fill="FFFFFF" w:val="clear"/>
          </w:tcPr>
          <w:p>
            <w:r>
              <w:rPr>
                <w:b w:val="false"/>
                <w:bCs w:val="false"/>
                <w:color w:val="000000"/>
                <w:sz w:val="20"/>
                <w:szCs w:val="20"/>
              </w:rPr>
              <w:t xml:space="preserve">Table 3</w:t>
            </w:r>
          </w:p>
        </w:tc>
        <w:tc>
          <w:tcPr>
            <w:tcW w:type="dxa" w:w="3400"/>
            <w:shd w:fill="FFFFFF" w:val="clear"/>
          </w:tcPr>
          <w:p>
            <w:r>
              <w:rPr>
                <w:b w:val="false"/>
                <w:bCs w:val="false"/>
                <w:color w:val="000000"/>
                <w:sz w:val="20"/>
                <w:szCs w:val="20"/>
              </w:rPr>
              <w:t xml:space="preserve">Experimental vs scaled-theoretical frequencies with assignments</w:t>
            </w:r>
          </w:p>
        </w:tc>
        <w:tc>
          <w:tcPr>
            <w:tcW w:type="dxa" w:w="4600"/>
            <w:shd w:fill="FFFFFF" w:val="clear"/>
          </w:tcPr>
          <w:p>
            <w:r>
              <w:rPr>
                <w:b w:val="false"/>
                <w:bCs w:val="false"/>
                <w:color w:val="000000"/>
                <w:sz w:val="20"/>
                <w:szCs w:val="20"/>
              </w:rPr>
              <w:t xml:space="preserve">THE CORE TABLE. 20–30 rows. Columns: Exp, Calc, Scaled, Δ, Assignment, Confidence</w:t>
            </w:r>
          </w:p>
        </w:tc>
      </w:tr>
      <w:tr>
        <w:trPr>
          <w:tblHeader w:val="false"/>
        </w:trPr>
        <w:tc>
          <w:tcPr>
            <w:tcW w:type="dxa" w:w="1100"/>
            <w:shd w:fill="F2F2F2" w:val="clear"/>
          </w:tcPr>
          <w:p>
            <w:r>
              <w:rPr>
                <w:b w:val="false"/>
                <w:bCs w:val="false"/>
                <w:color w:val="000000"/>
                <w:sz w:val="20"/>
                <w:szCs w:val="20"/>
              </w:rPr>
              <w:t xml:space="preserve">Table 4</w:t>
            </w:r>
          </w:p>
        </w:tc>
        <w:tc>
          <w:tcPr>
            <w:tcW w:type="dxa" w:w="3400"/>
            <w:shd w:fill="F2F2F2" w:val="clear"/>
          </w:tcPr>
          <w:p>
            <w:r>
              <w:rPr>
                <w:b w:val="false"/>
                <w:bCs w:val="false"/>
                <w:color w:val="000000"/>
                <w:sz w:val="20"/>
                <w:szCs w:val="20"/>
              </w:rPr>
              <w:t xml:space="preserve">Statistical agreement summary</w:t>
            </w:r>
          </w:p>
        </w:tc>
        <w:tc>
          <w:tcPr>
            <w:tcW w:type="dxa" w:w="4600"/>
            <w:shd w:fill="F2F2F2" w:val="clear"/>
          </w:tcPr>
          <w:p>
            <w:r>
              <w:rPr>
                <w:b w:val="false"/>
                <w:bCs w:val="false"/>
                <w:color w:val="000000"/>
                <w:sz w:val="20"/>
                <w:szCs w:val="20"/>
              </w:rPr>
              <w:t xml:space="preserve">MAE, RMSE, max deviation, correlation coefficient</w:t>
            </w:r>
          </w:p>
        </w:tc>
      </w:tr>
      <w:tr>
        <w:trPr>
          <w:tblHeader w:val="false"/>
        </w:trPr>
        <w:tc>
          <w:tcPr>
            <w:tcW w:type="dxa" w:w="1100"/>
            <w:shd w:fill="FFFFFF" w:val="clear"/>
          </w:tcPr>
          <w:p>
            <w:r>
              <w:rPr>
                <w:b w:val="false"/>
                <w:bCs w:val="false"/>
                <w:color w:val="000000"/>
                <w:sz w:val="20"/>
                <w:szCs w:val="20"/>
              </w:rPr>
              <w:t xml:space="preserve">Table S1</w:t>
            </w:r>
          </w:p>
        </w:tc>
        <w:tc>
          <w:tcPr>
            <w:tcW w:type="dxa" w:w="3400"/>
            <w:shd w:fill="FFFFFF" w:val="clear"/>
          </w:tcPr>
          <w:p>
            <w:r>
              <w:rPr>
                <w:b w:val="false"/>
                <w:bCs w:val="false"/>
                <w:color w:val="000000"/>
                <w:sz w:val="20"/>
                <w:szCs w:val="20"/>
              </w:rPr>
              <w:t xml:space="preserve">Optimised Cartesian coordinates</w:t>
            </w:r>
          </w:p>
        </w:tc>
        <w:tc>
          <w:tcPr>
            <w:tcW w:type="dxa" w:w="4600"/>
            <w:shd w:fill="FFFFFF" w:val="clear"/>
          </w:tcPr>
          <w:p>
            <w:r>
              <w:rPr>
                <w:b w:val="false"/>
                <w:bCs w:val="false"/>
                <w:color w:val="000000"/>
                <w:sz w:val="20"/>
                <w:szCs w:val="20"/>
              </w:rPr>
              <w:t xml:space="preserve">Supplementary</w:t>
            </w:r>
          </w:p>
        </w:tc>
      </w:tr>
      <w:tr>
        <w:trPr>
          <w:tblHeader w:val="false"/>
        </w:trPr>
        <w:tc>
          <w:tcPr>
            <w:tcW w:type="dxa" w:w="1100"/>
            <w:shd w:fill="F2F2F2" w:val="clear"/>
          </w:tcPr>
          <w:p>
            <w:r>
              <w:rPr>
                <w:b w:val="false"/>
                <w:bCs w:val="false"/>
                <w:color w:val="000000"/>
                <w:sz w:val="20"/>
                <w:szCs w:val="20"/>
              </w:rPr>
              <w:t xml:space="preserve">Table S2</w:t>
            </w:r>
          </w:p>
        </w:tc>
        <w:tc>
          <w:tcPr>
            <w:tcW w:type="dxa" w:w="3400"/>
            <w:shd w:fill="F2F2F2" w:val="clear"/>
          </w:tcPr>
          <w:p>
            <w:r>
              <w:rPr>
                <w:b w:val="false"/>
                <w:bCs w:val="false"/>
                <w:color w:val="000000"/>
                <w:sz w:val="20"/>
                <w:szCs w:val="20"/>
              </w:rPr>
              <w:t xml:space="preserve">Complete frequency + Raman activity list</w:t>
            </w:r>
          </w:p>
        </w:tc>
        <w:tc>
          <w:tcPr>
            <w:tcW w:type="dxa" w:w="4600"/>
            <w:shd w:fill="F2F2F2" w:val="clear"/>
          </w:tcPr>
          <w:p>
            <w:r>
              <w:rPr>
                <w:b w:val="false"/>
                <w:bCs w:val="false"/>
                <w:color w:val="000000"/>
                <w:sz w:val="20"/>
                <w:szCs w:val="20"/>
              </w:rPr>
              <w:t xml:space="preserve">Supplementary</w:t>
            </w:r>
          </w:p>
        </w:tc>
      </w:tr>
    </w:tbl>
    <w:p>
      <w:pPr>
        <w:pStyle w:val="Heading1"/>
        <w:spacing w:after="160" w:before="320"/>
      </w:pPr>
      <w:r>
        <w:t xml:space="preserve">6. Section-by-Section Writing Guide</w:t>
      </w:r>
    </w:p>
    <w:p>
      <w:pPr>
        <w:spacing w:after="120"/>
      </w:pPr>
      <w:r>
        <w:rPr>
          <w:i/>
          <w:iCs/>
        </w:rPr>
        <w:t xml:space="preserve">Write in this order: Methods → Results → Discussion → Introduction → Conclusion → Abstract. Never start with the Introduction; you cannot frame a contribution you have not yet finished analysing.</w:t>
      </w:r>
    </w:p>
    <w:p>
      <w:pPr>
        <w:pStyle w:val="Heading2"/>
        <w:spacing w:after="120" w:before="260"/>
      </w:pPr>
      <w:r>
        <w:t xml:space="preserve">6.1 Title</w:t>
      </w:r>
    </w:p>
    <w:p>
      <w:pPr>
        <w:spacing w:after="120"/>
      </w:pPr>
      <w:r>
        <w:t xml:space="preserve">Recommended:</w:t>
      </w:r>
    </w:p>
    <w:p>
      <w:pPr>
        <w:spacing w:after="120"/>
      </w:pPr>
      <w:r>
        <w:rPr>
          <w:b/>
          <w:bCs/>
        </w:rPr>
        <w:t xml:space="preserve">"Experimental and DFT-Assisted Raman Characterisation of Isolated N-Acetylmuramic Acid: Vibrational Assignment and Reference Spectrum for Bacterial Cell-Wall Analysis"</w:t>
      </w:r>
    </w:p>
    <w:p>
      <w:pPr>
        <w:spacing w:after="120"/>
      </w:pPr>
      <w:r>
        <w:t xml:space="preserve">The word 'isolated' is doing important work here — it is precisely what distinguishes you from Ma et al. and from all whole-cell bacterial Raman studies. Do not drop it.</w:t>
      </w:r>
    </w:p>
    <w:p>
      <w:pPr>
        <w:pStyle w:val="Heading2"/>
        <w:spacing w:after="120" w:before="260"/>
      </w:pPr>
      <w:r>
        <w:t xml:space="preserve">6.2 Abstract (200–250 words)</w:t>
      </w:r>
    </w:p>
    <w:p>
      <w:pPr>
        <w:spacing w:after="120"/>
      </w:pPr>
      <w:r>
        <w:t xml:space="preserve">Four movements, roughly two sentences each:</w:t>
      </w:r>
    </w:p>
    <w:p>
      <w:pPr>
        <w:spacing w:after="120"/>
      </w:pPr>
      <w:r>
        <w:t xml:space="preserve">(i) Context — NAM is the defining sugar of bacterial peptidoglycan and underlies bacterial Raman/SERS fingerprints; its isolated vibrational spectrum has not been benchmarked.</w:t>
      </w:r>
    </w:p>
    <w:p>
      <w:pPr>
        <w:spacing w:after="120"/>
      </w:pPr>
      <w:r>
        <w:t xml:space="preserve">(ii) What you did — measured Raman of pure β-MurNAc powder under optimised conditions with replicate validation; computed harmonic Raman spectra at B3LYP-D3BJ/6-311++G(d,p) with SMD water.</w:t>
      </w:r>
    </w:p>
    <w:p>
      <w:pPr>
        <w:spacing w:after="120"/>
      </w:pPr>
      <w:r>
        <w:t xml:space="preserve">(iii) What you found — N assigned bands, mean absolute deviation of X cm⁻¹, specific findings including the 730 cm⁻¹ result.</w:t>
      </w:r>
    </w:p>
    <w:p>
      <w:pPr>
        <w:spacing w:after="120"/>
      </w:pPr>
      <w:r>
        <w:t xml:space="preserve">(iv) Why it matters — provides a validated reference spectrum for interpreting bacterial Raman and SERS data and for biosensor development.</w:t>
      </w:r>
    </w:p>
    <w:p>
      <w:pPr>
        <w:spacing w:after="120"/>
      </w:pPr>
      <w:r>
        <w:rPr>
          <w:i/>
          <w:iCs/>
        </w:rPr>
        <w:t xml:space="preserve">Write this last. Put a real number in it — reviewers look for the agreement metric.</w:t>
      </w:r>
    </w:p>
    <w:p>
      <w:pPr>
        <w:pStyle w:val="Heading2"/>
        <w:spacing w:after="120" w:before="260"/>
      </w:pPr>
      <w:r>
        <w:t xml:space="preserve">6.3 Introduction (4–5 paragraphs)</w:t>
      </w:r>
    </w:p>
    <w:p>
      <w:pPr>
        <w:spacing w:after="120"/>
      </w:pPr>
      <w:r>
        <w:t xml:space="preserve">¶1 — Raman spectroscopy as a label-free, non-destructive vibrational fingerprinting method for biomolecules; growing use in microbial identification.</w:t>
      </w:r>
    </w:p>
    <w:p>
      <w:pPr>
        <w:spacing w:after="120"/>
      </w:pPr>
      <w:r>
        <w:t xml:space="preserve">¶2 — Peptidoglycan biology: NAM–NAG glycan backbone, presence in both Gram classes, relevance to infection and sepsis diagnostics. Keep this tight; you are writing a spectroscopy paper, not a microbiology one.</w:t>
      </w:r>
    </w:p>
    <w:p>
      <w:pPr>
        <w:spacing w:after="120"/>
      </w:pPr>
      <w:r>
        <w:t xml:space="preserve">¶3 — Prior work. Kouach et al. (1994) performed IR/Raman with empirical force-field harmonic dynamics on crystalline NAM, reaching ~4 cm⁻¹ average agreement. Conformational modelling work exists from the late 1980s. Recently Ma et al. (2024) computed NAM and NAG Raman spectra by DFT to build an E. coli diagnostic model.</w:t>
      </w:r>
    </w:p>
    <w:p>
      <w:pPr>
        <w:spacing w:after="120"/>
      </w:pPr>
      <w:r>
        <w:t xml:space="preserve">¶4 — THE GAP. Draft it approximately as:</w:t>
      </w:r>
    </w:p>
    <w:p>
      <w:pPr>
        <w:spacing w:after="120"/>
      </w:pPr>
      <w:r>
        <w:rPr>
          <w:i/>
          <w:iCs/>
        </w:rPr>
        <w:t xml:space="preserve">"Although Ma et al. employed Gaussian-based DFT simulations of N-acetylmuramic acid to interpret bacterial Raman spectra, the simulated spectrum was never validated against experimental measurements of the isolated molecule. Earlier vibrational analyses relied on empirical force fields applied to the crystalline hydrate. Consequently, a modern, experimentally benchmarked vibrational assignment for isolated N-acetylmuramic acid remains unavailable, and existing peptidoglycan band assignments in bacterial Raman literature remain indirect."</w:t>
      </w:r>
    </w:p>
    <w:p>
      <w:pPr>
        <w:spacing w:after="120"/>
      </w:pPr>
      <w:r>
        <w:t xml:space="preserve">¶5 — Your objective and what the paper delivers.</w:t>
      </w:r>
    </w:p>
    <w:p>
      <w:pPr>
        <w:pStyle w:val="Heading2"/>
        <w:spacing w:after="120" w:before="260"/>
      </w:pPr>
      <w:r>
        <w:t xml:space="preserve">6.4 Materials and Methods</w:t>
      </w:r>
    </w:p>
    <w:p>
      <w:pPr>
        <w:spacing w:after="120"/>
      </w:pPr>
      <w:r>
        <w:rPr>
          <w:b/>
          <w:bCs/>
        </w:rPr>
        <w:t xml:space="preserve">2.1 Materials</w:t>
      </w:r>
    </w:p>
    <w:p>
      <w:pPr>
        <w:spacing w:after="120"/>
      </w:pPr>
      <w:r>
        <w:t xml:space="preserve">Supplier, catalogue number, purity (state the figure, e.g. ≥98%), anomeric form (β), and that it was used without further purification. State substrate (glass slide), how powder was mounted, and any humidity/handling precautions.</w:t>
      </w:r>
    </w:p>
    <w:p>
      <w:pPr>
        <w:spacing w:after="120"/>
      </w:pPr>
      <w:r>
        <w:rPr>
          <w:b/>
          <w:bCs/>
        </w:rPr>
        <w:t xml:space="preserve">2.2 Raman measurements</w:t>
      </w:r>
    </w:p>
    <w:p>
      <w:pPr>
        <w:spacing w:after="120"/>
      </w:pPr>
      <w:r>
        <w:t xml:space="preserve">Instrument make and model, excitation wavelength (785 nm), objective (20×, NA), laser power at sample — report in mW at the sample if you can measure it, not only as a percentage, because '70%' is meaningless to a reader with a different instrument. Grating, spectral resolution in cm⁻¹, spectral range, integration time, accumulations, number of spots, number of independent spectra. State that a glass blank was recorded under identical conditions.</w:t>
      </w:r>
    </w:p>
    <w:p>
      <w:pPr>
        <w:spacing w:after="120"/>
      </w:pPr>
      <w:r>
        <w:rPr>
          <w:i/>
          <w:iCs/>
        </w:rPr>
        <w:t xml:space="preserve">Reporting absolute laser power in mW is a common reviewer request. If you cannot measure it, say so explicitly and give the instrument's rated maximum.</w:t>
      </w:r>
    </w:p>
    <w:p>
      <w:pPr>
        <w:spacing w:after="120"/>
      </w:pPr>
      <w:r>
        <w:rPr>
          <w:b/>
          <w:bCs/>
        </w:rPr>
        <w:t xml:space="preserve">2.3 Spectral preprocessing</w:t>
      </w:r>
    </w:p>
    <w:p>
      <w:pPr>
        <w:spacing w:after="120"/>
      </w:pPr>
      <w:r>
        <w:t xml:space="preserve">Dark subtraction → ALS baseline correction (give λ and p) → Savitzky–Golay smoothing (give window and polynomial order) → min–max normalisation → averaging across replicates with SD. Name the software (Python/SciPy, Origin, etc.) and version.</w:t>
      </w:r>
    </w:p>
    <w:p>
      <w:pPr>
        <w:spacing w:after="120"/>
      </w:pPr>
      <w:r>
        <w:rPr>
          <w:b/>
          <w:bCs/>
        </w:rPr>
        <w:t xml:space="preserve">2.4 DFT calculations</w:t>
      </w:r>
    </w:p>
    <w:p>
      <w:pPr>
        <w:spacing w:after="120"/>
      </w:pPr>
      <w:r>
        <w:t xml:space="preserve">Reproduce essentially this text, adjusted to your actual run:</w:t>
      </w:r>
    </w:p>
    <w:p>
      <w:pPr>
        <w:spacing w:after="120"/>
      </w:pPr>
      <w:r>
        <w:rPr>
          <w:i/>
          <w:iCs/>
        </w:rPr>
        <w:t xml:space="preserve">"Geometry optimisation and harmonic vibrational frequency calculations were performed with Gaussian 16 at the B3LYP level with Grimme's D3 dispersion correction and Becke–Johnson damping (D3BJ), using the 6-311++G(d,p) basis set. Bulk solvation was modelled implicitly with the SMD model using water as solvent. Tight optimisation convergence criteria and an ultrafine integration grid were employed, with initial force constants computed analytically. The starting geometry was the β-anomer of N-acetylmuramic acid obtained from PubChem (CID 5462244). The absence of imaginary frequencies confirmed the optimised structure to be a true minimum on the potential energy surface. Computed harmonic wavenumbers were scaled by 0.980 below 1800 cm⁻¹ and 0.967 above, following the scheme of Frosch et al. as applied by Ma et al. Simulated Raman intensities were derived from computed Raman activities and convolved with Lorentzian line shapes of FWHM 10 cm⁻¹ for comparison with experiment."</w:t>
      </w:r>
    </w:p>
    <w:p>
      <w:pPr>
        <w:pStyle w:val="Heading2"/>
        <w:spacing w:after="120" w:before="260"/>
      </w:pPr>
      <w:r>
        <w:t xml:space="preserve">6.5 Results and Discussion</w:t>
      </w:r>
    </w:p>
    <w:p>
      <w:pPr>
        <w:spacing w:after="120"/>
      </w:pPr>
      <w:r>
        <w:rPr>
          <w:b/>
          <w:bCs/>
        </w:rPr>
        <w:t xml:space="preserve">3.1 Experimental Raman spectrum of isolated NAM</w:t>
      </w:r>
    </w:p>
    <w:p>
      <w:pPr>
        <w:spacing w:after="120"/>
      </w:pPr>
      <w:r>
        <w:t xml:space="preserve">Present Fig. 2. Walk through the spectrum region by region — 400–700 (skeletal/ring deformations), 800–950 (ring and C–O–C glycosidic-type modes), 1000–1200 (C–O and C–C stretching of the pyranose ring), 1250–1500 (CH/CH₂ deformations, lactyl group), 1550–1700 (amide I and II of the acetamido group). Reference Table 3 throughout. Report reproducibility quantitatively: mean peak position shift across spots, and the coefficient of variation of intensities.</w:t>
      </w:r>
    </w:p>
    <w:p>
      <w:pPr>
        <w:spacing w:after="120"/>
      </w:pPr>
      <w:r>
        <w:rPr>
          <w:b/>
          <w:bCs/>
        </w:rPr>
        <w:t xml:space="preserve">3.2 Substrate contribution</w:t>
      </w:r>
    </w:p>
    <w:p>
      <w:pPr>
        <w:spacing w:after="120"/>
      </w:pPr>
      <w:r>
        <w:t xml:space="preserve">Short subsection with Fig. 3. State which glass bands were identified and confirm no reported NAM band coincides with them.</w:t>
      </w:r>
    </w:p>
    <w:p>
      <w:pPr>
        <w:spacing w:after="120"/>
      </w:pPr>
      <w:r>
        <w:rPr>
          <w:b/>
          <w:bCs/>
        </w:rPr>
        <w:t xml:space="preserve">3.3 Optimised molecular geometry</w:t>
      </w:r>
    </w:p>
    <w:p>
      <w:pPr>
        <w:spacing w:after="120"/>
      </w:pPr>
      <w:r>
        <w:t xml:space="preserve">Brief. Fig. 1b. Mention any intramolecular hydrogen bonding the optimisation reveals, since it directly affects the OH and carbonyl regions.</w:t>
      </w:r>
    </w:p>
    <w:p>
      <w:pPr>
        <w:spacing w:after="120"/>
      </w:pPr>
      <w:r>
        <w:rPr>
          <w:b/>
          <w:bCs/>
        </w:rPr>
        <w:t xml:space="preserve">3.4 Simulated Raman spectrum</w:t>
      </w:r>
    </w:p>
    <w:p>
      <w:pPr>
        <w:spacing w:after="120"/>
      </w:pPr>
      <w:r>
        <w:t xml:space="preserve">Fig. 4. Note that no imaginary frequencies were found. Describe the predicted strong modes.</w:t>
      </w:r>
    </w:p>
    <w:p>
      <w:pPr>
        <w:spacing w:after="120"/>
      </w:pPr>
      <w:r>
        <w:rPr>
          <w:b/>
          <w:bCs/>
        </w:rPr>
        <w:t xml:space="preserve">3.5 Experimental versus theoretical comparison</w:t>
      </w:r>
    </w:p>
    <w:p>
      <w:pPr>
        <w:spacing w:after="120"/>
      </w:pPr>
      <w:r>
        <w:t xml:space="preserve">This is the core. Fig. 5 plus Table 3 plus Table 4. Report MAE and RMSE explicitly. Then explain residual discrepancies using the standard and entirely legitimate arguments: the harmonic approximation neglects anharmonicity; the calculation treats a single isolated molecule while the experiment probes a hydrogen-bonded crystalline solid; intermolecular packing effects shift OH and C=O modes most strongly. Compare your agreement to the ~4 cm⁻¹ reported by Kouach et al. for the crystalline force-field treatment.</w:t>
      </w:r>
    </w:p>
    <w:p>
      <w:pPr>
        <w:spacing w:after="120"/>
      </w:pPr>
      <w:r>
        <w:rPr>
          <w:b/>
          <w:bCs/>
        </w:rPr>
        <w:t xml:space="preserve">3.6 Vibrational assignments</w:t>
      </w:r>
    </w:p>
    <w:p>
      <w:pPr>
        <w:spacing w:after="120"/>
      </w:pPr>
      <w:r>
        <w:t xml:space="preserve">Region-by-region narrative built on Table 3. Discuss the lactyl group specifically — it is what chemically distinguishes NAM from NAG and therefore what makes NAM independently identifiable in a bacterial spectrum. This is a point of genuine value to your readers.</w:t>
      </w:r>
    </w:p>
    <w:p>
      <w:pPr>
        <w:spacing w:after="120"/>
      </w:pPr>
      <w:r>
        <w:rPr>
          <w:b/>
          <w:bCs/>
        </w:rPr>
        <w:t xml:space="preserve">3.7 The 730 cm⁻¹ region</w:t>
      </w:r>
    </w:p>
    <w:p>
      <w:pPr>
        <w:spacing w:after="120"/>
      </w:pPr>
      <w:r>
        <w:t xml:space="preserve">Dedicated subsection. See Section 4 of this document.</w:t>
      </w:r>
    </w:p>
    <w:p>
      <w:pPr>
        <w:spacing w:after="120"/>
      </w:pPr>
      <w:r>
        <w:rPr>
          <w:b/>
          <w:bCs/>
        </w:rPr>
        <w:t xml:space="preserve">3.8 Relevance to bacterial Raman and SERS analysis</w:t>
      </w:r>
    </w:p>
    <w:p>
      <w:pPr>
        <w:spacing w:after="120"/>
      </w:pPr>
      <w:r>
        <w:t xml:space="preserve">Connect outward: which of your validated bands are plausible peptidoglycan markers in whole-cell spectra; how the reference spectrum supports SERS substrate development and biosensing; how it feeds spectral-library and machine-learning approaches to bacterial identification. Keep it grounded — do not overclaim clinical utility from a powder measurement.</w:t>
      </w:r>
    </w:p>
    <w:p>
      <w:pPr>
        <w:pStyle w:val="Heading2"/>
        <w:spacing w:after="120" w:before="260"/>
      </w:pPr>
      <w:r>
        <w:t xml:space="preserve">6.6 Conclusion</w:t>
      </w:r>
    </w:p>
    <w:p>
      <w:pPr>
        <w:spacing w:after="120"/>
      </w:pPr>
      <w:r>
        <w:t xml:space="preserve">One paragraph. What was measured and computed; the headline agreement number; the key assignments; the 730 cm⁻¹ finding; the reference-spectrum contribution; one sentence on next steps (SERS extension, NAG comparison).</w:t>
      </w:r>
    </w:p>
    <w:p>
      <w:pPr>
        <w:pStyle w:val="Heading2"/>
        <w:spacing w:after="120" w:before="260"/>
      </w:pPr>
      <w:r>
        <w:t xml:space="preserve">6.7 Supporting sections</w:t>
      </w:r>
    </w:p>
    <w:p>
      <w:pPr>
        <w:spacing w:after="120"/>
      </w:pPr>
      <w:r>
        <w:t xml:space="preserve">Acknowledgements (IIT Jodhpur central facilities, computational resources, supervisor, funding). Author contributions. Conflict of interest statement. Data availability statement — offer to deposit spectra and Gaussian outputs in a repository such as Zenodo, which reviewers increasingly expect.</w:t>
      </w:r>
    </w:p>
    <w:p>
      <w:pPr>
        <w:pStyle w:val="Heading1"/>
        <w:spacing w:after="160" w:before="320"/>
      </w:pPr>
      <w:r>
        <w:t xml:space="preserve">7. Where to Send It</w:t>
      </w:r>
    </w:p>
    <w:p>
      <w:pPr>
        <w:spacing w:after="120"/>
      </w:pPr>
      <w:r>
        <w:t xml:space="preserve">An honest note first: this is a vibrational spectroscopy and computational chemistry paper. It is not a SERS paper and not a diagnostics paper. The J. Photochem. Photobiol. B special issue you mentioned is focused on SERS in diagnostics and nanomedicine — this manuscript would be a stretch for it unless you add an actual SERS measurement. Do not force the fit; send this paper where it belongs and send your SERS substrate work to the special issue instead.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5300"/>
      </w:tblGrid>
      <w:tr>
        <w:trPr>
          <w:tblHeader/>
        </w:trPr>
        <w:tc>
          <w:tcPr>
            <w:tcW w:type="dxa" w:w="2900"/>
            <w:shd w:fill="1F3864" w:val="clear"/>
          </w:tcPr>
          <w:p>
            <w:r>
              <w:rPr>
                <w:b/>
                <w:bCs/>
                <w:color w:val="FFFFFF"/>
                <w:sz w:val="20"/>
                <w:szCs w:val="20"/>
              </w:rPr>
              <w:t xml:space="preserve">Journal</w:t>
            </w:r>
          </w:p>
        </w:tc>
        <w:tc>
          <w:tcPr>
            <w:tcW w:type="dxa" w:w="900"/>
            <w:shd w:fill="1F3864" w:val="clear"/>
          </w:tcPr>
          <w:p>
            <w:r>
              <w:rPr>
                <w:b/>
                <w:bCs/>
                <w:color w:val="FFFFFF"/>
                <w:sz w:val="20"/>
                <w:szCs w:val="20"/>
              </w:rPr>
              <w:t xml:space="preserve">IF</w:t>
            </w:r>
          </w:p>
        </w:tc>
        <w:tc>
          <w:tcPr>
            <w:tcW w:type="dxa" w:w="5300"/>
            <w:shd w:fill="1F3864" w:val="clear"/>
          </w:tcPr>
          <w:p>
            <w:r>
              <w:rPr>
                <w:b/>
                <w:bCs/>
                <w:color w:val="FFFFFF"/>
                <w:sz w:val="20"/>
                <w:szCs w:val="20"/>
              </w:rPr>
              <w:t xml:space="preserve">Assessment</w:t>
            </w:r>
          </w:p>
        </w:tc>
      </w:tr>
      <w:tr>
        <w:trPr>
          <w:tblHeader w:val="false"/>
        </w:trPr>
        <w:tc>
          <w:tcPr>
            <w:tcW w:type="dxa" w:w="2900"/>
            <w:shd w:fill="FFFFFF" w:val="clear"/>
          </w:tcPr>
          <w:p>
            <w:r>
              <w:rPr>
                <w:b w:val="false"/>
                <w:bCs w:val="false"/>
                <w:color w:val="000000"/>
                <w:sz w:val="20"/>
                <w:szCs w:val="20"/>
              </w:rPr>
              <w:t xml:space="preserve">Vibrational Spectroscopy (Elsevier)</w:t>
            </w:r>
          </w:p>
        </w:tc>
        <w:tc>
          <w:tcPr>
            <w:tcW w:type="dxa" w:w="900"/>
            <w:shd w:fill="FFFFFF" w:val="clear"/>
          </w:tcPr>
          <w:p>
            <w:r>
              <w:rPr>
                <w:b w:val="false"/>
                <w:bCs w:val="false"/>
                <w:color w:val="000000"/>
                <w:sz w:val="20"/>
                <w:szCs w:val="20"/>
              </w:rPr>
              <w:t xml:space="preserve">~2.6</w:t>
            </w:r>
          </w:p>
        </w:tc>
        <w:tc>
          <w:tcPr>
            <w:tcW w:type="dxa" w:w="5300"/>
            <w:shd w:fill="FFFFFF" w:val="clear"/>
          </w:tcPr>
          <w:p>
            <w:r>
              <w:rPr>
                <w:b w:val="false"/>
                <w:bCs w:val="false"/>
                <w:color w:val="000000"/>
                <w:sz w:val="20"/>
                <w:szCs w:val="20"/>
              </w:rPr>
              <w:t xml:space="preserve">STRONGEST STRATEGIC CHOICE. Ma et al. published there in 2024. Your paper is the direct experimental validation of their computational work — the editor and likely reviewers already understand the context and the gap.</w:t>
            </w:r>
          </w:p>
        </w:tc>
      </w:tr>
      <w:tr>
        <w:trPr>
          <w:tblHeader w:val="false"/>
        </w:trPr>
        <w:tc>
          <w:tcPr>
            <w:tcW w:type="dxa" w:w="2900"/>
            <w:shd w:fill="F2F2F2" w:val="clear"/>
          </w:tcPr>
          <w:p>
            <w:r>
              <w:rPr>
                <w:b w:val="false"/>
                <w:bCs w:val="false"/>
                <w:color w:val="000000"/>
                <w:sz w:val="20"/>
                <w:szCs w:val="20"/>
              </w:rPr>
              <w:t xml:space="preserve">Spectrochimica Acta Part A</w:t>
            </w:r>
          </w:p>
        </w:tc>
        <w:tc>
          <w:tcPr>
            <w:tcW w:type="dxa" w:w="900"/>
            <w:shd w:fill="F2F2F2" w:val="clear"/>
          </w:tcPr>
          <w:p>
            <w:r>
              <w:rPr>
                <w:b w:val="false"/>
                <w:bCs w:val="false"/>
                <w:color w:val="000000"/>
                <w:sz w:val="20"/>
                <w:szCs w:val="20"/>
              </w:rPr>
              <w:t xml:space="preserve">~4.3</w:t>
            </w:r>
          </w:p>
        </w:tc>
        <w:tc>
          <w:tcPr>
            <w:tcW w:type="dxa" w:w="5300"/>
            <w:shd w:fill="F2F2F2" w:val="clear"/>
          </w:tcPr>
          <w:p>
            <w:r>
              <w:rPr>
                <w:b w:val="false"/>
                <w:bCs w:val="false"/>
                <w:color w:val="000000"/>
                <w:sz w:val="20"/>
                <w:szCs w:val="20"/>
              </w:rPr>
              <w:t xml:space="preserve">Excellent fit. Publishes large numbers of combined experimental+DFT vibrational studies. Highest realistic impact factor for this work.</w:t>
            </w:r>
          </w:p>
        </w:tc>
      </w:tr>
      <w:tr>
        <w:trPr>
          <w:tblHeader w:val="false"/>
        </w:trPr>
        <w:tc>
          <w:tcPr>
            <w:tcW w:type="dxa" w:w="2900"/>
            <w:shd w:fill="FFFFFF" w:val="clear"/>
          </w:tcPr>
          <w:p>
            <w:r>
              <w:rPr>
                <w:b w:val="false"/>
                <w:bCs w:val="false"/>
                <w:color w:val="000000"/>
                <w:sz w:val="20"/>
                <w:szCs w:val="20"/>
              </w:rPr>
              <w:t xml:space="preserve">Journal of Raman Spectroscopy</w:t>
            </w:r>
          </w:p>
        </w:tc>
        <w:tc>
          <w:tcPr>
            <w:tcW w:type="dxa" w:w="900"/>
            <w:shd w:fill="FFFFFF" w:val="clear"/>
          </w:tcPr>
          <w:p>
            <w:r>
              <w:rPr>
                <w:b w:val="false"/>
                <w:bCs w:val="false"/>
                <w:color w:val="000000"/>
                <w:sz w:val="20"/>
                <w:szCs w:val="20"/>
              </w:rPr>
              <w:t xml:space="preserve">~2.9</w:t>
            </w:r>
          </w:p>
        </w:tc>
        <w:tc>
          <w:tcPr>
            <w:tcW w:type="dxa" w:w="5300"/>
            <w:shd w:fill="FFFFFF" w:val="clear"/>
          </w:tcPr>
          <w:p>
            <w:r>
              <w:rPr>
                <w:b w:val="false"/>
                <w:bCs w:val="false"/>
                <w:color w:val="000000"/>
                <w:sz w:val="20"/>
                <w:szCs w:val="20"/>
              </w:rPr>
              <w:t xml:space="preserve">Natural home; the specialist Raman readership is exactly who will cite a reference spectrum.</w:t>
            </w:r>
          </w:p>
        </w:tc>
      </w:tr>
      <w:tr>
        <w:trPr>
          <w:tblHeader w:val="false"/>
        </w:trPr>
        <w:tc>
          <w:tcPr>
            <w:tcW w:type="dxa" w:w="2900"/>
            <w:shd w:fill="F2F2F2" w:val="clear"/>
          </w:tcPr>
          <w:p>
            <w:r>
              <w:rPr>
                <w:b w:val="false"/>
                <w:bCs w:val="false"/>
                <w:color w:val="000000"/>
                <w:sz w:val="20"/>
                <w:szCs w:val="20"/>
              </w:rPr>
              <w:t xml:space="preserve">Journal of Molecular Structure</w:t>
            </w:r>
          </w:p>
        </w:tc>
        <w:tc>
          <w:tcPr>
            <w:tcW w:type="dxa" w:w="900"/>
            <w:shd w:fill="F2F2F2" w:val="clear"/>
          </w:tcPr>
          <w:p>
            <w:r>
              <w:rPr>
                <w:b w:val="false"/>
                <w:bCs w:val="false"/>
                <w:color w:val="000000"/>
                <w:sz w:val="20"/>
                <w:szCs w:val="20"/>
              </w:rPr>
              <w:t xml:space="preserve">~3.8</w:t>
            </w:r>
          </w:p>
        </w:tc>
        <w:tc>
          <w:tcPr>
            <w:tcW w:type="dxa" w:w="5300"/>
            <w:shd w:fill="F2F2F2" w:val="clear"/>
          </w:tcPr>
          <w:p>
            <w:r>
              <w:rPr>
                <w:b w:val="false"/>
                <w:bCs w:val="false"/>
                <w:color w:val="000000"/>
                <w:sz w:val="20"/>
                <w:szCs w:val="20"/>
              </w:rPr>
              <w:t xml:space="preserve">Very receptive to experimental+DFT characterisation papers. High volume, reasonable turnaround.</w:t>
            </w:r>
          </w:p>
        </w:tc>
      </w:tr>
    </w:tbl>
    <w:p>
      <w:pPr>
        <w:spacing w:after="120"/>
      </w:pPr>
      <w:r>
        <w:rPr>
          <w:b/>
          <w:bCs/>
        </w:rPr>
        <w:t xml:space="preserve">Recommendation: submit to Spectrochimica Acta Part A first (best impact factor for the scope). If rejected, go to Vibrational Spectroscopy with a cover letter that explicitly positions the work as the experimental validation of Ma et al. (2024).</w:t>
      </w:r>
    </w:p>
    <w:p>
      <w:pPr>
        <w:pStyle w:val="Heading1"/>
        <w:spacing w:after="160" w:before="320"/>
      </w:pPr>
      <w:r>
        <w:t xml:space="preserve">8. Action Plan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500"/>
      </w:tblGrid>
      <w:tr>
        <w:trPr>
          <w:tblHeader/>
        </w:trPr>
        <w:tc>
          <w:tcPr>
            <w:tcW w:type="dxa" w:w="1300"/>
            <w:shd w:fill="1F3864" w:val="clear"/>
          </w:tcPr>
          <w:p>
            <w:r>
              <w:rPr>
                <w:b/>
                <w:bCs/>
                <w:color w:val="FFFFFF"/>
                <w:sz w:val="20"/>
                <w:szCs w:val="20"/>
              </w:rPr>
              <w:t xml:space="preserve">Week</w:t>
            </w:r>
          </w:p>
        </w:tc>
        <w:tc>
          <w:tcPr>
            <w:tcW w:type="dxa" w:w="3300"/>
            <w:shd w:fill="1F3864" w:val="clear"/>
          </w:tcPr>
          <w:p>
            <w:r>
              <w:rPr>
                <w:b/>
                <w:bCs/>
                <w:color w:val="FFFFFF"/>
                <w:sz w:val="20"/>
                <w:szCs w:val="20"/>
              </w:rPr>
              <w:t xml:space="preserve">Task</w:t>
            </w:r>
          </w:p>
        </w:tc>
        <w:tc>
          <w:tcPr>
            <w:tcW w:type="dxa" w:w="4500"/>
            <w:shd w:fill="1F3864" w:val="clear"/>
          </w:tcPr>
          <w:p>
            <w:r>
              <w:rPr>
                <w:b/>
                <w:bCs/>
                <w:color w:val="FFFFFF"/>
                <w:sz w:val="20"/>
                <w:szCs w:val="20"/>
              </w:rPr>
              <w:t xml:space="preserve">Output</w:t>
            </w:r>
          </w:p>
        </w:tc>
      </w:tr>
      <w:tr>
        <w:trPr>
          <w:tblHeader w:val="false"/>
        </w:trPr>
        <w:tc>
          <w:tcPr>
            <w:tcW w:type="dxa" w:w="1300"/>
            <w:shd w:fill="FFFFFF" w:val="clear"/>
          </w:tcPr>
          <w:p>
            <w:r>
              <w:rPr>
                <w:b w:val="false"/>
                <w:bCs w:val="false"/>
                <w:color w:val="000000"/>
                <w:sz w:val="20"/>
                <w:szCs w:val="20"/>
              </w:rPr>
              <w:t xml:space="preserve">1</w:t>
            </w:r>
          </w:p>
        </w:tc>
        <w:tc>
          <w:tcPr>
            <w:tcW w:type="dxa" w:w="3300"/>
            <w:shd w:fill="FFFFFF" w:val="clear"/>
          </w:tcPr>
          <w:p>
            <w:r>
              <w:rPr>
                <w:b w:val="false"/>
                <w:bCs w:val="false"/>
                <w:color w:val="000000"/>
                <w:sz w:val="20"/>
                <w:szCs w:val="20"/>
              </w:rPr>
              <w:t xml:space="preserve">Verify Gaussian .log has no imaginary frequencies; extract full frequency + Raman activity list</w:t>
            </w:r>
          </w:p>
        </w:tc>
        <w:tc>
          <w:tcPr>
            <w:tcW w:type="dxa" w:w="4500"/>
            <w:shd w:fill="FFFFFF" w:val="clear"/>
          </w:tcPr>
          <w:p>
            <w:r>
              <w:rPr>
                <w:b w:val="false"/>
                <w:bCs w:val="false"/>
                <w:color w:val="000000"/>
                <w:sz w:val="20"/>
                <w:szCs w:val="20"/>
              </w:rPr>
              <w:t xml:space="preserve">Clean frequency table</w:t>
            </w:r>
          </w:p>
        </w:tc>
      </w:tr>
      <w:tr>
        <w:trPr>
          <w:tblHeader w:val="false"/>
        </w:trPr>
        <w:tc>
          <w:tcPr>
            <w:tcW w:type="dxa" w:w="1300"/>
            <w:shd w:fill="F2F2F2" w:val="clear"/>
          </w:tcPr>
          <w:p>
            <w:r>
              <w:rPr>
                <w:b w:val="false"/>
                <w:bCs w:val="false"/>
                <w:color w:val="000000"/>
                <w:sz w:val="20"/>
                <w:szCs w:val="20"/>
              </w:rPr>
              <w:t xml:space="preserve">1</w:t>
            </w:r>
          </w:p>
        </w:tc>
        <w:tc>
          <w:tcPr>
            <w:tcW w:type="dxa" w:w="3300"/>
            <w:shd w:fill="F2F2F2" w:val="clear"/>
          </w:tcPr>
          <w:p>
            <w:r>
              <w:rPr>
                <w:b w:val="false"/>
                <w:bCs w:val="false"/>
                <w:color w:val="000000"/>
                <w:sz w:val="20"/>
                <w:szCs w:val="20"/>
              </w:rPr>
              <w:t xml:space="preserve">Reprocess all spectra through the standard pipeline; compute mean ± SD</w:t>
            </w:r>
          </w:p>
        </w:tc>
        <w:tc>
          <w:tcPr>
            <w:tcW w:type="dxa" w:w="4500"/>
            <w:shd w:fill="F2F2F2" w:val="clear"/>
          </w:tcPr>
          <w:p>
            <w:r>
              <w:rPr>
                <w:b w:val="false"/>
                <w:bCs w:val="false"/>
                <w:color w:val="000000"/>
                <w:sz w:val="20"/>
                <w:szCs w:val="20"/>
              </w:rPr>
              <w:t xml:space="preserve">Averaged spectrum file</w:t>
            </w:r>
          </w:p>
        </w:tc>
      </w:tr>
      <w:tr>
        <w:trPr>
          <w:tblHeader w:val="false"/>
        </w:trPr>
        <w:tc>
          <w:tcPr>
            <w:tcW w:type="dxa" w:w="1300"/>
            <w:shd w:fill="FFFFFF" w:val="clear"/>
          </w:tcPr>
          <w:p>
            <w:r>
              <w:rPr>
                <w:b w:val="false"/>
                <w:bCs w:val="false"/>
                <w:color w:val="000000"/>
                <w:sz w:val="20"/>
                <w:szCs w:val="20"/>
              </w:rPr>
              <w:t xml:space="preserve">2</w:t>
            </w:r>
          </w:p>
        </w:tc>
        <w:tc>
          <w:tcPr>
            <w:tcW w:type="dxa" w:w="3300"/>
            <w:shd w:fill="FFFFFF" w:val="clear"/>
          </w:tcPr>
          <w:p>
            <w:r>
              <w:rPr>
                <w:b w:val="false"/>
                <w:bCs w:val="false"/>
                <w:color w:val="000000"/>
                <w:sz w:val="20"/>
                <w:szCs w:val="20"/>
              </w:rPr>
              <w:t xml:space="preserve">Automated peak detection; build experimental peak list with confidence counts</w:t>
            </w:r>
          </w:p>
        </w:tc>
        <w:tc>
          <w:tcPr>
            <w:tcW w:type="dxa" w:w="4500"/>
            <w:shd w:fill="FFFFFF" w:val="clear"/>
          </w:tcPr>
          <w:p>
            <w:r>
              <w:rPr>
                <w:b w:val="false"/>
                <w:bCs w:val="false"/>
                <w:color w:val="000000"/>
                <w:sz w:val="20"/>
                <w:szCs w:val="20"/>
              </w:rPr>
              <w:t xml:space="preserve">20–30 peak list</w:t>
            </w:r>
          </w:p>
        </w:tc>
      </w:tr>
      <w:tr>
        <w:trPr>
          <w:tblHeader w:val="false"/>
        </w:trPr>
        <w:tc>
          <w:tcPr>
            <w:tcW w:type="dxa" w:w="1300"/>
            <w:shd w:fill="F2F2F2" w:val="clear"/>
          </w:tcPr>
          <w:p>
            <w:r>
              <w:rPr>
                <w:b w:val="false"/>
                <w:bCs w:val="false"/>
                <w:color w:val="000000"/>
                <w:sz w:val="20"/>
                <w:szCs w:val="20"/>
              </w:rPr>
              <w:t xml:space="preserve">2</w:t>
            </w:r>
          </w:p>
        </w:tc>
        <w:tc>
          <w:tcPr>
            <w:tcW w:type="dxa" w:w="3300"/>
            <w:shd w:fill="F2F2F2" w:val="clear"/>
          </w:tcPr>
          <w:p>
            <w:r>
              <w:rPr>
                <w:b w:val="false"/>
                <w:bCs w:val="false"/>
                <w:color w:val="000000"/>
                <w:sz w:val="20"/>
                <w:szCs w:val="20"/>
              </w:rPr>
              <w:t xml:space="preserve">Apply scaling factors; Lorentzian broadening; generate simulated curve</w:t>
            </w:r>
          </w:p>
        </w:tc>
        <w:tc>
          <w:tcPr>
            <w:tcW w:type="dxa" w:w="4500"/>
            <w:shd w:fill="F2F2F2" w:val="clear"/>
          </w:tcPr>
          <w:p>
            <w:r>
              <w:rPr>
                <w:b w:val="false"/>
                <w:bCs w:val="false"/>
                <w:color w:val="000000"/>
                <w:sz w:val="20"/>
                <w:szCs w:val="20"/>
              </w:rPr>
              <w:t xml:space="preserve">Simulated spectrum file</w:t>
            </w:r>
          </w:p>
        </w:tc>
      </w:tr>
      <w:tr>
        <w:trPr>
          <w:tblHeader w:val="false"/>
        </w:trPr>
        <w:tc>
          <w:tcPr>
            <w:tcW w:type="dxa" w:w="1300"/>
            <w:shd w:fill="FFFFFF" w:val="clear"/>
          </w:tcPr>
          <w:p>
            <w:r>
              <w:rPr>
                <w:b w:val="false"/>
                <w:bCs w:val="false"/>
                <w:color w:val="000000"/>
                <w:sz w:val="20"/>
                <w:szCs w:val="20"/>
              </w:rPr>
              <w:t xml:space="preserve">3</w:t>
            </w:r>
          </w:p>
        </w:tc>
        <w:tc>
          <w:tcPr>
            <w:tcW w:type="dxa" w:w="3300"/>
            <w:shd w:fill="FFFFFF" w:val="clear"/>
          </w:tcPr>
          <w:p>
            <w:r>
              <w:rPr>
                <w:b w:val="false"/>
                <w:bCs w:val="false"/>
                <w:color w:val="000000"/>
                <w:sz w:val="20"/>
                <w:szCs w:val="20"/>
              </w:rPr>
              <w:t xml:space="preserve">Mode-by-mode assignment in GaussView</w:t>
            </w:r>
          </w:p>
        </w:tc>
        <w:tc>
          <w:tcPr>
            <w:tcW w:type="dxa" w:w="4500"/>
            <w:shd w:fill="FFFFFF" w:val="clear"/>
          </w:tcPr>
          <w:p>
            <w:r>
              <w:rPr>
                <w:b w:val="false"/>
                <w:bCs w:val="false"/>
                <w:color w:val="000000"/>
                <w:sz w:val="20"/>
                <w:szCs w:val="20"/>
              </w:rPr>
              <w:t xml:space="preserve">Assignment notes for each major band</w:t>
            </w:r>
          </w:p>
        </w:tc>
      </w:tr>
      <w:tr>
        <w:trPr>
          <w:tblHeader w:val="false"/>
        </w:trPr>
        <w:tc>
          <w:tcPr>
            <w:tcW w:type="dxa" w:w="1300"/>
            <w:shd w:fill="F2F2F2" w:val="clear"/>
          </w:tcPr>
          <w:p>
            <w:r>
              <w:rPr>
                <w:b w:val="false"/>
                <w:bCs w:val="false"/>
                <w:color w:val="000000"/>
                <w:sz w:val="20"/>
                <w:szCs w:val="20"/>
              </w:rPr>
              <w:t xml:space="preserve">3</w:t>
            </w:r>
          </w:p>
        </w:tc>
        <w:tc>
          <w:tcPr>
            <w:tcW w:type="dxa" w:w="3300"/>
            <w:shd w:fill="F2F2F2" w:val="clear"/>
          </w:tcPr>
          <w:p>
            <w:r>
              <w:rPr>
                <w:b w:val="false"/>
                <w:bCs w:val="false"/>
                <w:color w:val="000000"/>
                <w:sz w:val="20"/>
                <w:szCs w:val="20"/>
              </w:rPr>
              <w:t xml:space="preserve">Build Table 3 (core comparison table); compute MAE and RMSE</w:t>
            </w:r>
          </w:p>
        </w:tc>
        <w:tc>
          <w:tcPr>
            <w:tcW w:type="dxa" w:w="4500"/>
            <w:shd w:fill="F2F2F2" w:val="clear"/>
          </w:tcPr>
          <w:p>
            <w:r>
              <w:rPr>
                <w:b w:val="false"/>
                <w:bCs w:val="false"/>
                <w:color w:val="000000"/>
                <w:sz w:val="20"/>
                <w:szCs w:val="20"/>
              </w:rPr>
              <w:t xml:space="preserve">Tables 3 and 4</w:t>
            </w:r>
          </w:p>
        </w:tc>
      </w:tr>
      <w:tr>
        <w:trPr>
          <w:tblHeader w:val="false"/>
        </w:trPr>
        <w:tc>
          <w:tcPr>
            <w:tcW w:type="dxa" w:w="1300"/>
            <w:shd w:fill="FFFFFF" w:val="clear"/>
          </w:tcPr>
          <w:p>
            <w:r>
              <w:rPr>
                <w:b w:val="false"/>
                <w:bCs w:val="false"/>
                <w:color w:val="000000"/>
                <w:sz w:val="20"/>
                <w:szCs w:val="20"/>
              </w:rPr>
              <w:t xml:space="preserve">4</w:t>
            </w:r>
          </w:p>
        </w:tc>
        <w:tc>
          <w:tcPr>
            <w:tcW w:type="dxa" w:w="3300"/>
            <w:shd w:fill="FFFFFF" w:val="clear"/>
          </w:tcPr>
          <w:p>
            <w:r>
              <w:rPr>
                <w:b w:val="false"/>
                <w:bCs w:val="false"/>
                <w:color w:val="000000"/>
                <w:sz w:val="20"/>
                <w:szCs w:val="20"/>
              </w:rPr>
              <w:t xml:space="preserve">Analyse 700–760 cm⁻¹ region against literature</w:t>
            </w:r>
          </w:p>
        </w:tc>
        <w:tc>
          <w:tcPr>
            <w:tcW w:type="dxa" w:w="4500"/>
            <w:shd w:fill="FFFFFF" w:val="clear"/>
          </w:tcPr>
          <w:p>
            <w:r>
              <w:rPr>
                <w:b w:val="false"/>
                <w:bCs w:val="false"/>
                <w:color w:val="000000"/>
                <w:sz w:val="20"/>
                <w:szCs w:val="20"/>
              </w:rPr>
              <w:t xml:space="preserve">Section 3.7 draft</w:t>
            </w:r>
          </w:p>
        </w:tc>
      </w:tr>
      <w:tr>
        <w:trPr>
          <w:tblHeader w:val="false"/>
        </w:trPr>
        <w:tc>
          <w:tcPr>
            <w:tcW w:type="dxa" w:w="1300"/>
            <w:shd w:fill="F2F2F2" w:val="clear"/>
          </w:tcPr>
          <w:p>
            <w:r>
              <w:rPr>
                <w:b w:val="false"/>
                <w:bCs w:val="false"/>
                <w:color w:val="000000"/>
                <w:sz w:val="20"/>
                <w:szCs w:val="20"/>
              </w:rPr>
              <w:t xml:space="preserve">4</w:t>
            </w:r>
          </w:p>
        </w:tc>
        <w:tc>
          <w:tcPr>
            <w:tcW w:type="dxa" w:w="3300"/>
            <w:shd w:fill="F2F2F2" w:val="clear"/>
          </w:tcPr>
          <w:p>
            <w:r>
              <w:rPr>
                <w:b w:val="false"/>
                <w:bCs w:val="false"/>
                <w:color w:val="000000"/>
                <w:sz w:val="20"/>
                <w:szCs w:val="20"/>
              </w:rPr>
              <w:t xml:space="preserve">Produce all figures at 300+ dpi</w:t>
            </w:r>
          </w:p>
        </w:tc>
        <w:tc>
          <w:tcPr>
            <w:tcW w:type="dxa" w:w="4500"/>
            <w:shd w:fill="F2F2F2" w:val="clear"/>
          </w:tcPr>
          <w:p>
            <w:r>
              <w:rPr>
                <w:b w:val="false"/>
                <w:bCs w:val="false"/>
                <w:color w:val="000000"/>
                <w:sz w:val="20"/>
                <w:szCs w:val="20"/>
              </w:rPr>
              <w:t xml:space="preserve">Figs. 1–6, S1–S2</w:t>
            </w:r>
          </w:p>
        </w:tc>
      </w:tr>
      <w:tr>
        <w:trPr>
          <w:tblHeader w:val="false"/>
        </w:trPr>
        <w:tc>
          <w:tcPr>
            <w:tcW w:type="dxa" w:w="1300"/>
            <w:shd w:fill="FFFFFF" w:val="clear"/>
          </w:tcPr>
          <w:p>
            <w:r>
              <w:rPr>
                <w:b w:val="false"/>
                <w:bCs w:val="false"/>
                <w:color w:val="000000"/>
                <w:sz w:val="20"/>
                <w:szCs w:val="20"/>
              </w:rPr>
              <w:t xml:space="preserve">5</w:t>
            </w:r>
          </w:p>
        </w:tc>
        <w:tc>
          <w:tcPr>
            <w:tcW w:type="dxa" w:w="3300"/>
            <w:shd w:fill="FFFFFF" w:val="clear"/>
          </w:tcPr>
          <w:p>
            <w:r>
              <w:rPr>
                <w:b w:val="false"/>
                <w:bCs w:val="false"/>
                <w:color w:val="000000"/>
                <w:sz w:val="20"/>
                <w:szCs w:val="20"/>
              </w:rPr>
              <w:t xml:space="preserve">Write Methods and Results</w:t>
            </w:r>
          </w:p>
        </w:tc>
        <w:tc>
          <w:tcPr>
            <w:tcW w:type="dxa" w:w="4500"/>
            <w:shd w:fill="FFFFFF" w:val="clear"/>
          </w:tcPr>
          <w:p>
            <w:r>
              <w:rPr>
                <w:b w:val="false"/>
                <w:bCs w:val="false"/>
                <w:color w:val="000000"/>
                <w:sz w:val="20"/>
                <w:szCs w:val="20"/>
              </w:rPr>
              <w:t xml:space="preserve">Draft sections 2 and 3</w:t>
            </w:r>
          </w:p>
        </w:tc>
      </w:tr>
      <w:tr>
        <w:trPr>
          <w:tblHeader w:val="false"/>
        </w:trPr>
        <w:tc>
          <w:tcPr>
            <w:tcW w:type="dxa" w:w="1300"/>
            <w:shd w:fill="F2F2F2" w:val="clear"/>
          </w:tcPr>
          <w:p>
            <w:r>
              <w:rPr>
                <w:b w:val="false"/>
                <w:bCs w:val="false"/>
                <w:color w:val="000000"/>
                <w:sz w:val="20"/>
                <w:szCs w:val="20"/>
              </w:rPr>
              <w:t xml:space="preserve">6</w:t>
            </w:r>
          </w:p>
        </w:tc>
        <w:tc>
          <w:tcPr>
            <w:tcW w:type="dxa" w:w="3300"/>
            <w:shd w:fill="F2F2F2" w:val="clear"/>
          </w:tcPr>
          <w:p>
            <w:r>
              <w:rPr>
                <w:b w:val="false"/>
                <w:bCs w:val="false"/>
                <w:color w:val="000000"/>
                <w:sz w:val="20"/>
                <w:szCs w:val="20"/>
              </w:rPr>
              <w:t xml:space="preserve">Write Discussion, Introduction, Conclusion</w:t>
            </w:r>
          </w:p>
        </w:tc>
        <w:tc>
          <w:tcPr>
            <w:tcW w:type="dxa" w:w="4500"/>
            <w:shd w:fill="F2F2F2" w:val="clear"/>
          </w:tcPr>
          <w:p>
            <w:r>
              <w:rPr>
                <w:b w:val="false"/>
                <w:bCs w:val="false"/>
                <w:color w:val="000000"/>
                <w:sz w:val="20"/>
                <w:szCs w:val="20"/>
              </w:rPr>
              <w:t xml:space="preserve">Full draft</w:t>
            </w:r>
          </w:p>
        </w:tc>
      </w:tr>
      <w:tr>
        <w:trPr>
          <w:tblHeader w:val="false"/>
        </w:trPr>
        <w:tc>
          <w:tcPr>
            <w:tcW w:type="dxa" w:w="1300"/>
            <w:shd w:fill="FFFFFF" w:val="clear"/>
          </w:tcPr>
          <w:p>
            <w:r>
              <w:rPr>
                <w:b w:val="false"/>
                <w:bCs w:val="false"/>
                <w:color w:val="000000"/>
                <w:sz w:val="20"/>
                <w:szCs w:val="20"/>
              </w:rPr>
              <w:t xml:space="preserve">7</w:t>
            </w:r>
          </w:p>
        </w:tc>
        <w:tc>
          <w:tcPr>
            <w:tcW w:type="dxa" w:w="3300"/>
            <w:shd w:fill="FFFFFF" w:val="clear"/>
          </w:tcPr>
          <w:p>
            <w:r>
              <w:rPr>
                <w:b w:val="false"/>
                <w:bCs w:val="false"/>
                <w:color w:val="000000"/>
                <w:sz w:val="20"/>
                <w:szCs w:val="20"/>
              </w:rPr>
              <w:t xml:space="preserve">Write Abstract; assemble references; internal review with supervisor</w:t>
            </w:r>
          </w:p>
        </w:tc>
        <w:tc>
          <w:tcPr>
            <w:tcW w:type="dxa" w:w="4500"/>
            <w:shd w:fill="FFFFFF" w:val="clear"/>
          </w:tcPr>
          <w:p>
            <w:r>
              <w:rPr>
                <w:b w:val="false"/>
                <w:bCs w:val="false"/>
                <w:color w:val="000000"/>
                <w:sz w:val="20"/>
                <w:szCs w:val="20"/>
              </w:rPr>
              <w:t xml:space="preserve">Complete manuscript</w:t>
            </w:r>
          </w:p>
        </w:tc>
      </w:tr>
      <w:tr>
        <w:trPr>
          <w:tblHeader w:val="false"/>
        </w:trPr>
        <w:tc>
          <w:tcPr>
            <w:tcW w:type="dxa" w:w="1300"/>
            <w:shd w:fill="F2F2F2" w:val="clear"/>
          </w:tcPr>
          <w:p>
            <w:r>
              <w:rPr>
                <w:b w:val="false"/>
                <w:bCs w:val="false"/>
                <w:color w:val="000000"/>
                <w:sz w:val="20"/>
                <w:szCs w:val="20"/>
              </w:rPr>
              <w:t xml:space="preserve">8</w:t>
            </w:r>
          </w:p>
        </w:tc>
        <w:tc>
          <w:tcPr>
            <w:tcW w:type="dxa" w:w="3300"/>
            <w:shd w:fill="F2F2F2" w:val="clear"/>
          </w:tcPr>
          <w:p>
            <w:r>
              <w:rPr>
                <w:b w:val="false"/>
                <w:bCs w:val="false"/>
                <w:color w:val="000000"/>
                <w:sz w:val="20"/>
                <w:szCs w:val="20"/>
              </w:rPr>
              <w:t xml:space="preserve">Revise, format to journal template, write cover letter</w:t>
            </w:r>
          </w:p>
        </w:tc>
        <w:tc>
          <w:tcPr>
            <w:tcW w:type="dxa" w:w="4500"/>
            <w:shd w:fill="F2F2F2" w:val="clear"/>
          </w:tcPr>
          <w:p>
            <w:r>
              <w:rPr>
                <w:b w:val="false"/>
                <w:bCs w:val="false"/>
                <w:color w:val="000000"/>
                <w:sz w:val="20"/>
                <w:szCs w:val="20"/>
              </w:rPr>
              <w:t xml:space="preserve">Submission package</w:t>
            </w:r>
          </w:p>
        </w:tc>
      </w:tr>
    </w:tbl>
    <w:p>
      <w:pPr>
        <w:spacing w:after="120"/>
      </w:pPr>
      <w:r>
        <w:rPr>
          <w:i/>
          <w:iCs/>
        </w:rPr>
        <w:t xml:space="preserve">Eight weeks is realistic if the analysis is done consistently. None of it requires new instrument time.</w:t>
      </w:r>
    </w:p>
    <w:p>
      <w:pPr>
        <w:pStyle w:val="Heading1"/>
        <w:spacing w:after="160" w:before="320"/>
      </w:pPr>
      <w:r>
        <w:t xml:space="preserve">9. Pre-Submission Checklist</w:t>
      </w:r>
    </w:p>
    <w:p>
      <w:pPr>
        <w:spacing w:after="120"/>
      </w:pPr>
      <w:r>
        <w:t xml:space="preserve">□ Gaussian log confirmed free of imaginary frequencies</w:t>
      </w:r>
    </w:p>
    <w:p>
      <w:pPr>
        <w:spacing w:after="120"/>
      </w:pPr>
      <w:r>
        <w:t xml:space="preserve">□ Experimental peak list reconciled with the draft table (resolve the 873/1092/1652 discrepancy)</w:t>
      </w:r>
    </w:p>
    <w:p>
      <w:pPr>
        <w:spacing w:after="120"/>
      </w:pPr>
      <w:r>
        <w:t xml:space="preserve">□ 20–30 peaks assigned in Table 3</w:t>
      </w:r>
    </w:p>
    <w:p>
      <w:pPr>
        <w:spacing w:after="120"/>
      </w:pPr>
      <w:r>
        <w:t xml:space="preserve">□ Scaling factor stated and cited</w:t>
      </w:r>
    </w:p>
    <w:p>
      <w:pPr>
        <w:spacing w:after="120"/>
      </w:pPr>
      <w:r>
        <w:t xml:space="preserve">□ MAE and RMSE computed and reported</w:t>
      </w:r>
    </w:p>
    <w:p>
      <w:pPr>
        <w:spacing w:after="120"/>
      </w:pPr>
      <w:r>
        <w:t xml:space="preserve">□ Overlay figure with residual panel produced</w:t>
      </w:r>
    </w:p>
    <w:p>
      <w:pPr>
        <w:spacing w:after="120"/>
      </w:pPr>
      <w:r>
        <w:t xml:space="preserve">□ Glass blank comparison shown</w:t>
      </w:r>
    </w:p>
    <w:p>
      <w:pPr>
        <w:spacing w:after="120"/>
      </w:pPr>
      <w:r>
        <w:t xml:space="preserve">□ Reproducibility quantified (n spots, CV)</w:t>
      </w:r>
    </w:p>
    <w:p>
      <w:pPr>
        <w:spacing w:after="120"/>
      </w:pPr>
      <w:r>
        <w:t xml:space="preserve">□ Laser power reported in mW where possible</w:t>
      </w:r>
    </w:p>
    <w:p>
      <w:pPr>
        <w:spacing w:after="120"/>
      </w:pPr>
      <w:r>
        <w:t xml:space="preserve">□ 730 cm⁻¹ region explicitly addressed</w:t>
      </w:r>
    </w:p>
    <w:p>
      <w:pPr>
        <w:spacing w:after="120"/>
      </w:pPr>
      <w:r>
        <w:t xml:space="preserve">□ Ma et al. (2024) gap statement in Introduction</w:t>
      </w:r>
    </w:p>
    <w:p>
      <w:pPr>
        <w:spacing w:after="120"/>
      </w:pPr>
      <w:r>
        <w:t xml:space="preserve">□ Kouach et al. (1994) agreement comparison in Discussion</w:t>
      </w:r>
    </w:p>
    <w:p>
      <w:pPr>
        <w:spacing w:after="120"/>
      </w:pPr>
      <w:r>
        <w:t xml:space="preserve">□ 30–45 references, correctly formatted</w:t>
      </w:r>
    </w:p>
    <w:p>
      <w:pPr>
        <w:spacing w:after="120"/>
      </w:pPr>
      <w:r>
        <w:t xml:space="preserve">□ SI assembled: coordinates, full frequency list, optimisation figures</w:t>
      </w:r>
    </w:p>
    <w:p>
      <w:pPr>
        <w:spacing w:after="120"/>
      </w:pPr>
      <w:r>
        <w:t xml:space="preserve">□ Data availability statement included</w:t>
      </w:r>
    </w:p>
    <w:p>
      <w:pPr>
        <w:spacing w:after="120"/>
      </w:pPr>
      <w:r>
        <w:t xml:space="preserve">□ Figures at 300+ dpi, all axes labelled with units</w:t>
      </w:r>
    </w:p>
    <w:p>
      <w:pPr>
        <w:spacing w:after="120"/>
      </w:pPr>
      <w:r>
        <w:t xml:space="preserve">□ Proofread three times; supervisor sign-off obtained</w:t>
      </w:r>
    </w:p>
    <w:p>
      <w:pPr>
        <w:pStyle w:val="Heading1"/>
        <w:spacing w:after="160" w:before="320"/>
      </w:pPr>
      <w:r>
        <w:t xml:space="preserve">10. Summary</w:t>
      </w:r>
    </w:p>
    <w:p>
      <w:pPr>
        <w:spacing w:after="120"/>
      </w:pPr>
      <w:r>
        <w:t xml:space="preserve">You asked whether this is publishable. It is — the underlying data is sound, the computational method is defensible, and the literature gap is real and demonstrable.</w:t>
      </w:r>
    </w:p>
    <w:p>
      <w:pPr>
        <w:spacing w:after="120"/>
      </w:pPr>
      <w:r>
        <w:t xml:space="preserve">What stands between you and a submission is not more experiments. It is roughly six to eight weeks of disciplined analysis: a complete peak table, a scaling factor, an error metric, an overlay figure, and a genuine engagement with the 730 cm⁻¹ question.</w:t>
      </w:r>
    </w:p>
    <w:p>
      <w:pPr>
        <w:spacing w:after="120"/>
      </w:pPr>
      <w:r>
        <w:rPr>
          <w:b/>
          <w:bCs/>
        </w:rPr>
        <w:t xml:space="preserve">The four-peak table in your current draft is the single most urgent problem. Fix that first, and reconcile it against the peaks you actually measured. Everything else follows.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2026-08-04T12:06:25.472Z</dcterms:created>
  <dcterms:modified xsi:type="dcterms:W3CDTF">2026-08-04T12:06:25.472Z</dcterms:modified>
</cp:coreProperties>
</file>

<file path=docProps/custom.xml><?xml version="1.0" encoding="utf-8"?>
<Properties xmlns="http://schemas.openxmlformats.org/officeDocument/2006/custom-properties" xmlns:vt="http://schemas.openxmlformats.org/officeDocument/2006/docPropsVTypes"/>
</file>