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am-raman-study-data-archive"/>
      <w:r>
        <w:t xml:space="preserve">NAM Raman Study — Data Archive</w:t>
      </w:r>
      <w:bookmarkEnd w:id="20"/>
    </w:p>
    <w:p>
      <w:pPr>
        <w:pStyle w:val="FirstParagraph"/>
      </w:pPr>
      <w:r>
        <w:rPr>
          <w:b/>
        </w:rPr>
        <w:t xml:space="preserve">N-Acetylmuramic Acid: Experimental Raman Spectroscopy and DFT Vibrational Analysis</w:t>
      </w:r>
    </w:p>
    <w:p>
      <w:pPr>
        <w:pStyle w:val="BodyText"/>
      </w:pPr>
      <w:r>
        <w:t xml:space="preserve">Sukesh P · Department of Electrical Engineering, Indian Institute of Technology Jodhpur</w:t>
      </w:r>
      <w:r>
        <w:t xml:space="preserve"> </w:t>
      </w:r>
      <w:r>
        <w:t xml:space="preserve">Archive compiled 5 August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ample"/>
      <w:r>
        <w:t xml:space="preserve">1. SAMPLE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Compound</w:t>
            </w:r>
          </w:p>
        </w:tc>
        <w:tc>
          <w:p>
            <w:pPr>
              <w:pStyle w:val="Compact"/>
              <w:jc w:val="left"/>
            </w:pPr>
            <w:r>
              <w:t xml:space="preserve">N-Acetylmuramic acid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Abbreviations</w:t>
            </w:r>
          </w:p>
        </w:tc>
        <w:tc>
          <w:p>
            <w:pPr>
              <w:pStyle w:val="Compact"/>
              <w:jc w:val="left"/>
            </w:pPr>
            <w:r>
              <w:t xml:space="preserve">NAM, MurNAc, NAMA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Sigma-Aldrich (Merck)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Catalogue number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A3007-100MG</w:t>
            </w:r>
            <w:r>
              <w:t xml:space="preserve"> </w:t>
            </w:r>
            <w:r>
              <w:t xml:space="preserve">(100 mg pack)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 number</w:t>
            </w:r>
          </w:p>
        </w:tc>
        <w:tc>
          <w:p>
            <w:pPr>
              <w:pStyle w:val="Compact"/>
              <w:jc w:val="left"/>
            </w:pPr>
            <w:r>
              <w:t xml:space="preserve">10597-89-4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Lot number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BCCK5768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C₁₁H₁₉NO₈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Molecular weight</w:t>
            </w:r>
          </w:p>
        </w:tc>
        <w:tc>
          <w:p>
            <w:pPr>
              <w:pStyle w:val="Compact"/>
              <w:jc w:val="left"/>
            </w:pPr>
            <w:r>
              <w:t xml:space="preserve">293.27 g/mol (anhydrous —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a hydrate)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≥98% (TLC)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Synthetic · manufactured in Switzerland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White powder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Melting point</w:t>
            </w:r>
          </w:p>
        </w:tc>
        <w:tc>
          <w:p>
            <w:pPr>
              <w:pStyle w:val="Compact"/>
              <w:jc w:val="left"/>
            </w:pPr>
            <w:r>
              <w:t xml:space="preserve">125 °C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Stated impurity</w:t>
            </w:r>
          </w:p>
        </w:tc>
        <w:tc>
          <w:p>
            <w:pPr>
              <w:pStyle w:val="Compact"/>
              <w:jc w:val="left"/>
            </w:pPr>
            <w:r>
              <w:t xml:space="preserve">≤1 mol/mol methanol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2–8 °C · amber glass bottle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Sample preparation</w:t>
            </w:r>
          </w:p>
        </w:tc>
        <w:tc>
          <w:p>
            <w:pPr>
              <w:pStyle w:val="Compact"/>
              <w:jc w:val="left"/>
            </w:pPr>
            <w:r>
              <w:t xml:space="preserve">Powder placed directly on clean glass microscope slide, used as received, no purification or recrystallisation</w:t>
            </w:r>
          </w:p>
        </w:tc>
      </w:tr>
    </w:tbl>
    <w:p>
      <w:pPr>
        <w:pStyle w:val="Heading3"/>
      </w:pPr>
      <w:bookmarkStart w:id="22" w:name="structure"/>
      <w:r>
        <w:t xml:space="preserve">Structure</w:t>
      </w:r>
      <w:bookmarkEnd w:id="22"/>
    </w:p>
    <w:p>
      <w:pPr>
        <w:pStyle w:val="FirstParagraph"/>
      </w:pPr>
      <w:r>
        <w:rPr>
          <w:b/>
        </w:rPr>
        <w:t xml:space="preserve">SMILES</w:t>
      </w:r>
    </w:p>
    <w:p>
      <w:pPr>
        <w:pStyle w:val="SourceCode"/>
      </w:pPr>
      <w:r>
        <w:rPr>
          <w:rStyle w:val="VerbatimChar"/>
        </w:rPr>
        <w:t xml:space="preserve">CC(O[C@H]1[C@H](O)[C@@H](CO)OC(O)[C@@H]1NC(C)=O)C(O)=O</w:t>
      </w:r>
    </w:p>
    <w:p>
      <w:pPr>
        <w:pStyle w:val="FirstParagraph"/>
      </w:pPr>
      <w:r>
        <w:rPr>
          <w:b/>
        </w:rPr>
        <w:t xml:space="preserve">InChI</w:t>
      </w:r>
    </w:p>
    <w:p>
      <w:pPr>
        <w:pStyle w:val="SourceCode"/>
      </w:pPr>
      <w:r>
        <w:rPr>
          <w:rStyle w:val="VerbatimChar"/>
        </w:rPr>
        <w:t xml:space="preserve">1S/C11H19NO8/c1-5(11(18)19)20-10(9(17)8(16)4-14)7(3-13)12-6(2)15/</w:t>
      </w:r>
      <w:r>
        <w:br/>
      </w:r>
      <w:r>
        <w:rPr>
          <w:rStyle w:val="VerbatimChar"/>
        </w:rPr>
        <w:t xml:space="preserve">h3,5,7-10,14,16-17H,4H2,1-2H3,(H,12,15)(H,18,19)/t5-,7+,8-,9-,10-/m1/s1</w:t>
      </w:r>
    </w:p>
    <w:p>
      <w:pPr>
        <w:pStyle w:val="FirstParagraph"/>
      </w:pPr>
      <w:r>
        <w:rPr>
          <w:b/>
        </w:rPr>
        <w:t xml:space="preserve">IMPORTANT — anomeric configuration is NOT specified.</w:t>
      </w:r>
      <w:r>
        <w:t xml:space="preserve"> </w:t>
      </w:r>
      <w:r>
        <w:t xml:space="preserve">The anomeric carbon in</w:t>
      </w:r>
      <w:r>
        <w:t xml:space="preserve"> </w:t>
      </w:r>
      <w:r>
        <w:t xml:space="preserve">the SMILES carries no stereo descriptor, and the InChI stereo layer defines only</w:t>
      </w:r>
      <w:r>
        <w:t xml:space="preserve"> </w:t>
      </w:r>
      <w:r>
        <w:t xml:space="preserve">five centres. The material is an</w:t>
      </w:r>
      <w:r>
        <w:t xml:space="preserve"> </w:t>
      </w:r>
      <w:r>
        <w:rPr>
          <w:b/>
        </w:rPr>
        <w:t xml:space="preserve">α/β anomeric mixture</w:t>
      </w:r>
      <w:r>
        <w:t xml:space="preserve">, normal for a reducing</w:t>
      </w:r>
      <w:r>
        <w:t xml:space="preserve"> </w:t>
      </w:r>
      <w:r>
        <w:t xml:space="preserve">sugar. The DFT calculation models the</w:t>
      </w:r>
      <w:r>
        <w:t xml:space="preserve"> </w:t>
      </w:r>
      <w:r>
        <w:rPr>
          <w:b/>
        </w:rPr>
        <w:t xml:space="preserve">β anomer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strument"/>
      <w:r>
        <w:t xml:space="preserve">2. INSTRUMENT</w:t>
      </w:r>
      <w:bookmarkEnd w:id="23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B&amp;W Tek i-Raman Plus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BWS465-785H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Spectrometer</w:t>
            </w:r>
          </w:p>
        </w:tc>
        <w:tc>
          <w:p>
            <w:pPr>
              <w:pStyle w:val="Compact"/>
              <w:jc w:val="left"/>
            </w:pPr>
            <w:r>
              <w:t xml:space="preserve">BTC665N-785H-SYS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Microscope</w:t>
            </w:r>
          </w:p>
        </w:tc>
        <w:tc>
          <w:p>
            <w:pPr>
              <w:pStyle w:val="Compact"/>
              <w:jc w:val="left"/>
            </w:pPr>
            <w:r>
              <w:t xml:space="preserve">BAC102-785E Raman microscope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Objective used</w:t>
            </w:r>
          </w:p>
        </w:tc>
        <w:tc>
          <w:p>
            <w:pPr>
              <w:pStyle w:val="Compact"/>
              <w:jc w:val="left"/>
            </w:pPr>
            <w:r>
              <w:t xml:space="preserve">20× Plan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 objective available</w:t>
            </w:r>
          </w:p>
        </w:tc>
        <w:tc>
          <w:p>
            <w:pPr>
              <w:pStyle w:val="Compact"/>
              <w:jc w:val="left"/>
            </w:pPr>
            <w:r>
              <w:t xml:space="preserve">50× LMPlan (NA 0.50, WD 10.5 mm) — not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Laser wavelength</w:t>
            </w:r>
          </w:p>
        </w:tc>
        <w:tc>
          <w:p>
            <w:pPr>
              <w:pStyle w:val="Compact"/>
              <w:jc w:val="left"/>
            </w:pPr>
            <w:r>
              <w:t xml:space="preserve">785 nm (784.92 nm reported by software)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Laser power</w:t>
            </w:r>
          </w:p>
        </w:tc>
        <w:tc>
          <w:p>
            <w:pPr>
              <w:pStyle w:val="Compact"/>
              <w:jc w:val="left"/>
            </w:pPr>
            <w:r>
              <w:t xml:space="preserve">Safety label: 495 mW max output · Spec: 455 mW at laser port,</w:t>
            </w:r>
            <w:r>
              <w:t xml:space="preserve"> </w:t>
            </w:r>
            <w:r>
              <w:rPr>
                <w:b/>
              </w:rPr>
              <w:t xml:space="preserve">340 mW exiting probe</w:t>
            </w:r>
            <w:r>
              <w:t xml:space="preserve"> </w:t>
            </w:r>
            <w:r>
              <w:t xml:space="preserve">· 0–100% in 1% steps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Laser class</w:t>
            </w:r>
          </w:p>
        </w:tc>
        <w:tc>
          <w:p>
            <w:pPr>
              <w:pStyle w:val="Compact"/>
              <w:jc w:val="left"/>
            </w:pPr>
            <w:r>
              <w:t xml:space="preserve">Class 3B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 range</w:t>
            </w:r>
          </w:p>
        </w:tc>
        <w:tc>
          <w:p>
            <w:pPr>
              <w:pStyle w:val="Compact"/>
              <w:jc w:val="left"/>
            </w:pPr>
            <w:r>
              <w:t xml:space="preserve">65–2800 cm⁻¹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Detector</w:t>
            </w:r>
          </w:p>
        </w:tc>
        <w:tc>
          <w:p>
            <w:pPr>
              <w:pStyle w:val="Compact"/>
              <w:jc w:val="left"/>
            </w:pPr>
            <w:r>
              <w:t xml:space="preserve">2048-pixel TE-cooled CCD, sensor at −2 °C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Spectral range</w:t>
            </w:r>
          </w:p>
        </w:tc>
        <w:tc>
          <w:p>
            <w:pPr>
              <w:pStyle w:val="Compact"/>
              <w:jc w:val="left"/>
            </w:pPr>
            <w:r>
              <w:t xml:space="preserve">−46 to 2842 cm⁻¹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Spectral sampling</w:t>
            </w:r>
          </w:p>
        </w:tc>
        <w:tc>
          <w:p>
            <w:pPr>
              <w:pStyle w:val="Compact"/>
              <w:jc w:val="left"/>
            </w:pPr>
            <w:r>
              <w:t xml:space="preserve">1.76 cm⁻¹/pixel at 400 cm⁻¹ → 1.43 cm⁻¹/pixel at 1800 cm⁻¹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Spectral resolution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&lt; 3.5 cm⁻¹</w:t>
            </w:r>
            <w:r>
              <w:t xml:space="preserve"> </w:t>
            </w:r>
            <w:r>
              <w:t xml:space="preserve">(at 912 nm, atomic emission lines)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Power at sample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 mW at 70% ←</w:t>
            </w:r>
            <w:r>
              <w:t xml:space="preserve"> </w:t>
            </w:r>
            <w:r>
              <w:rPr>
                <w:b/>
              </w:rPr>
              <w:t xml:space="preserve">measure with power meter</w:t>
            </w:r>
            <w:r>
              <w:t xml:space="preserve"> </w:t>
            </w:r>
            <w:r>
              <w:t xml:space="preserve">(upper bound: 70% × 340 mW = 238 mW at probe, less at sample)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Dark correction</w:t>
            </w:r>
          </w:p>
        </w:tc>
        <w:tc>
          <w:p>
            <w:pPr>
              <w:pStyle w:val="Compact"/>
              <w:jc w:val="left"/>
            </w:pPr>
            <w:r>
              <w:t xml:space="preserve">Applied by instrument software (column</w:t>
            </w:r>
            <w:r>
              <w:t xml:space="preserve"> </w:t>
            </w:r>
            <w:r>
              <w:rPr>
                <w:rStyle w:val="VerbatimChar"/>
              </w:rPr>
              <w:t xml:space="preserve">Dark Subtracted #1</w:t>
            </w:r>
            <w:r>
              <w:t xml:space="preserve">)</w:t>
            </w:r>
          </w:p>
        </w:tc>
      </w:tr>
    </w:tbl>
    <w:p>
      <w:pPr>
        <w:pStyle w:val="Heading3"/>
      </w:pPr>
      <w:bookmarkStart w:id="24" w:name="nominal-power-reference"/>
      <w:r>
        <w:t xml:space="preserve">Nominal power reference</w:t>
      </w:r>
      <w:bookmarkEnd w:id="24"/>
    </w:p>
    <w:p>
      <w:pPr>
        <w:pStyle w:val="FirstParagraph"/>
      </w:pPr>
      <w:r>
        <w:rPr>
          <w:b/>
        </w:rPr>
        <w:t xml:space="preserve">Three different figures apply — do not conflate them: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label</w:t>
            </w:r>
          </w:p>
        </w:tc>
        <w:tc>
          <w:p>
            <w:pPr>
              <w:pStyle w:val="Compact"/>
              <w:jc w:val="left"/>
            </w:pPr>
            <w:r>
              <w:t xml:space="preserve">495 mW</w:t>
            </w:r>
          </w:p>
        </w:tc>
        <w:tc>
          <w:p>
            <w:pPr>
              <w:pStyle w:val="Compact"/>
              <w:jc w:val="left"/>
            </w:pPr>
            <w:r>
              <w:t xml:space="preserve">Maximum accessible emission, for Class 3B hazard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Spec, laser port</w:t>
            </w:r>
          </w:p>
        </w:tc>
        <w:tc>
          <w:p>
            <w:pPr>
              <w:pStyle w:val="Compact"/>
              <w:jc w:val="left"/>
            </w:pPr>
            <w:r>
              <w:t xml:space="preserve">455 mW</w:t>
            </w:r>
          </w:p>
        </w:tc>
        <w:tc>
          <w:p>
            <w:pPr>
              <w:pStyle w:val="Compact"/>
              <w:jc w:val="left"/>
            </w:pPr>
            <w:r>
              <w:t xml:space="preserve">Manufacturer nominal at the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Spec, exiting probe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340 mW</w:t>
            </w:r>
          </w:p>
        </w:tc>
        <w:tc>
          <w:p>
            <w:pPr>
              <w:pStyle w:val="Compact"/>
              <w:jc w:val="left"/>
            </w:pPr>
            <w:r>
              <w:t xml:space="preserve">What leaves the fibre-optic probe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 sample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unmeasured</w:t>
            </w:r>
          </w:p>
        </w:tc>
        <w:tc>
          <w:p>
            <w:pPr>
              <w:pStyle w:val="Compact"/>
              <w:jc w:val="left"/>
            </w:pPr>
            <w:r>
              <w:t xml:space="preserve">Lower again — through BAC102 microscope + 20× objective</w:t>
            </w:r>
          </w:p>
        </w:tc>
      </w:tr>
    </w:tbl>
    <w:p>
      <w:pPr>
        <w:pStyle w:val="BodyText"/>
      </w:pPr>
      <w:r>
        <w:t xml:space="preserve">Based on 340 mW nominal exiting the probe: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Exiting probe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17 mW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136 mW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238 mW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306 mW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</w:rPr>
        <w:t xml:space="preserve">at the probe</w:t>
      </w:r>
      <w:r>
        <w:t xml:space="preserve">, not at the sample. Further losses occur through the</w:t>
      </w:r>
      <w:r>
        <w:t xml:space="preserve"> </w:t>
      </w:r>
      <w:r>
        <w:t xml:space="preserve">BAC102 microscope and the 20× objective, so incident power is lower and still</w:t>
      </w:r>
      <w:r>
        <w:t xml:space="preserve"> </w:t>
      </w:r>
      <w:r>
        <w:t xml:space="preserve">needs direct measurement.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file-naming"/>
      <w:r>
        <w:t xml:space="preserve">3. FILE NAMING</w:t>
      </w:r>
      <w:bookmarkEnd w:id="25"/>
    </w:p>
    <w:p>
      <w:pPr>
        <w:pStyle w:val="SourceCode"/>
      </w:pPr>
      <w:r>
        <w:rPr>
          <w:rStyle w:val="VerbatimChar"/>
        </w:rPr>
        <w:t xml:space="preserve">NAM_P70_T25s_A5_R2_03.csv</w:t>
      </w:r>
      <w:r>
        <w:br/>
      </w:r>
      <w:r>
        <w:rPr>
          <w:rStyle w:val="VerbatimChar"/>
        </w:rPr>
        <w:t xml:space="preserve">│   │   │    │  │  └── sequence number within the set</w:t>
      </w:r>
      <w:r>
        <w:br/>
      </w:r>
      <w:r>
        <w:rPr>
          <w:rStyle w:val="VerbatimChar"/>
        </w:rPr>
        <w:t xml:space="preserve">│   │   │    │  └───── set code (see below)</w:t>
      </w:r>
      <w:r>
        <w:br/>
      </w:r>
      <w:r>
        <w:rPr>
          <w:rStyle w:val="VerbatimChar"/>
        </w:rPr>
        <w:t xml:space="preserve">│   │   │    └──────── accumulations</w:t>
      </w:r>
      <w:r>
        <w:br/>
      </w:r>
      <w:r>
        <w:rPr>
          <w:rStyle w:val="VerbatimChar"/>
        </w:rPr>
        <w:t xml:space="preserve">│   │   └───────────── integration time in seconds</w:t>
      </w:r>
      <w:r>
        <w:br/>
      </w:r>
      <w:r>
        <w:rPr>
          <w:rStyle w:val="VerbatimChar"/>
        </w:rPr>
        <w:t xml:space="preserve">│   └───────────────── laser power, percent of nominal</w:t>
      </w:r>
      <w:r>
        <w:br/>
      </w:r>
      <w:r>
        <w:rPr>
          <w:rStyle w:val="VerbatimChar"/>
        </w:rPr>
        <w:t xml:space="preserve">└───────────────────── sample: NAM powder, or GLASS for blank</w:t>
      </w:r>
    </w:p>
    <w:p>
      <w:pPr>
        <w:pStyle w:val="Heading3"/>
      </w:pPr>
      <w:bookmarkStart w:id="26" w:name="set-codes"/>
      <w:r>
        <w:t xml:space="preserve">Set codes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</w:t>
            </w:r>
          </w:p>
        </w:tc>
        <w:tc>
          <w:p>
            <w:pPr>
              <w:pStyle w:val="Compact"/>
              <w:jc w:val="left"/>
            </w:pPr>
            <w:r>
              <w:t xml:space="preserve">Power × integration optimisation grid (April session)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</w:t>
            </w:r>
            <w:r>
              <w:t xml:space="preserve">–</w:t>
            </w:r>
            <w:r>
              <w:rPr>
                <w:rStyle w:val="VerbatimChar"/>
              </w:rP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Replicate sets — fresh spot for each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SS1</w:t>
            </w:r>
          </w:p>
        </w:tc>
        <w:tc>
          <w:p>
            <w:pPr>
              <w:pStyle w:val="Compact"/>
              <w:jc w:val="left"/>
            </w:pPr>
            <w:r>
              <w:t xml:space="preserve">Photostability — same spot, consecutive scans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DMG2</w:t>
            </w:r>
          </w:p>
        </w:tc>
        <w:tc>
          <w:p>
            <w:pPr>
              <w:pStyle w:val="Compact"/>
              <w:jc w:val="left"/>
            </w:pPr>
            <w:r>
              <w:t xml:space="preserve">Sample destroyed by laser — excluded from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</w:t>
            </w:r>
          </w:p>
        </w:tc>
        <w:tc>
          <w:p>
            <w:pPr>
              <w:pStyle w:val="Compact"/>
              <w:jc w:val="left"/>
            </w:pPr>
            <w:r>
              <w:t xml:space="preserve">Empty glass slide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older-contents"/>
      <w:r>
        <w:t xml:space="preserve">4. FOLDER CONTENTS</w:t>
      </w:r>
      <w:bookmarkEnd w:id="27"/>
    </w:p>
    <w:p>
      <w:pPr>
        <w:pStyle w:val="SourceCode"/>
      </w:pPr>
      <w:r>
        <w:rPr>
          <w:rStyle w:val="VerbatimChar"/>
        </w:rPr>
        <w:t xml:space="preserve">NAM_Raman_Archive/</w:t>
      </w:r>
      <w:r>
        <w:br/>
      </w:r>
      <w:r>
        <w:rPr>
          <w:rStyle w:val="VerbatimChar"/>
        </w:rPr>
        <w:t xml:space="preserve">├── 00_READ_ME_FIRST.md          this file</w:t>
      </w:r>
      <w:r>
        <w:br/>
      </w:r>
      <w:r>
        <w:rPr>
          <w:rStyle w:val="VerbatimChar"/>
        </w:rPr>
        <w:t xml:space="preserve">├── FILE_INDEX.csv               every file with its conditions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01_Raman_Data/               227 spectra</w:t>
      </w:r>
      <w:r>
        <w:br/>
      </w:r>
      <w:r>
        <w:rPr>
          <w:rStyle w:val="VerbatimChar"/>
        </w:rPr>
        <w:t xml:space="preserve">│   ├── A_Optimisation_Grid_April/     98</w:t>
      </w:r>
      <w:r>
        <w:br/>
      </w:r>
      <w:r>
        <w:rPr>
          <w:rStyle w:val="VerbatimChar"/>
        </w:rPr>
        <w:t xml:space="preserve">│   ├── B_Replicates_May/             104</w:t>
      </w:r>
      <w:r>
        <w:br/>
      </w:r>
      <w:r>
        <w:rPr>
          <w:rStyle w:val="VerbatimChar"/>
        </w:rPr>
        <w:t xml:space="preserve">│   ├── C_Photostability_May/          10</w:t>
      </w:r>
      <w:r>
        <w:br/>
      </w:r>
      <w:r>
        <w:rPr>
          <w:rStyle w:val="VerbatimChar"/>
        </w:rPr>
        <w:t xml:space="preserve">│   ├── D_Glass_Blanks/                 5</w:t>
      </w:r>
      <w:r>
        <w:br/>
      </w:r>
      <w:r>
        <w:rPr>
          <w:rStyle w:val="VerbatimChar"/>
        </w:rPr>
        <w:t xml:space="preserve">│   └── E_EXCLUDED_Laser_Damage/       10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02_DFT_Calculation/          Gaussian 16 log, input, geometry, all 111 modes</w:t>
      </w:r>
      <w:r>
        <w:br/>
      </w:r>
      <w:r>
        <w:rPr>
          <w:rStyle w:val="VerbatimChar"/>
        </w:rPr>
        <w:t xml:space="preserve">├── 03_Processed_Results/        reference spectrum, peak list, comparison table</w:t>
      </w:r>
      <w:r>
        <w:br/>
      </w:r>
      <w:r>
        <w:rPr>
          <w:rStyle w:val="VerbatimChar"/>
        </w:rPr>
        <w:t xml:space="preserve">├── 04_Figures/                  publication figures + diagnostics</w:t>
      </w:r>
      <w:r>
        <w:br/>
      </w:r>
      <w:r>
        <w:rPr>
          <w:rStyle w:val="VerbatimChar"/>
        </w:rPr>
        <w:t xml:space="preserve">└── 05_Manuscript/               LaTeX, Word, PDF, supplementary</w:t>
      </w:r>
    </w:p>
    <w:p>
      <w:pPr>
        <w:pStyle w:val="Heading3"/>
      </w:pPr>
      <w:bookmarkStart w:id="28" w:name="raman_data-what-each-folder-is-for"/>
      <w:r>
        <w:t xml:space="preserve">01_Raman_Data — what each folder is for</w:t>
      </w:r>
      <w:bookmarkEnd w:id="28"/>
    </w:p>
    <w:p>
      <w:pPr>
        <w:pStyle w:val="FirstParagraph"/>
      </w:pPr>
      <w:r>
        <w:rPr>
          <w:b/>
        </w:rPr>
        <w:t xml:space="preserve">A_Optimisation_Grid_April</w:t>
      </w:r>
      <w:r>
        <w:t xml:space="preserve"> </w:t>
      </w:r>
      <w:r>
        <w:t xml:space="preserve">(98 spectra, 20–24 April)</w:t>
      </w:r>
      <w:r>
        <w:t xml:space="preserve"> </w:t>
      </w:r>
      <w:r>
        <w:t xml:space="preserve">Systematic grid: 5 integration times (5, 10, 15, 20, 25 s) × 16 power levels</w:t>
      </w:r>
      <w:r>
        <w:t xml:space="preserve"> </w:t>
      </w:r>
      <w:r>
        <w:t xml:space="preserve">(5–80% in 5% steps). Produces the acquisition-optimisation figure. One spectrum</w:t>
      </w:r>
      <w:r>
        <w:t xml:space="preserve"> </w:t>
      </w:r>
      <w:r>
        <w:t xml:space="preserve">per condition — these are</w:t>
      </w:r>
      <w:r>
        <w:t xml:space="preserve"> </w:t>
      </w:r>
      <w:r>
        <w:rPr>
          <w:i/>
        </w:rPr>
        <w:t xml:space="preserve">different conditions</w:t>
      </w:r>
      <w:r>
        <w:t xml:space="preserve">, not replicates.</w:t>
      </w:r>
    </w:p>
    <w:p>
      <w:pPr>
        <w:pStyle w:val="BodyText"/>
      </w:pPr>
      <w:r>
        <w:rPr>
          <w:b/>
        </w:rPr>
        <w:t xml:space="preserve">B_Replicates_May</w:t>
      </w:r>
      <w:r>
        <w:t xml:space="preserve"> </w:t>
      </w:r>
      <w:r>
        <w:t xml:space="preserve">(104 spectra, 29–30 May)</w:t>
      </w:r>
      <w:r>
        <w:t xml:space="preserve"> </w:t>
      </w:r>
      <w:r>
        <w:t xml:space="preserve">Nine replicate sets, each at a single fixed condition with a fresh spot per</w:t>
      </w:r>
      <w:r>
        <w:t xml:space="preserve"> </w:t>
      </w:r>
      <w:r>
        <w:t xml:space="preserve">measurement. This is the dataset the reference spectrum is built from. Set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was found misfiled inside a folder named</w:t>
      </w:r>
      <w:r>
        <w:t xml:space="preserve"> </w:t>
      </w:r>
      <w:r>
        <w:t xml:space="preserve">“</w:t>
      </w:r>
      <w:r>
        <w:t xml:space="preserve">glass slide empty</w:t>
      </w:r>
      <w:r>
        <w:t xml:space="preserve">”</w:t>
      </w:r>
      <w:r>
        <w:t xml:space="preserve"> </w:t>
      </w:r>
      <w:r>
        <w:t xml:space="preserve">— those files are</w:t>
      </w:r>
      <w:r>
        <w:t xml:space="preserve"> </w:t>
      </w:r>
      <w:r>
        <w:t xml:space="preserve">NAM powder, not glass.</w:t>
      </w:r>
    </w:p>
    <w:p>
      <w:pPr>
        <w:pStyle w:val="BodyText"/>
      </w:pPr>
      <w:r>
        <w:rPr>
          <w:b/>
        </w:rPr>
        <w:t xml:space="preserve">C_Photostability_May</w:t>
      </w:r>
      <w:r>
        <w:t xml:space="preserve"> </w:t>
      </w:r>
      <w:r>
        <w:t xml:space="preserve">(10 spectra)</w:t>
      </w:r>
      <w:r>
        <w:t xml:space="preserve"> </w:t>
      </w:r>
      <w:r>
        <w:t xml:space="preserve">Ten consecutive scans at 90% / 30 s</w:t>
      </w:r>
      <w:r>
        <w:t xml:space="preserve"> </w:t>
      </w:r>
      <w:r>
        <w:rPr>
          <w:b/>
        </w:rPr>
        <w:t xml:space="preserve">without moving the stage</w:t>
      </w:r>
      <w:r>
        <w:t xml:space="preserve">. Demonstrates</w:t>
      </w:r>
      <w:r>
        <w:t xml:space="preserve"> </w:t>
      </w:r>
      <w:r>
        <w:t xml:space="preserve">sample stability under prolonged illumination at that condition.</w:t>
      </w:r>
    </w:p>
    <w:p>
      <w:pPr>
        <w:pStyle w:val="BodyText"/>
      </w:pPr>
      <w:r>
        <w:rPr>
          <w:b/>
        </w:rPr>
        <w:t xml:space="preserve">D_Glass_Blanks</w:t>
      </w:r>
      <w:r>
        <w:t xml:space="preserve"> </w:t>
      </w:r>
      <w:r>
        <w:t xml:space="preserve">(5 spectra)</w:t>
      </w:r>
      <w:r>
        <w:t xml:space="preserve"> </w:t>
      </w:r>
      <w:r>
        <w:t xml:space="preserve">Genuine empty-slide blanks.</w:t>
      </w:r>
      <w:r>
        <w:t xml:space="preserve"> </w:t>
      </w:r>
      <w:r>
        <w:rPr>
          <w:b/>
        </w:rPr>
        <w:t xml:space="preserve">Caution:</w:t>
      </w:r>
      <w:r>
        <w:t xml:space="preserve"> </w:t>
      </w:r>
      <w:r>
        <w:t xml:space="preserve">recorded at 5% / 5 s / 1 accumulation</w:t>
      </w:r>
      <w:r>
        <w:t xml:space="preserve"> </w:t>
      </w:r>
      <w:r>
        <w:t xml:space="preserve">only, which does not match the sample measurement conditions. Blanks at</w:t>
      </w:r>
      <w:r>
        <w:t xml:space="preserve"> </w:t>
      </w:r>
      <w:r>
        <w:t xml:space="preserve">70% / 25 s / 5 accumulations are still needed for the substrate control.</w:t>
      </w:r>
    </w:p>
    <w:p>
      <w:pPr>
        <w:pStyle w:val="BodyText"/>
      </w:pPr>
      <w:r>
        <w:rPr>
          <w:b/>
        </w:rPr>
        <w:t xml:space="preserve">E_EXCLUDED_Laser_Damage</w:t>
      </w:r>
      <w:r>
        <w:t xml:space="preserve"> </w:t>
      </w:r>
      <w:r>
        <w:t xml:space="preserve">(10 spectra) —</w:t>
      </w:r>
      <w:r>
        <w:t xml:space="preserve"> </w:t>
      </w:r>
      <w:r>
        <w:rPr>
          <w:b/>
        </w:rPr>
        <w:t xml:space="preserve">DO NOT USE AS NAM SPECTRA</w:t>
      </w:r>
      <w:r>
        <w:t xml:space="preserve"> </w:t>
      </w:r>
      <w:r>
        <w:t xml:space="preserve">90% power with 60 s integration destroys the sample. Correlation with the</w:t>
      </w:r>
      <w:r>
        <w:t xml:space="preserve"> </w:t>
      </w:r>
      <w:r>
        <w:t xml:space="preserve">reference spectrum falls to r = 0.01–0.40, and the 930 cm⁻¹ band decays</w:t>
      </w:r>
      <w:r>
        <w:t xml:space="preserve"> </w:t>
      </w:r>
      <w:r>
        <w:t xml:space="preserve">0.44 → 0.23 across five consecutive same-spot scans. Retained deliberately: they</w:t>
      </w:r>
      <w:r>
        <w:t xml:space="preserve"> </w:t>
      </w:r>
      <w:r>
        <w:t xml:space="preserve">establish the damage threshold.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mage-threshold"/>
      <w:r>
        <w:t xml:space="preserve">5. DAMAGE THRESHOLD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≤80% power, ≤25 s</w:t>
            </w:r>
          </w:p>
        </w:tc>
        <w:tc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 power, 30 s</w:t>
            </w:r>
          </w:p>
        </w:tc>
        <w:tc>
          <w:p>
            <w:pPr>
              <w:pStyle w:val="Compact"/>
              <w:jc w:val="left"/>
            </w:pPr>
            <w:r>
              <w:t xml:space="preserve">safe (r = 0.977)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 power, 60 s</w:t>
            </w:r>
          </w:p>
        </w:tc>
        <w:tc>
          <w:p>
            <w:pPr>
              <w:pStyle w:val="Compact"/>
              <w:jc w:val="left"/>
            </w:pPr>
            <w:r>
              <w:t xml:space="preserve">safe (r = 0.970)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power, 30 s</w:t>
            </w:r>
          </w:p>
        </w:tc>
        <w:tc>
          <w:p>
            <w:pPr>
              <w:pStyle w:val="Compact"/>
              <w:jc w:val="left"/>
            </w:pPr>
            <w:r>
              <w:t xml:space="preserve">safe (r = 0.948)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90% power, 60 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SAMPLE DESTROYED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ft-calculation"/>
      <w:r>
        <w:t xml:space="preserve">6. DFT CALCULATION</w:t>
      </w:r>
      <w:bookmarkEnd w:id="3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Software</w:t>
            </w:r>
          </w:p>
        </w:tc>
        <w:tc>
          <w:p>
            <w:pPr>
              <w:pStyle w:val="Compact"/>
              <w:jc w:val="left"/>
            </w:pPr>
            <w:r>
              <w:t xml:space="preserve">Gaussian 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B3LYP with Grimme D3 dispersion, Becke–Johnson damping (D3BJ)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Basis set</w:t>
            </w:r>
          </w:p>
        </w:tc>
        <w:tc>
          <w:p>
            <w:pPr>
              <w:pStyle w:val="Compact"/>
              <w:jc w:val="left"/>
            </w:pPr>
            <w:r>
              <w:t xml:space="preserve">6-311++G(d,p)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opt=(calcfc,tight) freq=raman b3lyp/6-311++g(d,p) empiricaldispersion=gd3bj geom=connectivity int=ultrafine scf=(tight,xqc)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Gas phase, isolated molecule (no solvation model)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Starting geometry</w:t>
            </w:r>
          </w:p>
        </w:tc>
        <w:tc>
          <w:p>
            <w:pPr>
              <w:pStyle w:val="Compact"/>
              <w:jc w:val="left"/>
            </w:pPr>
            <w:r>
              <w:t xml:space="preserve">β anomer, PubChem CID 5462244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Atoms</w:t>
            </w:r>
          </w:p>
        </w:tc>
        <w:tc>
          <w:p>
            <w:pPr>
              <w:pStyle w:val="Compact"/>
              <w:jc w:val="left"/>
            </w:pPr>
            <w:r>
              <w:t xml:space="preserve">39 (C₁₁H₁₉NO₈)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Normal modes</w:t>
            </w:r>
          </w:p>
        </w:tc>
        <w:tc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Imaginary frequencies</w:t>
            </w:r>
          </w:p>
        </w:tc>
        <w:tc>
          <w:p>
            <w:pPr>
              <w:pStyle w:val="Compact"/>
              <w:jc w:val="left"/>
            </w:pPr>
            <w:r>
              <w:t xml:space="preserve">0 — true minimum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Termination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Frequency scaling</w:t>
            </w:r>
          </w:p>
        </w:tc>
        <w:tc>
          <w:p>
            <w:pPr>
              <w:pStyle w:val="Compact"/>
              <w:jc w:val="left"/>
            </w:pPr>
            <w:r>
              <w:t xml:space="preserve">0.980 below 1800 cm⁻¹, 0.967 above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rocessing-pipeline"/>
      <w:r>
        <w:t xml:space="preserve">7. PROCESSING PIPELINE</w:t>
      </w:r>
      <w:bookmarkEnd w:id="31"/>
    </w:p>
    <w:p>
      <w:pPr>
        <w:pStyle w:val="FirstParagraph"/>
      </w:pPr>
      <w:r>
        <w:t xml:space="preserve">Applied identically to every spectrum:</w:t>
      </w:r>
    </w:p>
    <w:p>
      <w:pPr>
        <w:numPr>
          <w:ilvl w:val="0"/>
          <w:numId w:val="1001"/>
        </w:numPr>
        <w:pStyle w:val="Compact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Raman Shift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Dark Subtracted #1</w:t>
      </w:r>
    </w:p>
    <w:p>
      <w:pPr>
        <w:numPr>
          <w:ilvl w:val="0"/>
          <w:numId w:val="1001"/>
        </w:numPr>
        <w:pStyle w:val="Compact"/>
      </w:pPr>
      <w:r>
        <w:t xml:space="preserve">Interpolate to a uniform 1 cm⁻¹ grid, 400–1800 cm⁻¹</w:t>
      </w:r>
    </w:p>
    <w:p>
      <w:pPr>
        <w:numPr>
          <w:ilvl w:val="0"/>
          <w:numId w:val="1001"/>
        </w:numPr>
        <w:pStyle w:val="Compact"/>
      </w:pPr>
      <w:r>
        <w:t xml:space="preserve">ALS baseline correction (λ = 1×10⁵, p = 0.001, 10 iterations)</w:t>
      </w:r>
    </w:p>
    <w:p>
      <w:pPr>
        <w:numPr>
          <w:ilvl w:val="0"/>
          <w:numId w:val="1001"/>
        </w:numPr>
        <w:pStyle w:val="Compact"/>
      </w:pPr>
      <w:r>
        <w:t xml:space="preserve">Savitzky–Golay smoothing (window 11, polynomial order 3)</w:t>
      </w:r>
    </w:p>
    <w:p>
      <w:pPr>
        <w:numPr>
          <w:ilvl w:val="0"/>
          <w:numId w:val="1001"/>
        </w:numPr>
        <w:pStyle w:val="Compact"/>
      </w:pPr>
      <w:r>
        <w:t xml:space="preserve">Min–max normalisation</w:t>
      </w:r>
    </w:p>
    <w:p>
      <w:pPr>
        <w:numPr>
          <w:ilvl w:val="0"/>
          <w:numId w:val="1001"/>
        </w:numPr>
        <w:pStyle w:val="Compact"/>
      </w:pPr>
      <w:r>
        <w:t xml:space="preserve">Build reference spectrum from replicate sets R2 + R4 (n = 22); average, compute standard deviation</w:t>
      </w:r>
    </w:p>
    <w:p>
      <w:pPr>
        <w:numPr>
          <w:ilvl w:val="0"/>
          <w:numId w:val="1001"/>
        </w:numPr>
        <w:pStyle w:val="Compact"/>
      </w:pPr>
      <w:r>
        <w:t xml:space="preserve">Peak detection, validated against local noise on two independent criteria</w:t>
      </w:r>
    </w:p>
    <w:p>
      <w:pPr>
        <w:numPr>
          <w:ilvl w:val="0"/>
          <w:numId w:val="1001"/>
        </w:numPr>
        <w:pStyle w:val="Compact"/>
      </w:pPr>
      <w:r>
        <w:t xml:space="preserve">Match to calculated modes within ±18 cm⁻¹, preferring highest Raman activity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ey-results"/>
      <w:r>
        <w:t xml:space="preserve">8. KEY RESULTS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Reference spectrum from</w:t>
      </w:r>
      <w:r>
        <w:t xml:space="preserve"> </w:t>
      </w:r>
      <w:r>
        <w:rPr>
          <w:b/>
        </w:rPr>
        <w:t xml:space="preserve">22 independent replicate measurements</w:t>
      </w:r>
      <w:r>
        <w:t xml:space="preserve"> </w:t>
      </w:r>
      <w:r>
        <w:t xml:space="preserve">(sets R2 + R4)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41</w:t>
      </w:r>
      <w:r>
        <w:t xml:space="preserve"> </w:t>
      </w:r>
      <w:r>
        <w:t xml:space="preserve">reproducible bands, 400–1800 cm⁻¹ (32 high confidence, 9 tentative)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30</w:t>
      </w:r>
      <w:r>
        <w:t xml:space="preserve"> </w:t>
      </w:r>
      <w:r>
        <w:t xml:space="preserve">matched to calculated normal modes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MAE 9.3 cm⁻¹ · RMSE 10.3 cm⁻¹ · r = 0.9996</w:t>
      </w:r>
    </w:p>
    <w:p>
      <w:pPr>
        <w:numPr>
          <w:ilvl w:val="0"/>
          <w:numId w:val="1002"/>
        </w:numPr>
        <w:pStyle w:val="Compact"/>
      </w:pPr>
      <w:r>
        <w:t xml:space="preserve">The mode at</w:t>
      </w:r>
      <w:r>
        <w:t xml:space="preserve"> </w:t>
      </w:r>
      <w:r>
        <w:rPr>
          <w:b/>
        </w:rPr>
        <w:t xml:space="preserve">731 cm⁻¹</w:t>
      </w:r>
      <w:r>
        <w:t xml:space="preserve"> </w:t>
      </w:r>
      <w:r>
        <w:t xml:space="preserve">is out-of-plane carboxylic acid O–H deformation</w:t>
      </w:r>
      <w:r>
        <w:t xml:space="preserve"> </w:t>
      </w:r>
      <w:r>
        <w:t xml:space="preserve">(47.9% of displacement), with only</w:t>
      </w:r>
      <w:r>
        <w:t xml:space="preserve"> </w:t>
      </w:r>
      <w:r>
        <w:rPr>
          <w:b/>
        </w:rPr>
        <w:t xml:space="preserve">0.5%</w:t>
      </w:r>
      <w:r>
        <w:t xml:space="preserve"> </w:t>
      </w:r>
      <w:r>
        <w:t xml:space="preserve">pyranose ring character — arguing</w:t>
      </w:r>
      <w:r>
        <w:t xml:space="preserve"> </w:t>
      </w:r>
      <w:r>
        <w:t xml:space="preserve">against a muramic acid origin for the bacterial 730 cm⁻¹ SERS marker band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872 cm⁻¹</w:t>
      </w:r>
      <w:r>
        <w:t xml:space="preserve"> </w:t>
      </w:r>
      <w:r>
        <w:t xml:space="preserve">band is assigned to hydroxymethyl wagging (calculated 873 cm⁻¹)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ill-outstanding"/>
      <w:r>
        <w:t xml:space="preserve">9. STILL OUTSTANDING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Lot number from the bottle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BCCK5768</w:t>
      </w:r>
    </w:p>
    <w:p>
      <w:pPr>
        <w:numPr>
          <w:ilvl w:val="0"/>
          <w:numId w:val="1003"/>
        </w:numPr>
        <w:pStyle w:val="Compact"/>
      </w:pPr>
      <w:r>
        <w:t xml:space="preserve">☐ Power at sample in mW (power meter at objective focal plane)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Spectral resolution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&lt; 3.5 cm⁻¹</w:t>
      </w:r>
      <w:r>
        <w:t xml:space="preserve"> </w:t>
      </w:r>
      <w:r>
        <w:t xml:space="preserve">(manufacturer spec)</w:t>
      </w:r>
    </w:p>
    <w:p>
      <w:pPr>
        <w:numPr>
          <w:ilvl w:val="0"/>
          <w:numId w:val="1003"/>
        </w:numPr>
        <w:pStyle w:val="Compact"/>
      </w:pPr>
      <w:r>
        <w:t xml:space="preserve">☐ Glass blanks at 70% / 25 s / 5 accumulations — 3 spots, 10 minutes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Extend range above 2842 cm⁻¹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not possible</w:t>
      </w:r>
      <w:r>
        <w:t xml:space="preserve">; BWS465-785H is specified to 2800 cm⁻¹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Note: an earlier partial copy exists at</w:t>
      </w:r>
      <w:r>
        <w:rPr>
          <w:i/>
        </w:rPr>
        <w:t xml:space="preserve"> </w:t>
      </w:r>
      <w:r>
        <w:rPr>
          <w:rStyle w:val="VerbatimChar"/>
          <w:i/>
        </w:rPr>
        <w:t xml:space="preserve">mtp/NAM_Raman_Study_2026</w:t>
      </w:r>
      <w:r>
        <w:rPr>
          <w:i/>
        </w:rPr>
        <w:t xml:space="preserve">. It has</w:t>
      </w:r>
      <w:r>
        <w:rPr>
          <w:i/>
        </w:rPr>
        <w:t xml:space="preserve"> </w:t>
      </w:r>
      <w:r>
        <w:rPr>
          <w:i/>
        </w:rPr>
        <w:t xml:space="preserve">filename collisions and is superseded by this archive — safe to delete.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2026-08-10T11:57:03Z</dcterms:created>
  <dcterms:modified xsi:type="dcterms:W3CDTF">2026-08-10T11:57:03Z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