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40.png" ContentType="image/png"/>
  <Override PartName="/word/media/rId34.png" ContentType="image/png"/>
  <Override PartName="/word/media/rId37.png" ContentType="image/png"/>
  <Override PartName="/word/media/rId43.png" ContentType="image/png"/>
  <Override PartName="/word/media/rId46.png" ContentType="image/png"/>
  <Override PartName="/word/media/rId5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Experimental</w:t>
      </w:r>
      <w:r>
        <w:t xml:space="preserve"> </w:t>
      </w:r>
      <w:r>
        <w:t xml:space="preserve">and</w:t>
      </w:r>
      <w:r>
        <w:t xml:space="preserve"> </w:t>
      </w:r>
      <w:r>
        <w:t xml:space="preserve">DFT-Assisted</w:t>
      </w:r>
      <w:r>
        <w:t xml:space="preserve"> </w:t>
      </w:r>
      <w:r>
        <w:t xml:space="preserve">Raman</w:t>
      </w:r>
      <w:r>
        <w:t xml:space="preserve"> </w:t>
      </w:r>
      <w:r>
        <w:t xml:space="preserve">Characterisation</w:t>
      </w:r>
      <w:r>
        <w:t xml:space="preserve"> </w:t>
      </w:r>
      <w:r>
        <w:t xml:space="preserve">of</w:t>
      </w:r>
      <w:r>
        <w:t xml:space="preserve"> </w:t>
      </w:r>
      <w:r>
        <w:t xml:space="preserve">Isolated</w:t>
      </w:r>
      <w:r>
        <w:t xml:space="preserve"> </w:t>
      </w:r>
      <w:r>
        <w:t xml:space="preserve">N-Acetylmuramic</w:t>
      </w:r>
      <w:r>
        <w:t xml:space="preserve"> </w:t>
      </w:r>
      <w:r>
        <w:t xml:space="preserve">Acid:</w:t>
      </w:r>
      <w:r>
        <w:t xml:space="preserve"> </w:t>
      </w:r>
      <w:r>
        <w:t xml:space="preserve">Vibrational</w:t>
      </w:r>
      <w:r>
        <w:t xml:space="preserve"> </w:t>
      </w:r>
      <w:r>
        <w:t xml:space="preserve">Assignment,</w:t>
      </w:r>
      <w:r>
        <w:t xml:space="preserve"> </w:t>
      </w:r>
      <w:r>
        <w:t xml:space="preserve">Photostability</w:t>
      </w:r>
      <w:r>
        <w:t xml:space="preserve"> </w:t>
      </w:r>
      <w:r>
        <w:t xml:space="preserve">Limits,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Reference</w:t>
      </w:r>
      <w:r>
        <w:t xml:space="preserve"> </w:t>
      </w:r>
      <w:r>
        <w:t xml:space="preserve">Spectrum</w:t>
      </w:r>
      <w:r>
        <w:t xml:space="preserve"> </w:t>
      </w:r>
      <w:r>
        <w:t xml:space="preserve">for</w:t>
      </w:r>
      <w:r>
        <w:t xml:space="preserve"> </w:t>
      </w:r>
      <w:r>
        <w:t xml:space="preserve">Bacterial</w:t>
      </w:r>
      <w:r>
        <w:t xml:space="preserve"> </w:t>
      </w:r>
      <w:r>
        <w:t xml:space="preserve">Cell-Wall</w:t>
      </w:r>
      <w:r>
        <w:t xml:space="preserve"> </w:t>
      </w:r>
      <w:r>
        <w:t xml:space="preserve">Analysis</w:t>
      </w:r>
    </w:p>
    <w:p>
      <w:pPr>
        <w:pStyle w:val="Author"/>
      </w:pPr>
      <w:r>
        <w:t xml:space="preserve">Sukesh</w:t>
      </w:r>
      <w:r>
        <w:t xml:space="preserve"> </w:t>
      </w:r>
      <w:r>
        <w:t xml:space="preserve">P</w:t>
      </w:r>
      <w:r>
        <w:rPr>
          <w:rStyle w:val="FootnoteReference"/>
        </w:rPr>
        <w:footnoteReference w:id="20"/>
      </w:r>
      <w:r>
        <w:br/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Electrical</w:t>
      </w:r>
      <w:r>
        <w:t xml:space="preserve"> </w:t>
      </w:r>
      <w:r>
        <w:t xml:space="preserve">Engineering,</w:t>
      </w:r>
      <w:r>
        <w:t xml:space="preserve"> </w:t>
      </w:r>
      <w:r>
        <w:t xml:space="preserve">Indian</w:t>
      </w:r>
      <w:r>
        <w:t xml:space="preserve"> </w:t>
      </w:r>
      <w:r>
        <w:t xml:space="preserve">Institute</w:t>
      </w:r>
      <w:r>
        <w:t xml:space="preserve"> </w:t>
      </w:r>
      <w:r>
        <w:t xml:space="preserve">of</w:t>
      </w:r>
      <w:r>
        <w:t xml:space="preserve"> </w:t>
      </w:r>
      <w:r>
        <w:t xml:space="preserve">Technology</w:t>
      </w:r>
      <w:r>
        <w:t xml:space="preserve"> </w:t>
      </w:r>
      <w:r>
        <w:t xml:space="preserve">Jodhpur</w:t>
      </w:r>
      <w:r>
        <w:br/>
      </w:r>
      <w:r>
        <w:t xml:space="preserve">Jodhpur</w:t>
      </w:r>
      <w:r>
        <w:t xml:space="preserve"> </w:t>
      </w:r>
      <w:r>
        <w:t xml:space="preserve">342030,</w:t>
      </w:r>
      <w:r>
        <w:t xml:space="preserve"> </w:t>
      </w:r>
      <w:r>
        <w:t xml:space="preserve">Rajasthan,</w:t>
      </w:r>
      <w:r>
        <w:t xml:space="preserve"> </w:t>
      </w:r>
      <w:r>
        <w:t xml:space="preserve">India</w:t>
      </w:r>
    </w:p>
    <w:p>
      <w:pPr>
        <w:pStyle w:val="Abstract"/>
      </w:pPr>
      <w:r>
        <w:t xml:space="preserve">N-acetylmuramic</w:t>
      </w:r>
      <w:r>
        <w:t xml:space="preserve"> </w:t>
      </w:r>
      <w:r>
        <w:t xml:space="preserve">acid</w:t>
      </w:r>
      <w:r>
        <w:t xml:space="preserve"> </w:t>
      </w:r>
      <w:r>
        <w:t xml:space="preserve">(MurNAc,</w:t>
      </w:r>
      <w:r>
        <w:t xml:space="preserve"> </w:t>
      </w:r>
      <w:r>
        <w:t xml:space="preserve">NAM)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defining</w:t>
      </w:r>
      <w:r>
        <w:t xml:space="preserve"> </w:t>
      </w:r>
      <w:r>
        <w:t xml:space="preserve">amino</w:t>
      </w:r>
      <w:r>
        <w:t xml:space="preserve"> </w:t>
      </w:r>
      <w:r>
        <w:t xml:space="preserve">sugar</w:t>
      </w:r>
      <w:r>
        <w:t xml:space="preserve"> </w:t>
      </w:r>
      <w:r>
        <w:t xml:space="preserve">of</w:t>
      </w:r>
      <w:r>
        <w:t xml:space="preserve"> </w:t>
      </w:r>
      <w:r>
        <w:t xml:space="preserve">bacterial</w:t>
      </w:r>
      <w:r>
        <w:t xml:space="preserve"> </w:t>
      </w:r>
      <w:r>
        <w:t xml:space="preserve">peptidoglycan</w:t>
      </w:r>
      <w:r>
        <w:t xml:space="preserve"> </w:t>
      </w:r>
      <w:r>
        <w:t xml:space="preserve">and</w:t>
      </w:r>
      <w:r>
        <w:t xml:space="preserve"> </w:t>
      </w:r>
      <w:r>
        <w:t xml:space="preserve">underlies</w:t>
      </w:r>
      <w:r>
        <w:t xml:space="preserve"> </w:t>
      </w:r>
      <w:r>
        <w:t xml:space="preserve">many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vibrational</w:t>
      </w:r>
      <w:r>
        <w:t xml:space="preserve"> </w:t>
      </w:r>
      <w:r>
        <w:t xml:space="preserve">features</w:t>
      </w:r>
      <w:r>
        <w:t xml:space="preserve"> </w:t>
      </w:r>
      <w:r>
        <w:t xml:space="preserve">exploited</w:t>
      </w:r>
      <w:r>
        <w:t xml:space="preserve"> </w:t>
      </w:r>
      <w:r>
        <w:t xml:space="preserve">in</w:t>
      </w:r>
      <w:r>
        <w:t xml:space="preserve"> </w:t>
      </w:r>
      <w:r>
        <w:t xml:space="preserve">Raman-based</w:t>
      </w:r>
      <w:r>
        <w:t xml:space="preserve"> </w:t>
      </w:r>
      <w:r>
        <w:t xml:space="preserve">microbial</w:t>
      </w:r>
      <w:r>
        <w:t xml:space="preserve"> </w:t>
      </w:r>
      <w:r>
        <w:t xml:space="preserve">identification.</w:t>
      </w:r>
      <w:r>
        <w:t xml:space="preserve"> </w:t>
      </w:r>
      <w:r>
        <w:t xml:space="preserve">Despite</w:t>
      </w:r>
      <w:r>
        <w:t xml:space="preserve"> </w:t>
      </w:r>
      <w:r>
        <w:t xml:space="preserve">this,</w:t>
      </w:r>
      <w:r>
        <w:t xml:space="preserve"> </w:t>
      </w:r>
      <w:r>
        <w:t xml:space="preserve">an</w:t>
      </w:r>
      <w:r>
        <w:t xml:space="preserve"> </w:t>
      </w:r>
      <w:r>
        <w:t xml:space="preserve">experimentally</w:t>
      </w:r>
      <w:r>
        <w:t xml:space="preserve"> </w:t>
      </w:r>
      <w:r>
        <w:t xml:space="preserve">benchmarked</w:t>
      </w:r>
      <w:r>
        <w:t xml:space="preserve"> </w:t>
      </w:r>
      <w:r>
        <w:t xml:space="preserve">vibrational</w:t>
      </w:r>
      <w:r>
        <w:t xml:space="preserve"> </w:t>
      </w:r>
      <w:r>
        <w:t xml:space="preserve">assignment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isolated</w:t>
      </w:r>
      <w:r>
        <w:t xml:space="preserve"> </w:t>
      </w:r>
      <w:r>
        <w:t xml:space="preserve">molecule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reported:</w:t>
      </w:r>
      <w:r>
        <w:t xml:space="preserve"> </w:t>
      </w:r>
      <w:r>
        <w:t xml:space="preserve">existing</w:t>
      </w:r>
      <w:r>
        <w:t xml:space="preserve"> </w:t>
      </w:r>
      <w:r>
        <w:t xml:space="preserve">assignments</w:t>
      </w:r>
      <w:r>
        <w:t xml:space="preserve"> </w:t>
      </w:r>
      <w:r>
        <w:t xml:space="preserve">derive</w:t>
      </w:r>
      <w:r>
        <w:t xml:space="preserve"> </w:t>
      </w:r>
      <w:r>
        <w:t xml:space="preserve">either</w:t>
      </w:r>
      <w:r>
        <w:t xml:space="preserve"> </w:t>
      </w:r>
      <w:r>
        <w:t xml:space="preserve">from</w:t>
      </w:r>
      <w:r>
        <w:t xml:space="preserve"> </w:t>
      </w:r>
      <w:r>
        <w:t xml:space="preserve">empirical</w:t>
      </w:r>
      <w:r>
        <w:t xml:space="preserve"> </w:t>
      </w:r>
      <w:r>
        <w:t xml:space="preserve">force-field</w:t>
      </w:r>
      <w:r>
        <w:t xml:space="preserve"> </w:t>
      </w:r>
      <w:r>
        <w:t xml:space="preserve">treatments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crystalline</w:t>
      </w:r>
      <w:r>
        <w:t xml:space="preserve"> </w:t>
      </w:r>
      <w:r>
        <w:t xml:space="preserve">monohydrate</w:t>
      </w:r>
      <w:r>
        <w:t xml:space="preserve"> </w:t>
      </w:r>
      <w:r>
        <w:t xml:space="preserve">or</w:t>
      </w:r>
      <w:r>
        <w:t xml:space="preserve"> </w:t>
      </w:r>
      <w:r>
        <w:t xml:space="preserve">from</w:t>
      </w:r>
      <w:r>
        <w:t xml:space="preserve"> </w:t>
      </w:r>
      <w:r>
        <w:t xml:space="preserve">density</w:t>
      </w:r>
      <w:r>
        <w:t xml:space="preserve"> </w:t>
      </w:r>
      <w:r>
        <w:t xml:space="preserve">functional</w:t>
      </w:r>
      <w:r>
        <w:t xml:space="preserve"> </w:t>
      </w:r>
      <w:r>
        <w:t xml:space="preserve">theory</w:t>
      </w:r>
      <w:r>
        <w:t xml:space="preserve"> </w:t>
      </w:r>
      <w:r>
        <w:t xml:space="preserve">(DFT)</w:t>
      </w:r>
      <w:r>
        <w:t xml:space="preserve"> </w:t>
      </w:r>
      <w:r>
        <w:t xml:space="preserve">calculations</w:t>
      </w:r>
      <w:r>
        <w:t xml:space="preserve"> </w:t>
      </w:r>
      <w:r>
        <w:t xml:space="preserve">validated</w:t>
      </w:r>
      <w:r>
        <w:t xml:space="preserve"> </w:t>
      </w:r>
      <w:r>
        <w:t xml:space="preserve">only</w:t>
      </w:r>
      <w:r>
        <w:t xml:space="preserve"> </w:t>
      </w:r>
      <w:r>
        <w:t xml:space="preserve">indirectly</w:t>
      </w:r>
      <w:r>
        <w:t xml:space="preserve"> </w:t>
      </w:r>
      <w:r>
        <w:t xml:space="preserve">against</w:t>
      </w:r>
      <w:r>
        <w:t xml:space="preserve"> </w:t>
      </w:r>
      <w:r>
        <w:t xml:space="preserve">whole-cell</w:t>
      </w:r>
      <w:r>
        <w:t xml:space="preserve"> </w:t>
      </w:r>
      <w:r>
        <w:t xml:space="preserve">bacterial</w:t>
      </w:r>
      <w:r>
        <w:t xml:space="preserve"> </w:t>
      </w:r>
      <w:r>
        <w:t xml:space="preserve">spectra.</w:t>
      </w:r>
      <w:r>
        <w:t xml:space="preserve"> </w:t>
      </w:r>
      <w:r>
        <w:t xml:space="preserve">Here</w:t>
      </w:r>
      <w:r>
        <w:t xml:space="preserve"> </w:t>
      </w:r>
      <w:r>
        <w:t xml:space="preserve">we</w:t>
      </w:r>
      <w:r>
        <w:t xml:space="preserve"> </w:t>
      </w:r>
      <w:r>
        <w:t xml:space="preserve">report</w:t>
      </w:r>
      <w:r>
        <w:t xml:space="preserve"> </w:t>
      </w:r>
      <w:r>
        <w:t xml:space="preserve">a</w:t>
      </w:r>
      <w:r>
        <w:t xml:space="preserve"> </w:t>
      </w:r>
      <w:r>
        <w:t xml:space="preserve">reference</w:t>
      </w:r>
      <w:r>
        <w:t xml:space="preserve"> </w:t>
      </w:r>
      <w:r>
        <w:t xml:space="preserve">Raman</w:t>
      </w:r>
      <w:r>
        <w:t xml:space="preserve"> </w:t>
      </w:r>
      <w:r>
        <w:t xml:space="preserve">spectrum</w:t>
      </w:r>
      <w:r>
        <w:t xml:space="preserve"> </w:t>
      </w:r>
      <w:r>
        <w:t xml:space="preserve">of</w:t>
      </w:r>
      <w:r>
        <w:t xml:space="preserve"> </w:t>
      </w:r>
      <w:r>
        <w:t xml:space="preserve">isolated</w:t>
      </w:r>
      <w:r>
        <w:t xml:space="preserve"> </w:t>
      </w:r>
      <w:r>
        <w:t xml:space="preserve">N-acetylmuramic</w:t>
      </w:r>
      <w:r>
        <w:t xml:space="preserve"> </w:t>
      </w:r>
      <w:r>
        <w:t xml:space="preserve">acid</w:t>
      </w:r>
      <w:r>
        <w:t xml:space="preserve"> </w:t>
      </w:r>
      <w:r>
        <w:t xml:space="preserve">powder,</w:t>
      </w:r>
      <w:r>
        <w:t xml:space="preserve"> </w:t>
      </w:r>
      <w:r>
        <w:t xml:space="preserve">constructed</w:t>
      </w:r>
      <w:r>
        <w:t xml:space="preserve"> </w:t>
      </w:r>
      <w:r>
        <w:t xml:space="preserve">from</w:t>
      </w:r>
      <w:r>
        <w:t xml:space="preserve"> </w:t>
      </w:r>
      <w:r>
        <w:t xml:space="preserve">22</w:t>
      </w:r>
      <w:r>
        <w:t xml:space="preserve"> </w:t>
      </w:r>
      <w:r>
        <w:t xml:space="preserve">independent</w:t>
      </w:r>
      <w:r>
        <w:t xml:space="preserve"> </w:t>
      </w:r>
      <w:r>
        <w:t xml:space="preserve">measurements</w:t>
      </w:r>
      <w:r>
        <w:t xml:space="preserve"> </w:t>
      </w:r>
      <w:r>
        <w:t xml:space="preserve">on</w:t>
      </w:r>
      <w:r>
        <w:t xml:space="preserve"> </w:t>
      </w:r>
      <w:r>
        <w:t xml:space="preserve">fresh</w:t>
      </w:r>
      <w:r>
        <w:t xml:space="preserve"> </w:t>
      </w:r>
      <w:r>
        <w:t xml:space="preserve">sample</w:t>
      </w:r>
      <w:r>
        <w:t xml:space="preserve"> </w:t>
      </w:r>
      <w:r>
        <w:t xml:space="preserve">at</w:t>
      </w:r>
      <w:r>
        <w:t xml:space="preserve"> </w:t>
      </w:r>
      <w:r>
        <w:t xml:space="preserve">785 nm,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harmonic</w:t>
      </w:r>
      <w:r>
        <w:t xml:space="preserve"> </w:t>
      </w:r>
      <w:r>
        <w:t xml:space="preserve">Raman</w:t>
      </w:r>
      <w:r>
        <w:t xml:space="preserve"> </w:t>
      </w:r>
      <w:r>
        <w:t xml:space="preserve">frequencies</w:t>
      </w:r>
      <w:r>
        <w:t xml:space="preserve"> </w:t>
      </w:r>
      <w:r>
        <w:t xml:space="preserve">computed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B3LYP-D3BJ/6-311++G(d,p)</w:t>
      </w:r>
      <w:r>
        <w:t xml:space="preserve"> </w:t>
      </w:r>
      <w:r>
        <w:t xml:space="preserve">level.</w:t>
      </w:r>
      <w:r>
        <w:t xml:space="preserve"> </w:t>
      </w:r>
      <w:r>
        <w:t xml:space="preserve">Forty-one</w:t>
      </w:r>
      <w:r>
        <w:t xml:space="preserve"> </w:t>
      </w:r>
      <w:r>
        <w:t xml:space="preserve">reproducible</w:t>
      </w:r>
      <w:r>
        <w:t xml:space="preserve"> </w:t>
      </w:r>
      <w:r>
        <w:t xml:space="preserve">bands</w:t>
      </w:r>
      <w:r>
        <w:t xml:space="preserve"> </w:t>
      </w:r>
      <w:r>
        <w:t xml:space="preserve">were</w:t>
      </w:r>
      <w:r>
        <w:t xml:space="preserve"> </w:t>
      </w:r>
      <w:r>
        <w:t xml:space="preserve">identified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400–1800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fingerprint</w:t>
      </w:r>
      <w:r>
        <w:t xml:space="preserve"> </w:t>
      </w:r>
      <w:r>
        <w:t xml:space="preserve">region,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thirty</w:t>
      </w:r>
      <w:r>
        <w:t xml:space="preserve"> </w:t>
      </w:r>
      <w:r>
        <w:t xml:space="preserve">were</w:t>
      </w:r>
      <w:r>
        <w:t xml:space="preserve"> </w:t>
      </w:r>
      <w:r>
        <w:t xml:space="preserve">matched</w:t>
      </w:r>
      <w:r>
        <w:t xml:space="preserve"> </w:t>
      </w:r>
      <w:r>
        <w:t xml:space="preserve">to</w:t>
      </w:r>
      <w:r>
        <w:t xml:space="preserve"> </w:t>
      </w:r>
      <w:r>
        <w:t xml:space="preserve">calculated</w:t>
      </w:r>
      <w:r>
        <w:t xml:space="preserve"> </w:t>
      </w:r>
      <w:r>
        <w:t xml:space="preserve">normal</w:t>
      </w:r>
      <w:r>
        <w:t xml:space="preserve"> </w:t>
      </w:r>
      <w:r>
        <w:t xml:space="preserve">modes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mean</w:t>
      </w:r>
      <w:r>
        <w:t xml:space="preserve"> </w:t>
      </w:r>
      <w:r>
        <w:t xml:space="preserve">absolute</w:t>
      </w:r>
      <w:r>
        <w:t xml:space="preserve"> </w:t>
      </w:r>
      <w:r>
        <w:t xml:space="preserve">deviation</w:t>
      </w:r>
      <w:r>
        <w:t xml:space="preserve"> </w:t>
      </w:r>
      <w:r>
        <w:t xml:space="preserve">of</w:t>
      </w:r>
      <w:r>
        <w:t xml:space="preserve"> </w:t>
      </w:r>
      <w:r>
        <w:t xml:space="preserve">9.3 cm</w:t>
      </w:r>
      <w:r>
        <w:rPr>
          <w:vertAlign w:val="superscript"/>
        </w:rPr>
        <w:t xml:space="preserve">-1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t xml:space="preserve">root-mean-square</w:t>
      </w:r>
      <w:r>
        <w:t xml:space="preserve"> </w:t>
      </w:r>
      <w:r>
        <w:t xml:space="preserve">deviation</w:t>
      </w:r>
      <w:r>
        <w:t xml:space="preserve"> </w:t>
      </w:r>
      <w:r>
        <w:t xml:space="preserve">of</w:t>
      </w:r>
      <w:r>
        <w:t xml:space="preserve"> </w:t>
      </w:r>
      <w:r>
        <w:t xml:space="preserve">10.3 cm</w:t>
      </w:r>
      <w:r>
        <w:rPr>
          <w:vertAlign w:val="superscript"/>
        </w:rPr>
        <w:t xml:space="preserve">-1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correlation</w:t>
      </w:r>
      <w:r>
        <w:t xml:space="preserve"> </w:t>
      </w:r>
      <w:r>
        <w:t xml:space="preserve">coefficient</w:t>
      </w:r>
      <w:r>
        <w:t xml:space="preserve"> </w:t>
      </w:r>
      <w:r>
        <w:t xml:space="preserve">of</w:t>
      </w:r>
      <w:r>
        <w:t xml:space="preserve"> </w:t>
      </w:r>
      <w:r>
        <w:t xml:space="preserve">0.9996.</w:t>
      </w:r>
      <w:r>
        <w:t xml:space="preserve"> </w:t>
      </w:r>
      <w:r>
        <w:t xml:space="preserve">Acquisition</w:t>
      </w:r>
      <w:r>
        <w:t xml:space="preserve"> </w:t>
      </w:r>
      <w:r>
        <w:t xml:space="preserve">conditions</w:t>
      </w:r>
      <w:r>
        <w:t xml:space="preserve"> </w:t>
      </w:r>
      <w:r>
        <w:t xml:space="preserve">were</w:t>
      </w:r>
      <w:r>
        <w:t xml:space="preserve"> </w:t>
      </w:r>
      <w:r>
        <w:t xml:space="preserve">characterised</w:t>
      </w:r>
      <w:r>
        <w:t xml:space="preserve"> </w:t>
      </w:r>
      <w:r>
        <w:t xml:space="preserve">across</w:t>
      </w:r>
      <w:r>
        <w:t xml:space="preserve"> </w:t>
      </w:r>
      <w:r>
        <w:t xml:space="preserve">227</w:t>
      </w:r>
      <w:r>
        <w:t xml:space="preserve"> </w:t>
      </w:r>
      <w:r>
        <w:t xml:space="preserve">spectra,</w:t>
      </w:r>
      <w:r>
        <w:t xml:space="preserve"> </w:t>
      </w:r>
      <w:r>
        <w:t xml:space="preserve">yielding</w:t>
      </w:r>
      <w:r>
        <w:t xml:space="preserve"> </w:t>
      </w:r>
      <w:r>
        <w:t xml:space="preserve">a</w:t>
      </w:r>
      <w:r>
        <w:t xml:space="preserve"> </w:t>
      </w:r>
      <w:r>
        <w:t xml:space="preserve">laser-damage</w:t>
      </w:r>
      <w:r>
        <w:t xml:space="preserve"> </w:t>
      </w:r>
      <w:r>
        <w:t xml:space="preserve">threshold:</w:t>
      </w:r>
      <w:r>
        <w:t xml:space="preserve"> </w:t>
      </w:r>
      <w:r>
        <w:t xml:space="preserve">the</w:t>
      </w:r>
      <w:r>
        <w:t xml:space="preserve"> </w:t>
      </w:r>
      <w:r>
        <w:t xml:space="preserve">sample</w:t>
      </w:r>
      <w:r>
        <w:t xml:space="preserve"> </w:t>
      </w:r>
      <w:r>
        <w:t xml:space="preserve">is</w:t>
      </w:r>
      <w:r>
        <w:t xml:space="preserve"> </w:t>
      </w:r>
      <w:r>
        <w:t xml:space="preserve">spectrally</w:t>
      </w:r>
      <w:r>
        <w:t xml:space="preserve"> </w:t>
      </w:r>
      <w:r>
        <w:t xml:space="preserve">unchanged</w:t>
      </w:r>
      <w:r>
        <w:t xml:space="preserve"> </w:t>
      </w:r>
      <w:r>
        <w:t xml:space="preserve">over</w:t>
      </w:r>
      <w:r>
        <w:t xml:space="preserve"> </w:t>
      </w:r>
      <w:r>
        <w:t xml:space="preserve">ten</w:t>
      </w:r>
      <w:r>
        <w:t xml:space="preserve"> </w:t>
      </w:r>
      <w:r>
        <w:t xml:space="preserve">consecutive</w:t>
      </w:r>
      <w:r>
        <w:t xml:space="preserve"> </w:t>
      </w:r>
      <w:r>
        <w:t xml:space="preserve">scans</w:t>
      </w:r>
      <w:r>
        <w:t xml:space="preserve"> </w:t>
      </w:r>
      <w:r>
        <w:t xml:space="preserve">at</w:t>
      </w:r>
      <w:r>
        <w:t xml:space="preserve"> </w:t>
      </w:r>
      <w:r>
        <w:t xml:space="preserve">90%</w:t>
      </w:r>
      <w:r>
        <w:t xml:space="preserve"> </w:t>
      </w:r>
      <w:r>
        <w:t xml:space="preserve">laser</w:t>
      </w:r>
      <w:r>
        <w:t xml:space="preserve"> </w:t>
      </w:r>
      <w:r>
        <w:t xml:space="preserve">power</w:t>
      </w:r>
      <w:r>
        <w:t xml:space="preserve"> </w:t>
      </w:r>
      <w:r>
        <w:t xml:space="preserve">and</w:t>
      </w:r>
      <w:r>
        <w:t xml:space="preserve"> </w:t>
      </w:r>
      <w:r>
        <w:t xml:space="preserve">30 s</w:t>
      </w:r>
      <w:r>
        <w:t xml:space="preserve"> </w:t>
      </w:r>
      <w:r>
        <w:t xml:space="preserve">integration,</w:t>
      </w:r>
      <w:r>
        <w:t xml:space="preserve"> </w:t>
      </w:r>
      <w:r>
        <w:t xml:space="preserve">but</w:t>
      </w:r>
      <w:r>
        <w:t xml:space="preserve"> </w:t>
      </w:r>
      <w:r>
        <w:t xml:space="preserve">is</w:t>
      </w:r>
      <w:r>
        <w:t xml:space="preserve"> </w:t>
      </w:r>
      <w:r>
        <w:t xml:space="preserve">destroyed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power</w:t>
      </w:r>
      <w:r>
        <w:t xml:space="preserve"> </w:t>
      </w:r>
      <w:r>
        <w:t xml:space="preserve">with</w:t>
      </w:r>
      <w:r>
        <w:t xml:space="preserve"> </w:t>
      </w:r>
      <w:r>
        <w:t xml:space="preserve">60 s</w:t>
      </w:r>
      <w:r>
        <w:t xml:space="preserve"> </w:t>
      </w:r>
      <w:r>
        <w:t xml:space="preserve">integration.</w:t>
      </w:r>
      <w:r>
        <w:t xml:space="preserve"> </w:t>
      </w:r>
      <w:r>
        <w:t xml:space="preserve">Normal-mode</w:t>
      </w:r>
      <w:r>
        <w:t xml:space="preserve"> </w:t>
      </w:r>
      <w:r>
        <w:t xml:space="preserve">decomposition</w:t>
      </w:r>
      <w:r>
        <w:t xml:space="preserve"> </w:t>
      </w:r>
      <w:r>
        <w:t xml:space="preserve">resolves</w:t>
      </w:r>
      <w:r>
        <w:t xml:space="preserve"> </w:t>
      </w:r>
      <w:r>
        <w:t xml:space="preserve">two</w:t>
      </w:r>
      <w:r>
        <w:t xml:space="preserve"> </w:t>
      </w:r>
      <w:r>
        <w:t xml:space="preserve">assignments</w:t>
      </w:r>
      <w:r>
        <w:t xml:space="preserve"> </w:t>
      </w:r>
      <w:r>
        <w:t xml:space="preserve">that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reached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experimental</w:t>
      </w:r>
      <w:r>
        <w:t xml:space="preserve"> </w:t>
      </w:r>
      <w:r>
        <w:t xml:space="preserve">spectrum</w:t>
      </w:r>
      <w:r>
        <w:t xml:space="preserve"> </w:t>
      </w:r>
      <w:r>
        <w:t xml:space="preserve">alone.</w:t>
      </w:r>
      <w:r>
        <w:t xml:space="preserve"> </w:t>
      </w:r>
      <w:r>
        <w:t xml:space="preserve">The</w:t>
      </w:r>
      <w:r>
        <w:t xml:space="preserve"> </w:t>
      </w:r>
      <w:r>
        <w:t xml:space="preserve">intense</w:t>
      </w:r>
      <w:r>
        <w:t xml:space="preserve"> </w:t>
      </w:r>
      <w:r>
        <w:t xml:space="preserve">872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band</w:t>
      </w:r>
      <w:r>
        <w:t xml:space="preserve"> </w:t>
      </w:r>
      <w:r>
        <w:t xml:space="preserve">arises</w:t>
      </w:r>
      <w:r>
        <w:t xml:space="preserve"> </w:t>
      </w:r>
      <w:r>
        <w:t xml:space="preserve">from</w:t>
      </w:r>
      <w:r>
        <w:t xml:space="preserve"> </w:t>
      </w:r>
      <w:r>
        <w:t xml:space="preserve">hydroxymethyl</w:t>
      </w:r>
      <w:r>
        <w:t xml:space="preserve"> </w:t>
      </w:r>
      <w:r>
        <w:t xml:space="preserve">wagging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ring</w:t>
      </w:r>
      <w:r>
        <w:t xml:space="preserve"> </w:t>
      </w:r>
      <w:r>
        <w:t xml:space="preserve">breathing,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calculated</w:t>
      </w:r>
      <w:r>
        <w:t xml:space="preserve"> </w:t>
      </w:r>
      <w:r>
        <w:t xml:space="preserve">mode</w:t>
      </w:r>
      <w:r>
        <w:t xml:space="preserve"> </w:t>
      </w:r>
      <w:r>
        <w:t xml:space="preserve">falling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disputed</w:t>
      </w:r>
      <w:r>
        <w:t xml:space="preserve"> </w:t>
      </w:r>
      <m:oMath>
        <m:r>
          <m:t>∼</m:t>
        </m:r>
      </m:oMath>
      <w:r>
        <w:t xml:space="preserve">730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bacterial</w:t>
      </w:r>
      <w:r>
        <w:t xml:space="preserve"> </w:t>
      </w:r>
      <w:r>
        <w:t xml:space="preserve">marker</w:t>
      </w:r>
      <w:r>
        <w:t xml:space="preserve"> </w:t>
      </w:r>
      <w:r>
        <w:t xml:space="preserve">region</w:t>
      </w:r>
      <w:r>
        <w:t xml:space="preserve"> </w:t>
      </w:r>
      <w:r>
        <w:t xml:space="preserve">originates</w:t>
      </w:r>
      <w:r>
        <w:t xml:space="preserve"> </w:t>
      </w:r>
      <w:r>
        <w:t xml:space="preserve">almost</w:t>
      </w:r>
      <w:r>
        <w:t xml:space="preserve"> </w:t>
      </w:r>
      <w:r>
        <w:t xml:space="preserve">entirely</w:t>
      </w:r>
      <w:r>
        <w:t xml:space="preserve"> </w:t>
      </w:r>
      <w:r>
        <w:t xml:space="preserve">from</w:t>
      </w:r>
      <w:r>
        <w:t xml:space="preserve"> </w:t>
      </w:r>
      <w:r>
        <w:t xml:space="preserve">out-of-plane</w:t>
      </w:r>
      <w:r>
        <w:t xml:space="preserve"> </w:t>
      </w:r>
      <w:r>
        <w:t xml:space="preserve">deformation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carboxylic</w:t>
      </w:r>
      <w:r>
        <w:t xml:space="preserve"> </w:t>
      </w:r>
      <w:r>
        <w:t xml:space="preserve">acid</w:t>
      </w:r>
      <w:r>
        <w:t xml:space="preserve"> </w:t>
      </w:r>
      <w:r>
        <w:t xml:space="preserve">hydroxyl</w:t>
      </w:r>
      <w:r>
        <w:t xml:space="preserve"> </w:t>
      </w:r>
      <w:r>
        <w:t xml:space="preserve">group</w:t>
      </w:r>
      <w:r>
        <w:t xml:space="preserve"> </w:t>
      </w:r>
      <w:r>
        <w:t xml:space="preserve">(47.9%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mode</w:t>
      </w:r>
      <w:r>
        <w:t xml:space="preserve"> </w:t>
      </w:r>
      <w:r>
        <w:t xml:space="preserve">displacement)</w:t>
      </w:r>
      <w:r>
        <w:t xml:space="preserve"> </w:t>
      </w:r>
      <w:r>
        <w:t xml:space="preserve">with</w:t>
      </w:r>
      <w:r>
        <w:t xml:space="preserve"> </w:t>
      </w:r>
      <w:r>
        <w:t xml:space="preserve">negligible</w:t>
      </w:r>
      <w:r>
        <w:t xml:space="preserve"> </w:t>
      </w:r>
      <w:r>
        <w:t xml:space="preserve">pyranose</w:t>
      </w:r>
      <w:r>
        <w:t xml:space="preserve"> </w:t>
      </w:r>
      <w:r>
        <w:t xml:space="preserve">ring</w:t>
      </w:r>
      <w:r>
        <w:t xml:space="preserve"> </w:t>
      </w:r>
      <w:r>
        <w:t xml:space="preserve">character</w:t>
      </w:r>
      <w:r>
        <w:t xml:space="preserve"> </w:t>
      </w:r>
      <w:r>
        <w:t xml:space="preserve">(0.5%).</w:t>
      </w:r>
      <w:r>
        <w:t xml:space="preserve"> </w:t>
      </w:r>
      <w:r>
        <w:t xml:space="preserve">Because</w:t>
      </w:r>
      <w:r>
        <w:t xml:space="preserve"> </w:t>
      </w:r>
      <w:r>
        <w:t xml:space="preserve">this</w:t>
      </w:r>
      <w:r>
        <w:t xml:space="preserve"> </w:t>
      </w:r>
      <w:r>
        <w:t xml:space="preserve">proton</w:t>
      </w:r>
      <w:r>
        <w:t xml:space="preserve"> </w:t>
      </w:r>
      <w:r>
        <w:t xml:space="preserve">is</w:t>
      </w:r>
      <w:r>
        <w:t xml:space="preserve"> </w:t>
      </w:r>
      <w:r>
        <w:t xml:space="preserve">absent</w:t>
      </w:r>
      <w:r>
        <w:t xml:space="preserve"> </w:t>
      </w:r>
      <w:r>
        <w:t xml:space="preserve">in</w:t>
      </w:r>
      <w:r>
        <w:t xml:space="preserve"> </w:t>
      </w:r>
      <w:r>
        <w:t xml:space="preserve">intact</w:t>
      </w:r>
      <w:r>
        <w:t xml:space="preserve"> </w:t>
      </w:r>
      <w:r>
        <w:t xml:space="preserve">peptidoglycan,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muramic</w:t>
      </w:r>
      <w:r>
        <w:t xml:space="preserve"> </w:t>
      </w:r>
      <w:r>
        <w:t xml:space="preserve">acid</w:t>
      </w:r>
      <w:r>
        <w:t xml:space="preserve"> </w:t>
      </w:r>
      <w:r>
        <w:t xml:space="preserve">carboxyl</w:t>
      </w:r>
      <w:r>
        <w:t xml:space="preserve"> </w:t>
      </w:r>
      <w:r>
        <w:t xml:space="preserve">is</w:t>
      </w:r>
      <w:r>
        <w:t xml:space="preserve"> </w:t>
      </w:r>
      <w:r>
        <w:t xml:space="preserve">amide-linked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peptide</w:t>
      </w:r>
      <w:r>
        <w:t xml:space="preserve"> </w:t>
      </w:r>
      <w:r>
        <w:t xml:space="preserve">stem,</w:t>
      </w:r>
      <w:r>
        <w:t xml:space="preserve"> </w:t>
      </w:r>
      <w:r>
        <w:t xml:space="preserve">the</w:t>
      </w:r>
      <w:r>
        <w:t xml:space="preserve"> </w:t>
      </w:r>
      <w:r>
        <w:t xml:space="preserve">result</w:t>
      </w:r>
      <w:r>
        <w:t xml:space="preserve"> </w:t>
      </w:r>
      <w:r>
        <w:t xml:space="preserve">argues</w:t>
      </w:r>
      <w:r>
        <w:t xml:space="preserve"> </w:t>
      </w:r>
      <w:r>
        <w:t xml:space="preserve">against</w:t>
      </w:r>
      <w:r>
        <w:t xml:space="preserve"> </w:t>
      </w:r>
      <w:r>
        <w:t xml:space="preserve">attributing</w:t>
      </w:r>
      <w:r>
        <w:t xml:space="preserve"> </w:t>
      </w:r>
      <w:r>
        <w:t xml:space="preserve">the</w:t>
      </w:r>
      <w:r>
        <w:t xml:space="preserve"> </w:t>
      </w:r>
      <w:r>
        <w:t xml:space="preserve">bacterial</w:t>
      </w:r>
      <w:r>
        <w:t xml:space="preserve"> </w:t>
      </w:r>
      <w:r>
        <w:t xml:space="preserve">730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band</w:t>
      </w:r>
      <w:r>
        <w:t xml:space="preserve"> </w:t>
      </w:r>
      <w:r>
        <w:t xml:space="preserve">to</w:t>
      </w:r>
      <w:r>
        <w:t xml:space="preserve"> </w:t>
      </w:r>
      <w:r>
        <w:t xml:space="preserve">muramic</w:t>
      </w:r>
      <w:r>
        <w:t xml:space="preserve"> </w:t>
      </w:r>
      <w:r>
        <w:t xml:space="preserve">acid.</w:t>
      </w:r>
    </w:p>
    <w:p>
      <w:pPr>
        <w:pStyle w:val="FirstParagraph"/>
      </w:pPr>
      <w:r>
        <w:rPr>
          <w:b/>
        </w:rPr>
        <w:t xml:space="preserve">Keywords:</w:t>
      </w:r>
      <w:r>
        <w:t xml:space="preserve"> </w:t>
      </w:r>
      <w:r>
        <w:t xml:space="preserve">Raman spectroscopy; density functional theory; N-acetylmuramic acid ;</w:t>
      </w:r>
      <w:r>
        <w:t xml:space="preserve"> </w:t>
      </w:r>
      <w:r>
        <w:t xml:space="preserve">peptidoglycan; vibrational assignment; photostability</w:t>
      </w:r>
    </w:p>
    <w:p>
      <w:pPr>
        <w:pStyle w:val="Heading1"/>
      </w:pPr>
      <w:bookmarkStart w:id="21" w:name="introduction"/>
      <w:r>
        <w:t xml:space="preserve">Introduction</w:t>
      </w:r>
      <w:bookmarkEnd w:id="21"/>
    </w:p>
    <w:p>
      <w:pPr>
        <w:pStyle w:val="FirstParagraph"/>
      </w:pPr>
      <w:r>
        <w:t xml:space="preserve">Raman spectroscopy provides label-free, non-destructive vibrational fingerprints</w:t>
      </w:r>
      <w:r>
        <w:t xml:space="preserve"> </w:t>
      </w:r>
      <w:r>
        <w:t xml:space="preserve">of biological material with minimal sample preparation, which has made it</w:t>
      </w:r>
      <w:r>
        <w:t xml:space="preserve"> </w:t>
      </w:r>
      <w:r>
        <w:t xml:space="preserve">attractive for rapid microbial characterisation</w:t>
      </w:r>
      <w:r>
        <w:t xml:space="preserve"> </w:t>
      </w:r>
      <w:r>
        <w:t xml:space="preserve">. Bacterial Raman spectra are, however, superpositions of</w:t>
      </w:r>
      <w:r>
        <w:t xml:space="preserve"> </w:t>
      </w:r>
      <w:r>
        <w:t xml:space="preserve">contributions from proteins, nucleic acids, lipids and the cell wall, so the</w:t>
      </w:r>
      <w:r>
        <w:t xml:space="preserve"> </w:t>
      </w:r>
      <w:r>
        <w:t xml:space="preserve">interpretation of individual bands depends on the availability of reliable</w:t>
      </w:r>
      <w:r>
        <w:t xml:space="preserve"> </w:t>
      </w:r>
      <w:r>
        <w:t xml:space="preserve">reference spectra for the constituent molecules.</w:t>
      </w:r>
    </w:p>
    <w:p>
      <w:pPr>
        <w:pStyle w:val="BodyText"/>
      </w:pPr>
      <w:r>
        <w:t xml:space="preserve">Among cell-wall components, N-acetylmuramic acid occupies a distinctive</w:t>
      </w:r>
      <w:r>
        <w:t xml:space="preserve"> </w:t>
      </w:r>
      <w:r>
        <w:t xml:space="preserve">position. Together with N-acetylglucosamine (GlcNAc) it forms the alternating</w:t>
      </w:r>
      <w:r>
        <w:t xml:space="preserve"> </w:t>
      </w:r>
      <w:r>
        <w:t xml:space="preserve">glycan backbone of peptidoglycan, the polymer that confers mechanical rigidity</w:t>
      </w:r>
      <w:r>
        <w:t xml:space="preserve"> </w:t>
      </w:r>
      <w:r>
        <w:t xml:space="preserve">on the bacterial cell wall in both Gram-positive and Gram-negative organisms</w:t>
      </w:r>
      <w:r>
        <w:t xml:space="preserve"> </w:t>
      </w:r>
      <w:r>
        <w:t xml:space="preserve">. Unlike GlcNAc, which also occurs widely in eukaryotic</w:t>
      </w:r>
      <w:r>
        <w:t xml:space="preserve"> </w:t>
      </w:r>
      <w:r>
        <w:t xml:space="preserve">glycans, muramic acid is essentially restricted to bacteria, and its D-lactyl</w:t>
      </w:r>
      <w:r>
        <w:t xml:space="preserve"> </w:t>
      </w:r>
      <w:r>
        <w:t xml:space="preserve">ether substituent at C-3 is chemically unique to the bacterial cell wall. This</w:t>
      </w:r>
      <w:r>
        <w:t xml:space="preserve"> </w:t>
      </w:r>
      <w:r>
        <w:t xml:space="preserve">specificity has made it an attractive target for Raman-based and</w:t>
      </w:r>
      <w:r>
        <w:t xml:space="preserve"> </w:t>
      </w:r>
      <w:r>
        <w:t xml:space="preserve">surface-enhanced Raman (SERS) approaches to bacterial detection.</w:t>
      </w:r>
    </w:p>
    <w:p>
      <w:pPr>
        <w:pStyle w:val="BodyText"/>
      </w:pPr>
      <w:r>
        <w:t xml:space="preserve">Raman spectra of structurally related amino sugars have been reported</w:t>
      </w:r>
      <w:r>
        <w:t xml:space="preserve"> </w:t>
      </w:r>
      <w:r>
        <w:t xml:space="preserve">, and computational treatments of saccharide Raman spectra</w:t>
      </w:r>
      <w:r>
        <w:t xml:space="preserve"> </w:t>
      </w:r>
      <w:r>
        <w:t xml:space="preserve">are well established</w:t>
      </w:r>
      <w:r>
        <w:t xml:space="preserve"> </w:t>
      </w:r>
      <w:r>
        <w:t xml:space="preserve">. Vibrational studies of</w:t>
      </w:r>
      <w:r>
        <w:t xml:space="preserve"> </w:t>
      </w:r>
      <w:r>
        <w:t xml:space="preserve">muramic acid itself nevertheless remain sparse. Early work combined infrared and</w:t>
      </w:r>
      <w:r>
        <w:t xml:space="preserve"> </w:t>
      </w:r>
      <w:r>
        <w:t xml:space="preserve">Raman measurements on the crystalline monohydrate with harmonic dynamics based on</w:t>
      </w:r>
      <w:r>
        <w:t xml:space="preserve"> </w:t>
      </w:r>
      <w:r>
        <w:t xml:space="preserve">empirical force fields</w:t>
      </w:r>
      <w:r>
        <w:t xml:space="preserve"> </w:t>
      </w:r>
      <w:r>
        <w:t xml:space="preserve">, reaching an average agreement of</w:t>
      </w:r>
      <w:r>
        <w:t xml:space="preserve"> </w:t>
      </w:r>
      <w:r>
        <w:t xml:space="preserve">approximately 4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between observed and calculated frequencies. More</w:t>
      </w:r>
      <w:r>
        <w:t xml:space="preserve"> </w:t>
      </w:r>
      <w:r>
        <w:t xml:space="preserve">recently, Ma et al. </w:t>
      </w:r>
      <w:r>
        <w:t xml:space="preserve"> </w:t>
      </w:r>
      <w:r>
        <w:t xml:space="preserve">computed Raman spectra of NAM and GlcNAc</w:t>
      </w:r>
      <w:r>
        <w:t xml:space="preserve"> </w:t>
      </w:r>
      <w:r>
        <w:t xml:space="preserve">by DFT in order to construct a diagnostic model for</w:t>
      </w:r>
      <w:r>
        <w:t xml:space="preserve"> </w:t>
      </w:r>
      <w:r>
        <w:rPr>
          <w:i/>
        </w:rPr>
        <w:t xml:space="preserve">Escherichia coli</w:t>
      </w:r>
      <w:r>
        <w:t xml:space="preserve">. In</w:t>
      </w:r>
      <w:r>
        <w:t xml:space="preserve"> </w:t>
      </w:r>
      <w:r>
        <w:t xml:space="preserve">that work, however, NAM entered only as an</w:t>
      </w:r>
      <w:r>
        <w:t xml:space="preserve"> </w:t>
      </w:r>
      <w:r>
        <w:rPr>
          <w:i/>
        </w:rPr>
        <w:t xml:space="preserve">in silico</w:t>
      </w:r>
      <w:r>
        <w:t xml:space="preserve"> </w:t>
      </w:r>
      <w:r>
        <w:t xml:space="preserve">spectral component:</w:t>
      </w:r>
      <w:r>
        <w:t xml:space="preserve"> </w:t>
      </w:r>
      <w:r>
        <w:t xml:space="preserve">the calculated spectrum was compared against whole-cell bacterial measurements,</w:t>
      </w:r>
      <w:r>
        <w:t xml:space="preserve"> </w:t>
      </w:r>
      <w:r>
        <w:t xml:space="preserve">in which peptidoglycan bands are superimposed on strong protein, lipid and</w:t>
      </w:r>
      <w:r>
        <w:t xml:space="preserve"> </w:t>
      </w:r>
      <w:r>
        <w:t xml:space="preserve">nucleic acid signals. The NAM assignments were therefore never validated</w:t>
      </w:r>
      <w:r>
        <w:t xml:space="preserve"> </w:t>
      </w:r>
      <w:r>
        <w:t xml:space="preserve">directly against the isolated molecule.</w:t>
      </w:r>
    </w:p>
    <w:p>
      <w:pPr>
        <w:pStyle w:val="BodyText"/>
      </w:pPr>
      <w:r>
        <w:t xml:space="preserve">A further open question concerns the band near 730 cm</w:t>
      </w:r>
      <w:r>
        <w:rPr>
          <w:vertAlign w:val="superscript"/>
        </w:rPr>
        <w:t xml:space="preserve">-1</w:t>
      </w:r>
      <w:r>
        <w:t xml:space="preserve">, among the strongest</w:t>
      </w:r>
      <w:r>
        <w:t xml:space="preserve"> </w:t>
      </w:r>
      <w:r>
        <w:t xml:space="preserve">and most frequently used features in bacterial SERS spectra. Its origin has been</w:t>
      </w:r>
      <w:r>
        <w:t xml:space="preserve"> </w:t>
      </w:r>
      <w:r>
        <w:t xml:space="preserve">attributed variously to adenine and related nucleotide degradation products</w:t>
      </w:r>
      <w:r>
        <w:t xml:space="preserve"> </w:t>
      </w:r>
      <w:r>
        <w:t xml:space="preserve"> </w:t>
      </w:r>
      <w:r>
        <w:t xml:space="preserve">and, less frequently, to cell-wall</w:t>
      </w:r>
      <w:r>
        <w:t xml:space="preserve"> </w:t>
      </w:r>
      <w:r>
        <w:t xml:space="preserve">components. Without a measured spectrum of isolated muramic acid the</w:t>
      </w:r>
      <w:r>
        <w:t xml:space="preserve"> </w:t>
      </w:r>
      <w:r>
        <w:t xml:space="preserve">peptidoglycan contribution could not be assessed directly.</w:t>
      </w:r>
    </w:p>
    <w:p>
      <w:pPr>
        <w:pStyle w:val="BodyText"/>
      </w:pPr>
      <w:r>
        <w:t xml:space="preserve">The present work addresses these gaps. We report a reference Raman spectrum of</w:t>
      </w:r>
      <w:r>
        <w:t xml:space="preserve"> </w:t>
      </w:r>
      <w:r>
        <w:t xml:space="preserve">isolated N-acetylmuramic acid powder built from independent replicate</w:t>
      </w:r>
      <w:r>
        <w:t xml:space="preserve"> </w:t>
      </w:r>
      <w:r>
        <w:t xml:space="preserve">measurements, establish the laser conditions under which the material is</w:t>
      </w:r>
      <w:r>
        <w:t xml:space="preserve"> </w:t>
      </w:r>
      <w:r>
        <w:t xml:space="preserve">spectrally stable, and assign the observed bands using normal-mode decomposition</w:t>
      </w:r>
      <w:r>
        <w:t xml:space="preserve"> </w:t>
      </w:r>
      <w:r>
        <w:t xml:space="preserve">of a dispersion-corrected DFT calculation.</w:t>
      </w:r>
    </w:p>
    <w:p>
      <w:pPr>
        <w:pStyle w:val="Heading1"/>
      </w:pPr>
      <w:bookmarkStart w:id="22" w:name="materials-and-methods"/>
      <w:r>
        <w:t xml:space="preserve">Materials and methods</w:t>
      </w:r>
      <w:bookmarkEnd w:id="22"/>
    </w:p>
    <w:p>
      <w:pPr>
        <w:pStyle w:val="Heading2"/>
      </w:pPr>
      <w:bookmarkStart w:id="23" w:name="materials"/>
      <w:r>
        <w:t xml:space="preserve">Materials</w:t>
      </w:r>
      <w:bookmarkEnd w:id="23"/>
    </w:p>
    <w:p>
      <w:pPr>
        <w:pStyle w:val="FirstParagraph"/>
      </w:pPr>
      <w:r>
        <w:t xml:space="preserve">N-acetylmuramic acid (Sigma-Aldrich, product A3007-100MG, lot BCCK5768;</w:t>
      </w:r>
      <w:r>
        <w:t xml:space="preserve"> </w:t>
      </w:r>
      <w:r>
        <w:t xml:space="preserve">CAS 10597-89-4; synthetic;</w:t>
      </w:r>
      <w:r>
        <w:t xml:space="preserve"> </w:t>
      </w:r>
      <m:oMath>
        <m:r>
          <m:t>≥</m:t>
        </m:r>
      </m:oMath>
      <w:r>
        <w:t xml:space="preserve">98% by TLC; white powder; stated residual</w:t>
      </w:r>
      <w:r>
        <w:t xml:space="preserve"> </w:t>
      </w:r>
      <w:r>
        <w:t xml:space="preserve">methanol</w:t>
      </w:r>
      <w:r>
        <w:t xml:space="preserve"> </w:t>
      </w:r>
      <m:oMath>
        <m:r>
          <m:t>≤</m:t>
        </m:r>
      </m:oMath>
      <w:r>
        <w:t xml:space="preserve">1 mol/mol) was used as received without further purification or</w:t>
      </w:r>
      <w:r>
        <w:t xml:space="preserve"> </w:t>
      </w:r>
      <w:r>
        <w:t xml:space="preserve">recrystallisation. The material was supplied in an amber glass bottle and stored</w:t>
      </w:r>
      <w:r>
        <w:t xml:space="preserve"> </w:t>
      </w:r>
      <w:r>
        <w:t xml:space="preserve">at 2–8 </w:t>
      </w:r>
      <m:oMath>
        <m:sSup>
          <m:e>
            <m:r>
              <m:t>​</m:t>
            </m:r>
          </m:e>
          <m:sup>
            <m:r>
              <m:t>∘</m:t>
            </m:r>
          </m:sup>
        </m:sSup>
      </m:oMath>
      <w:r>
        <w:t xml:space="preserve">C as specified. The molecular weight of 293.27 corresponds to</w:t>
      </w:r>
      <w:r>
        <w:t xml:space="preserve"> </w:t>
      </w:r>
      <w:r>
        <w:t xml:space="preserve">anhydrous C</w:t>
      </w:r>
      <m:oMath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H</w:t>
      </w:r>
      <m:oMath>
        <m:sSub>
          <m:e>
            <m:r>
              <m:t>​</m:t>
            </m:r>
          </m:e>
          <m:sub>
            <m:r>
              <m:t>19</m:t>
            </m:r>
          </m:sub>
        </m:sSub>
      </m:oMath>
      <w:r>
        <w:t xml:space="preserve">NO</w:t>
      </w:r>
      <m:oMath>
        <m:sSub>
          <m:e>
            <m:r>
              <m:t>​</m:t>
            </m:r>
          </m:e>
          <m:sub>
            <m:r>
              <m:t>8</m:t>
            </m:r>
          </m:sub>
        </m:sSub>
      </m:oMath>
      <w:r>
        <w:t xml:space="preserve">, so the material is not a hydrate.</w:t>
      </w:r>
    </w:p>
    <w:p>
      <w:pPr>
        <w:pStyle w:val="BodyText"/>
      </w:pPr>
      <w:r>
        <w:t xml:space="preserve">The supplier specification defines five stereocentres but leaves the anomeric</w:t>
      </w:r>
      <w:r>
        <w:t xml:space="preserve"> </w:t>
      </w:r>
      <w:r>
        <w:t xml:space="preserve">configuration unspecified (SMILES</w:t>
      </w:r>
      <w:r>
        <w:t xml:space="preserve"> </w:t>
      </w:r>
      <w:r>
        <w:rPr>
          <w:rStyle w:val="VerbatimChar"/>
        </w:rPr>
        <w:t xml:space="preserve">CC(O[C@H]1[C@H](O)[C@@H](CO)OC(O)[C@@H]1NC(C)=O)C(O)=O</w:t>
      </w:r>
      <w:r>
        <w:t xml:space="preserve">; InChI stereo</w:t>
      </w:r>
      <w:r>
        <w:t xml:space="preserve"> </w:t>
      </w:r>
      <w:r>
        <w:t xml:space="preserve">layer</w:t>
      </w:r>
      <w:r>
        <w:t xml:space="preserve"> </w:t>
      </w:r>
      <w:r>
        <w:rPr>
          <w:rStyle w:val="VerbatimChar"/>
        </w:rPr>
        <w:t xml:space="preserve">/t5-,7+,8-,9-,10-/m1/s1</w:t>
      </w:r>
      <w:r>
        <w:t xml:space="preserve">). The material is therefore an anomeric</w:t>
      </w:r>
      <w:r>
        <w:t xml:space="preserve"> </w:t>
      </w:r>
      <w:r>
        <w:t xml:space="preserve">mixture rather than a single anomer, as is usual for a reducing sugar. This is</w:t>
      </w:r>
      <w:r>
        <w:t xml:space="preserve"> </w:t>
      </w:r>
      <w:r>
        <w:t xml:space="preserve">relevant to Section </w:t>
      </w:r>
      <w:hyperlink w:anchor="sec:unmatched">
        <w:r>
          <w:rPr>
            <w:rStyle w:val="Hyperlink"/>
          </w:rPr>
          <w:t xml:space="preserve">3.8</w:t>
        </w:r>
      </w:hyperlink>
      <w:r>
        <w:t xml:space="preserve">.</w:t>
      </w:r>
    </w:p>
    <w:p>
      <w:pPr>
        <w:pStyle w:val="BodyText"/>
      </w:pPr>
      <w:r>
        <w:t xml:space="preserve">For measurement, a small quantity of powder was deposited directly onto a clean</w:t>
      </w:r>
      <w:r>
        <w:t xml:space="preserve"> </w:t>
      </w:r>
      <w:r>
        <w:t xml:space="preserve">glass microscope slide. Samples were handled under ambient laboratory conditions</w:t>
      </w:r>
      <w:r>
        <w:t xml:space="preserve"> </w:t>
      </w:r>
      <w:r>
        <w:t xml:space="preserve">and stored at 2–8 </w:t>
      </w:r>
      <m:oMath>
        <m:sSup>
          <m:e>
            <m:r>
              <m:t>​</m:t>
            </m:r>
          </m:e>
          <m:sup>
            <m:r>
              <m:t>∘</m:t>
            </m:r>
          </m:sup>
        </m:sSup>
      </m:oMath>
      <w:r>
        <w:t xml:space="preserve">C as supplied.</w:t>
      </w:r>
    </w:p>
    <w:p>
      <w:pPr>
        <w:pStyle w:val="Heading2"/>
      </w:pPr>
      <w:bookmarkStart w:id="24" w:name="raman-instrumentation"/>
      <w:r>
        <w:t xml:space="preserve">Raman instrumentation</w:t>
      </w:r>
      <w:bookmarkEnd w:id="24"/>
    </w:p>
    <w:p>
      <w:pPr>
        <w:pStyle w:val="FirstParagraph"/>
      </w:pPr>
      <w:r>
        <w:t xml:space="preserve">Spectra were recorded on a B&amp;W Tek i-Raman Plus system (model BWS465-785H)</w:t>
      </w:r>
      <w:r>
        <w:t xml:space="preserve"> </w:t>
      </w:r>
      <w:r>
        <w:t xml:space="preserve">coupled to a BAC102-785E Raman microscope, through a 20</w:t>
      </w:r>
      <m:oMath>
        <m:r>
          <m:t>×</m:t>
        </m:r>
      </m:oMath>
      <w:r>
        <w:t xml:space="preserve"> </w:t>
      </w:r>
      <w:r>
        <w:t xml:space="preserve">Plan objective.</w:t>
      </w:r>
      <w:r>
        <w:t xml:space="preserve"> </w:t>
      </w:r>
      <w:r>
        <w:t xml:space="preserve">Excitation was provided by a 785 nm diode laser (Class 3B); the instrument</w:t>
      </w:r>
      <w:r>
        <w:t xml:space="preserve"> </w:t>
      </w:r>
      <w:r>
        <w:t xml:space="preserve">software reports an emission wavelength of 784.92 nm. Laser power is adjustable</w:t>
      </w:r>
      <w:r>
        <w:t xml:space="preserve"> </w:t>
      </w:r>
      <w:r>
        <w:t xml:space="preserve">from 0 to 100% in 1% increments, and the power settings quoted throughout are</w:t>
      </w:r>
      <w:r>
        <w:t xml:space="preserve"> </w:t>
      </w:r>
      <w:r>
        <w:t xml:space="preserve">percentages of the instrument maximum.</w:t>
      </w:r>
    </w:p>
    <w:p>
      <w:pPr>
        <w:pStyle w:val="BodyText"/>
      </w:pPr>
      <w:r>
        <w:t xml:space="preserve">Three power figures apply to this system and should not be conflated. The laser</w:t>
      </w:r>
      <w:r>
        <w:t xml:space="preserve"> </w:t>
      </w:r>
      <w:r>
        <w:t xml:space="preserve">safety label states a maximum output of 495 mW, this being the maximum accessible</w:t>
      </w:r>
      <w:r>
        <w:t xml:space="preserve"> </w:t>
      </w:r>
      <w:r>
        <w:t xml:space="preserve">emission used for hazard classification. The manufacturer specification quotes</w:t>
      </w:r>
      <w:r>
        <w:t xml:space="preserve"> </w:t>
      </w:r>
      <w:r>
        <w:t xml:space="preserve">455 mW nominal at the laser port and 340 mW nominal exiting the fibre-optic</w:t>
      </w:r>
      <w:r>
        <w:t xml:space="preserve"> </w:t>
      </w:r>
      <w:r>
        <w:t xml:space="preserve">probe. On the basis of the last of these, the power settings used here correspond</w:t>
      </w:r>
      <w:r>
        <w:t xml:space="preserve"> </w:t>
      </w:r>
      <w:r>
        <w:t xml:space="preserve">to approximately 17, 136, 238 and 306 mW exiting the probe at 5, 40, 70 and 90%</w:t>
      </w:r>
      <w:r>
        <w:t xml:space="preserve"> </w:t>
      </w:r>
      <w:r>
        <w:t xml:space="preserve">respectively.</w:t>
      </w:r>
    </w:p>
    <w:p>
      <w:pPr>
        <w:pStyle w:val="BodyText"/>
      </w:pPr>
      <w:r>
        <w:t xml:space="preserve">Power incident on the sample is lower than these figures, because the</w:t>
      </w:r>
      <w:r>
        <w:t xml:space="preserve"> </w:t>
      </w:r>
      <w:r>
        <w:t xml:space="preserve">measurements reported here were made through a BAC102-785E microscope and a</w:t>
      </w:r>
      <w:r>
        <w:t xml:space="preserve"> </w:t>
      </w:r>
      <w:r>
        <w:t xml:space="preserve">20</w:t>
      </w:r>
      <m:oMath>
        <m:r>
          <m:t>×</m:t>
        </m:r>
      </m:oMath>
      <w:r>
        <w:t xml:space="preserve"> </w:t>
      </w:r>
      <w:r>
        <w:t xml:space="preserve">Plan objective rather than directly from the probe. The transmission</w:t>
      </w:r>
      <w:r>
        <w:t xml:space="preserve"> </w:t>
      </w:r>
      <w:r>
        <w:t xml:space="preserve">of this optical path was not measured, and the incident power at the sample is</w:t>
      </w:r>
      <w:r>
        <w:t xml:space="preserve"> </w:t>
      </w:r>
      <w:r>
        <w:t xml:space="preserve">therefore not known in absolute terms. Taking published transmission values for</w:t>
      </w:r>
      <w:r>
        <w:t xml:space="preserve"> </w:t>
      </w:r>
      <w:r>
        <w:t xml:space="preserve">comparable microscope optics and objectives (approximately 40–65% in</w:t>
      </w:r>
      <w:r>
        <w:t xml:space="preserve"> </w:t>
      </w:r>
      <w:r>
        <w:t xml:space="preserve">combination) the power at the sample at the 70% setting is estimated to lie in</w:t>
      </w:r>
      <w:r>
        <w:t xml:space="preserve"> </w:t>
      </w:r>
      <w:r>
        <w:t xml:space="preserve">the range 95–155 mW; with a diffraction-limited focus of about 2.4 </w:t>
      </w:r>
      <m:oMath>
        <m:r>
          <m:t>μ</m:t>
        </m:r>
      </m:oMath>
      <w:r>
        <w:t xml:space="preserve">m</w:t>
      </w:r>
      <w:r>
        <w:t xml:space="preserve"> </w:t>
      </w:r>
      <w:r>
        <w:t xml:space="preserve">diameter for a 20</w:t>
      </w:r>
      <m:oMath>
        <m:r>
          <m:t>×</m:t>
        </m:r>
      </m:oMath>
      <w:r>
        <w:t xml:space="preserve"> </w:t>
      </w:r>
      <w:r>
        <w:t xml:space="preserve">objective of numerical aperture 0.40, this corresponds</w:t>
      </w:r>
      <w:r>
        <w:t xml:space="preserve"> </w:t>
      </w:r>
      <w:r>
        <w:t xml:space="preserve">to an estimated power density of roughly 20–35 mW </w:t>
      </w:r>
      <m:oMath>
        <m:r>
          <m:t>μ</m:t>
        </m:r>
      </m:oMath>
      <w:r>
        <w:t xml:space="preserve">m</w:t>
      </w:r>
      <m:oMath>
        <m:sSup>
          <m:e>
            <m:r>
              <m:t>​</m:t>
            </m:r>
          </m:e>
          <m:sup>
            <m:r>
              <m:t>−</m:t>
            </m:r>
            <m:r>
              <m:t>2</m:t>
            </m:r>
          </m:sup>
        </m:sSup>
      </m:oMath>
      <w:r>
        <w:t xml:space="preserve">. These figures</w:t>
      </w:r>
      <w:r>
        <w:t xml:space="preserve"> </w:t>
      </w:r>
      <w:r>
        <w:t xml:space="preserve">are estimates derived from component specifications and are not measured values.</w:t>
      </w:r>
    </w:p>
    <w:p>
      <w:pPr>
        <w:pStyle w:val="BodyText"/>
      </w:pPr>
      <w:r>
        <w:t xml:space="preserve">Power settings are therefore reported throughout as percentages of the instrument</w:t>
      </w:r>
      <w:r>
        <w:t xml:space="preserve"> </w:t>
      </w:r>
      <w:r>
        <w:t xml:space="preserve">maximum. This is sufficient for reproduction on the same instrument model, and</w:t>
      </w:r>
      <w:r>
        <w:t xml:space="preserve"> </w:t>
      </w:r>
      <w:r>
        <w:t xml:space="preserve">the nominal figures above allow approximate comparison with other systems, but</w:t>
      </w:r>
      <w:r>
        <w:t xml:space="preserve"> </w:t>
      </w:r>
      <w:r>
        <w:t xml:space="preserve">absolute power densities should be regarded as indicative only.</w:t>
      </w:r>
    </w:p>
    <w:p>
      <w:pPr>
        <w:pStyle w:val="BodyText"/>
      </w:pPr>
      <w:r>
        <w:t xml:space="preserve">Detection used a thermoelectrically cooled high-quantum-efficiency CCD array</w:t>
      </w:r>
      <w:r>
        <w:t xml:space="preserve"> </w:t>
      </w:r>
      <w:r>
        <w:t xml:space="preserve">(sensor temperature</w:t>
      </w:r>
      <w:r>
        <w:t xml:space="preserve"> </w:t>
      </w:r>
      <m:oMath>
        <m:r>
          <m:t>−</m:t>
        </m:r>
        <m:r>
          <m:t>2</m:t>
        </m:r>
      </m:oMath>
      <w:r>
        <w:t xml:space="preserve"> </w:t>
      </w:r>
      <m:oMath>
        <m:sSup>
          <m:e>
            <m:r>
              <m:t>​</m:t>
            </m:r>
          </m:e>
          <m:sup>
            <m:r>
              <m:t>∘</m:t>
            </m:r>
          </m:sup>
        </m:sSup>
      </m:oMath>
      <w:r>
        <w:t xml:space="preserve">C) with 2048 pixels. The instrument is</w:t>
      </w:r>
      <w:r>
        <w:t xml:space="preserve"> </w:t>
      </w:r>
      <w:r>
        <w:t xml:space="preserve">specified for 65–2800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at a spectral resolution better than 3.5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(measured at 912 nm using atomic emission lines). Recorded spectra spanned</w:t>
      </w:r>
      <w:r>
        <w:t xml:space="preserve"> </w:t>
      </w:r>
      <m:oMath>
        <m:r>
          <m:t>−</m:t>
        </m:r>
        <m:r>
          <m:t>46</m:t>
        </m:r>
      </m:oMath>
      <w:r>
        <w:t xml:space="preserve"> </w:t>
      </w:r>
      <w:r>
        <w:t xml:space="preserve">to 2842 cm</w:t>
      </w:r>
      <w:r>
        <w:rPr>
          <w:vertAlign w:val="superscript"/>
        </w:rPr>
        <w:t xml:space="preserve">-1</w:t>
      </w:r>
      <w:r>
        <w:t xml:space="preserve">, of which the 400–1800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fingerprint region was</w:t>
      </w:r>
      <w:r>
        <w:t xml:space="preserve"> </w:t>
      </w:r>
      <w:r>
        <w:t xml:space="preserve">retained for analysis. Spectral sampling varies across the range, from</w:t>
      </w:r>
      <w:r>
        <w:t xml:space="preserve"> </w:t>
      </w:r>
      <w:r>
        <w:t xml:space="preserve">1.76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per pixel at 400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to 1.43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per pixel at 1800 cm</w:t>
      </w:r>
      <w:r>
        <w:rPr>
          <w:vertAlign w:val="superscript"/>
        </w:rPr>
        <w:t xml:space="preserve">-1</w:t>
      </w:r>
      <w:r>
        <w:t xml:space="preserve">. A dark</w:t>
      </w:r>
      <w:r>
        <w:t xml:space="preserve"> </w:t>
      </w:r>
      <w:r>
        <w:t xml:space="preserve">spectrum was recorded and subtracted by the instrument software for every</w:t>
      </w:r>
      <w:r>
        <w:t xml:space="preserve"> </w:t>
      </w:r>
      <w:r>
        <w:t xml:space="preserve">measurement.</w:t>
      </w:r>
    </w:p>
    <w:p>
      <w:pPr>
        <w:pStyle w:val="Heading2"/>
      </w:pPr>
      <w:bookmarkStart w:id="25" w:name="measurement-design"/>
      <w:r>
        <w:t xml:space="preserve">Measurement design</w:t>
      </w:r>
      <w:bookmarkEnd w:id="25"/>
    </w:p>
    <w:p>
      <w:pPr>
        <w:pStyle w:val="FirstParagraph"/>
      </w:pPr>
      <w:r>
        <w:t xml:space="preserve">A total of 227 spectra were acquired in two sessions and grouped as follows.</w:t>
      </w:r>
    </w:p>
    <w:p>
      <w:pPr>
        <w:pStyle w:val="BodyText"/>
      </w:pPr>
      <w:r>
        <w:rPr>
          <w:i/>
        </w:rPr>
        <w:t xml:space="preserve">Acquisition-parameter survey</w:t>
      </w:r>
      <w:r>
        <w:t xml:space="preserve"> </w:t>
      </w:r>
      <w:r>
        <w:t xml:space="preserve">(98 spectra). A full factorial grid of five</w:t>
      </w:r>
      <w:r>
        <w:t xml:space="preserve"> </w:t>
      </w:r>
      <w:r>
        <w:t xml:space="preserve">integration times (5, 10, 15, 20 and 25 s) and sixteen laser power settings</w:t>
      </w:r>
      <w:r>
        <w:t xml:space="preserve"> </w:t>
      </w:r>
      <w:r>
        <w:t xml:space="preserve">(5–80% of nominal output in 5% steps), two detector readings averaged per</w:t>
      </w:r>
      <w:r>
        <w:t xml:space="preserve"> </w:t>
      </w:r>
      <w:r>
        <w:t xml:space="preserve">spectrum. Detector saturation did not occur at any condition.</w:t>
      </w:r>
    </w:p>
    <w:p>
      <w:pPr>
        <w:pStyle w:val="BodyText"/>
      </w:pPr>
      <w:r>
        <w:rPr>
          <w:i/>
        </w:rPr>
        <w:t xml:space="preserve">Replicate sets</w:t>
      </w:r>
      <w:r>
        <w:t xml:space="preserve"> </w:t>
      </w:r>
      <w:r>
        <w:t xml:space="preserve">(104 spectra). Nine sets, each acquired at a single fixed</w:t>
      </w:r>
      <w:r>
        <w:t xml:space="preserve"> </w:t>
      </w:r>
      <w:r>
        <w:t xml:space="preserve">condition with the stage moved to fresh powder between every measurement. The</w:t>
      </w:r>
      <w:r>
        <w:t xml:space="preserve"> </w:t>
      </w:r>
      <w:r>
        <w:t xml:space="preserve">reference spectrum reported here is built from two of these sets, at 70% and</w:t>
      </w:r>
      <w:r>
        <w:t xml:space="preserve"> </w:t>
      </w:r>
      <w:r>
        <w:t xml:space="preserve">90% power, both at 10 s integration with five accumulations, giving 22</w:t>
      </w:r>
      <w:r>
        <w:t xml:space="preserve"> </w:t>
      </w:r>
      <w:r>
        <w:t xml:space="preserve">independent measurements.</w:t>
      </w:r>
    </w:p>
    <w:p>
      <w:pPr>
        <w:pStyle w:val="BodyText"/>
      </w:pPr>
      <w:r>
        <w:t xml:space="preserve">These sets were selected for replicate number and internal consistency rather</w:t>
      </w:r>
      <w:r>
        <w:t xml:space="preserve"> </w:t>
      </w:r>
      <w:r>
        <w:t xml:space="preserve">than for peak signal-to-noise ratio. Individual sets at longer integration reach</w:t>
      </w:r>
      <w:r>
        <w:t xml:space="preserve"> </w:t>
      </w:r>
      <w:r>
        <w:t xml:space="preserve">higher SNR — the 70%/60 s set attains 789 — but contain only three spectra</w:t>
      </w:r>
      <w:r>
        <w:t xml:space="preserve"> </w:t>
      </w:r>
      <w:r>
        <w:t xml:space="preserve">each, and that set also shows the lowest internal agreement of any fresh-spot</w:t>
      </w:r>
      <w:r>
        <w:t xml:space="preserve"> </w:t>
      </w:r>
      <w:r>
        <w:t xml:space="preserve">set (mean pairwise correlation 0.969). The 10 s sets combine 22 independent</w:t>
      </w:r>
      <w:r>
        <w:t xml:space="preserve"> </w:t>
      </w:r>
      <w:r>
        <w:t xml:space="preserve">measurements with a mean pairwise correlation of 0.986. For a reference spectrum,</w:t>
      </w:r>
      <w:r>
        <w:t xml:space="preserve"> </w:t>
      </w:r>
      <w:r>
        <w:t xml:space="preserve">whose purpose is to represent the material reproducibly rather than to maximise</w:t>
      </w:r>
      <w:r>
        <w:t xml:space="preserve"> </w:t>
      </w:r>
      <w:r>
        <w:t xml:space="preserve">signal in any single measurement, replication and agreement were judged the more</w:t>
      </w:r>
      <w:r>
        <w:t xml:space="preserve"> </w:t>
      </w:r>
      <w:r>
        <w:t xml:space="preserve">important criteria. The three longer-integration sets (30 and 60 s, 11 spectra,</w:t>
      </w:r>
      <w:r>
        <w:t xml:space="preserve"> </w:t>
      </w:r>
      <w:r>
        <w:t xml:space="preserve">SNR up to 789) were instead used where high SNR is decisive, namely in verifying</w:t>
      </w:r>
      <w:r>
        <w:t xml:space="preserve"> </w:t>
      </w:r>
      <w:r>
        <w:t xml:space="preserve">weak bands (Section 2.6).</w:t>
      </w:r>
    </w:p>
    <w:p>
      <w:pPr>
        <w:pStyle w:val="BodyText"/>
      </w:pPr>
      <w:r>
        <w:rPr>
          <w:i/>
        </w:rPr>
        <w:t xml:space="preserve">Photostability series</w:t>
      </w:r>
      <w:r>
        <w:t xml:space="preserve"> </w:t>
      </w:r>
      <w:r>
        <w:t xml:space="preserve">(10 spectra). Ten consecutive scans at 90% power</w:t>
      </w:r>
      <w:r>
        <w:t xml:space="preserve"> </w:t>
      </w:r>
      <w:r>
        <w:t xml:space="preserve">and 30 s integration acquired without moving the stage.</w:t>
      </w:r>
    </w:p>
    <w:p>
      <w:pPr>
        <w:pStyle w:val="BodyText"/>
      </w:pPr>
      <w:r>
        <w:rPr>
          <w:i/>
        </w:rPr>
        <w:t xml:space="preserve">Laser-damage series</w:t>
      </w:r>
      <w:r>
        <w:t xml:space="preserve"> </w:t>
      </w:r>
      <w:r>
        <w:t xml:space="preserve">(10 spectra). Two sets at 90% power and 60 s</w:t>
      </w:r>
      <w:r>
        <w:t xml:space="preserve"> </w:t>
      </w:r>
      <w:r>
        <w:t xml:space="preserve">integration, one on a single spot and one on fresh spots. These spectra are</w:t>
      </w:r>
      <w:r>
        <w:t xml:space="preserve"> </w:t>
      </w:r>
      <w:r>
        <w:t xml:space="preserve">reported in Section </w:t>
      </w:r>
      <w:hyperlink w:anchor="sec:photostab">
        <w:r>
          <w:rPr>
            <w:rStyle w:val="Hyperlink"/>
          </w:rPr>
          <w:t xml:space="preserve">3.3</w:t>
        </w:r>
      </w:hyperlink>
      <w:r>
        <w:t xml:space="preserve"> </w:t>
      </w:r>
      <w:r>
        <w:t xml:space="preserve">and excluded from all vibrational</w:t>
      </w:r>
      <w:r>
        <w:t xml:space="preserve"> </w:t>
      </w:r>
      <w:r>
        <w:t xml:space="preserve">analysis.</w:t>
      </w:r>
    </w:p>
    <w:p>
      <w:pPr>
        <w:pStyle w:val="BodyText"/>
      </w:pPr>
      <w:r>
        <w:rPr>
          <w:i/>
        </w:rPr>
        <w:t xml:space="preserve">Substrate blanks</w:t>
      </w:r>
      <w:r>
        <w:t xml:space="preserve"> </w:t>
      </w:r>
      <w:r>
        <w:t xml:space="preserve">(5 spectra). Empty glass slide.</w:t>
      </w:r>
      <w:r>
        <w:t xml:space="preserve"> </w:t>
      </w:r>
      <w:r>
        <w:rPr>
          <w:b/>
        </w:rPr>
        <w:t xml:space="preserve">TO CHECK: These blanks were recorded at 5% power and 5 s only, which does</w:t>
      </w:r>
      <w:r>
        <w:rPr>
          <w:b/>
        </w:rPr>
        <w:t xml:space="preserve"> </w:t>
      </w:r>
      <w:r>
        <w:rPr>
          <w:b/>
        </w:rPr>
        <w:t xml:space="preserve">not match the sample conditions. Three blanks at the reference condition should</w:t>
      </w:r>
      <w:r>
        <w:rPr>
          <w:b/>
        </w:rPr>
        <w:t xml:space="preserve"> </w:t>
      </w:r>
      <w:r>
        <w:rPr>
          <w:b/>
        </w:rPr>
        <w:t xml:space="preserve">be added before submission.</w:t>
      </w:r>
    </w:p>
    <w:p>
      <w:pPr>
        <w:pStyle w:val="Heading2"/>
      </w:pPr>
      <w:bookmarkStart w:id="26" w:name="spectral-processing"/>
      <w:r>
        <w:t xml:space="preserve">Spectral processing</w:t>
      </w:r>
      <w:bookmarkEnd w:id="26"/>
    </w:p>
    <w:p>
      <w:pPr>
        <w:pStyle w:val="FirstParagraph"/>
      </w:pPr>
      <w:r>
        <w:t xml:space="preserve">All spectra were processed through an identical pipeline. Dark-subtracted</w:t>
      </w:r>
      <w:r>
        <w:t xml:space="preserve"> </w:t>
      </w:r>
      <w:r>
        <w:t xml:space="preserve">intensities were interpolated onto a uniform 1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grid spanning</w:t>
      </w:r>
      <w:r>
        <w:t xml:space="preserve"> </w:t>
      </w:r>
      <w:r>
        <w:t xml:space="preserve">400–1800 cm</w:t>
      </w:r>
      <w:r>
        <w:rPr>
          <w:vertAlign w:val="superscript"/>
        </w:rPr>
        <w:t xml:space="preserve">-1</w:t>
      </w:r>
      <w:r>
        <w:t xml:space="preserve">. Baseline contributions from the substrate and residual</w:t>
      </w:r>
      <w:r>
        <w:t xml:space="preserve"> </w:t>
      </w:r>
      <w:r>
        <w:t xml:space="preserve">fluorescence were removed by asymmetric least-squares fitting</w:t>
      </w:r>
      <w:r>
        <w:t xml:space="preserve"> </w:t>
      </w:r>
      <w:r>
        <w:t xml:space="preserve"> </w:t>
      </w:r>
      <w:r>
        <w:t xml:space="preserve">with smoothing parameter</w:t>
      </w:r>
      <w:r>
        <w:t xml:space="preserve"> </w:t>
      </w:r>
      <m:oMath>
        <m:r>
          <m:t>λ</m:t>
        </m:r>
        <m:r>
          <m:t>=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, asymmetry</w:t>
      </w:r>
      <w:r>
        <w:t xml:space="preserve"> </w:t>
      </w:r>
      <m:oMath>
        <m:r>
          <m:t>p</m:t>
        </m:r>
        <m:r>
          <m:t>=</m:t>
        </m:r>
        <m:r>
          <m:t>0.001</m:t>
        </m:r>
      </m:oMath>
      <w:r>
        <w:t xml:space="preserve"> </w:t>
      </w:r>
      <w:r>
        <w:t xml:space="preserve">and ten</w:t>
      </w:r>
      <w:r>
        <w:t xml:space="preserve"> </w:t>
      </w:r>
      <w:r>
        <w:t xml:space="preserve">iterations. Baseline-corrected spectra were smoothed with a Savitzky–Golay</w:t>
      </w:r>
      <w:r>
        <w:t xml:space="preserve"> </w:t>
      </w:r>
      <w:r>
        <w:t xml:space="preserve">filter</w:t>
      </w:r>
      <w:r>
        <w:t xml:space="preserve"> </w:t>
      </w:r>
      <w:r>
        <w:t xml:space="preserve"> </w:t>
      </w:r>
      <w:r>
        <w:t xml:space="preserve">(window 11 points, third-order polynomial), chosen to</w:t>
      </w:r>
      <w:r>
        <w:t xml:space="preserve"> </w:t>
      </w:r>
      <w:r>
        <w:t xml:space="preserve">suppress detector noise without measurable distortion of band positions or</w:t>
      </w:r>
      <w:r>
        <w:t xml:space="preserve"> </w:t>
      </w:r>
      <w:r>
        <w:t xml:space="preserve">widths, and min–max normalised. Signal-to-noise ratio was estimated as the</w:t>
      </w:r>
      <w:r>
        <w:t xml:space="preserve"> </w:t>
      </w:r>
      <w:r>
        <w:t xml:space="preserve">ratio of maximum band intensity above the median to the noise standard deviation</w:t>
      </w:r>
      <w:r>
        <w:t xml:space="preserve"> </w:t>
      </w:r>
      <w:r>
        <w:t xml:space="preserve">determined from successive differences above 1750 cm</w:t>
      </w:r>
      <w:r>
        <w:rPr>
          <w:vertAlign w:val="superscript"/>
        </w:rPr>
        <w:t xml:space="preserve">-1</w:t>
      </w:r>
      <w:r>
        <w:t xml:space="preserve">. Processing used Python</w:t>
      </w:r>
      <w:r>
        <w:t xml:space="preserve"> </w:t>
      </w:r>
      <w:r>
        <w:t xml:space="preserve">with NumPy, SciPy and pandas.</w:t>
      </w:r>
    </w:p>
    <w:p>
      <w:pPr>
        <w:pStyle w:val="Heading2"/>
      </w:pPr>
      <w:bookmarkStart w:id="27" w:name="band-identification"/>
      <w:r>
        <w:t xml:space="preserve">Band identification</w:t>
      </w:r>
      <w:bookmarkEnd w:id="27"/>
    </w:p>
    <w:p>
      <w:pPr>
        <w:pStyle w:val="FirstParagraph"/>
      </w:pPr>
      <w:r>
        <w:t xml:space="preserve">Band positions were located by prominence-based peak detection on the averaged</w:t>
      </w:r>
      <w:r>
        <w:t xml:space="preserve"> </w:t>
      </w:r>
      <w:r>
        <w:t xml:space="preserve">reference spectrum. Distinguishing genuine weak bands from correlated processing</w:t>
      </w:r>
      <w:r>
        <w:t xml:space="preserve"> </w:t>
      </w:r>
      <w:r>
        <w:t xml:space="preserve">artefacts requires care: baseline correction and smoothing generate reproducible</w:t>
      </w:r>
      <w:r>
        <w:t xml:space="preserve"> </w:t>
      </w:r>
      <w:r>
        <w:t xml:space="preserve">residual structure, so a feature appearing consistently across spectra is not by</w:t>
      </w:r>
      <w:r>
        <w:t xml:space="preserve"> </w:t>
      </w:r>
      <w:r>
        <w:t xml:space="preserve">itself evidence that it is real. Each candidate was therefore evaluated against</w:t>
      </w:r>
      <w:r>
        <w:t xml:space="preserve"> </w:t>
      </w:r>
      <w:r>
        <w:t xml:space="preserve">the local noise level, estimated from successive differences within a</w:t>
      </w:r>
      <w:r>
        <w:t xml:space="preserve"> </w:t>
      </w:r>
      <m:oMath>
        <m:r>
          <m:t>±</m:t>
        </m:r>
      </m:oMath>
      <w:r>
        <w:t xml:space="preserve">50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window, using two independent criteria — peak prominence and</w:t>
      </w:r>
      <w:r>
        <w:t xml:space="preserve"> </w:t>
      </w:r>
      <w:r>
        <w:t xml:space="preserve">peak height above the local median — each required to exceed three times the</w:t>
      </w:r>
      <w:r>
        <w:t xml:space="preserve"> </w:t>
      </w:r>
      <w:r>
        <w:t xml:space="preserve">local noise.</w:t>
      </w:r>
    </w:p>
    <w:p>
      <w:pPr>
        <w:pStyle w:val="BodyText"/>
      </w:pPr>
      <w:r>
        <w:t xml:space="preserve">Bands satisfying both criteria are reported as high confidence. Bands satisfying</w:t>
      </w:r>
      <w:r>
        <w:t xml:space="preserve"> </w:t>
      </w:r>
      <w:r>
        <w:t xml:space="preserve">only one were additionally tested against the independent long-integration</w:t>
      </w:r>
      <w:r>
        <w:t xml:space="preserve"> </w:t>
      </w:r>
      <w:r>
        <w:t xml:space="preserve">dataset (30 and 60 s, signal-to-noise ratio up to 796) and promoted to high</w:t>
      </w:r>
      <w:r>
        <w:t xml:space="preserve"> </w:t>
      </w:r>
      <w:r>
        <w:t xml:space="preserve">confidence where they were confirmed there; otherwise they are reported as</w:t>
      </w:r>
      <w:r>
        <w:t xml:space="preserve"> </w:t>
      </w:r>
      <w:r>
        <w:t xml:space="preserve">tentative. Five candidate features, at 424, 558, 800, 901 and 1629 cm</w:t>
      </w:r>
      <w:r>
        <w:rPr>
          <w:vertAlign w:val="superscript"/>
        </w:rPr>
        <w:t xml:space="preserve">-1</w:t>
      </w:r>
      <w:r>
        <w:t xml:space="preserve">, failed</w:t>
      </w:r>
      <w:r>
        <w:t xml:space="preserve"> </w:t>
      </w:r>
      <w:r>
        <w:t xml:space="preserve">both criteria and are not reported. A reproducibility value is quoted for each</w:t>
      </w:r>
      <w:r>
        <w:t xml:space="preserve"> </w:t>
      </w:r>
      <w:r>
        <w:t xml:space="preserve">band, defined as the fraction of the 22 individual spectra in which a peak was</w:t>
      </w:r>
      <w:r>
        <w:t xml:space="preserve"> </w:t>
      </w:r>
      <w:r>
        <w:t xml:space="preserve">independently detected within</w:t>
      </w:r>
      <w:r>
        <w:t xml:space="preserve"> </w:t>
      </w:r>
      <m:oMath>
        <m:r>
          <m:t>±</m:t>
        </m:r>
      </m:oMath>
      <w:r>
        <w:t xml:space="preserve">4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of the mean position.</w:t>
      </w:r>
    </w:p>
    <w:p>
      <w:pPr>
        <w:pStyle w:val="Heading2"/>
      </w:pPr>
      <w:bookmarkStart w:id="28" w:name="dft-calculations"/>
      <w:r>
        <w:t xml:space="preserve">DFT calculations</w:t>
      </w:r>
      <w:bookmarkEnd w:id="28"/>
    </w:p>
    <w:p>
      <w:pPr>
        <w:pStyle w:val="FirstParagraph"/>
      </w:pPr>
      <w:r>
        <w:t xml:space="preserve">Geometry optimisation and harmonic vibrational frequency calculations were</w:t>
      </w:r>
      <w:r>
        <w:t xml:space="preserve"> </w:t>
      </w:r>
      <w:r>
        <w:t xml:space="preserve">performed with Gaussian 16</w:t>
      </w:r>
      <w:r>
        <w:t xml:space="preserve"> </w:t>
      </w:r>
      <w:r>
        <w:t xml:space="preserve"> </w:t>
      </w:r>
      <w:r>
        <w:t xml:space="preserve">at the B3LYP level</w:t>
      </w:r>
      <w:r>
        <w:t xml:space="preserve"> </w:t>
      </w:r>
      <w:r>
        <w:t xml:space="preserve"> </w:t>
      </w:r>
      <w:r>
        <w:t xml:space="preserve">using the 6-311++G(d,p) basis set, with Grimme’s D3</w:t>
      </w:r>
      <w:r>
        <w:t xml:space="preserve"> </w:t>
      </w:r>
      <w:r>
        <w:t xml:space="preserve">dispersion correction and Becke–Johnson damping</w:t>
      </w:r>
      <w:r>
        <w:t xml:space="preserve"> </w:t>
      </w:r>
      <w:r>
        <w:t xml:space="preserve"> </w:t>
      </w:r>
      <w:r>
        <w:t xml:space="preserve">and Raman</w:t>
      </w:r>
      <w:r>
        <w:t xml:space="preserve"> </w:t>
      </w:r>
      <w:r>
        <w:t xml:space="preserve">activities requested. Optimisation used tight convergence criteria with</w:t>
      </w:r>
      <w:r>
        <w:t xml:space="preserve"> </w:t>
      </w:r>
      <w:r>
        <w:t xml:space="preserve">analytically computed initial force constants, an ultrafine integration grid,</w:t>
      </w:r>
      <w:r>
        <w:t xml:space="preserve"> </w:t>
      </w:r>
      <w:r>
        <w:t xml:space="preserve">and tight SCF convergence with quadratic convergence enabled</w:t>
      </w:r>
      <w:r>
        <w:t xml:space="preserve"> </w:t>
      </w:r>
      <w:r>
        <w:t xml:space="preserve">(</w:t>
      </w:r>
      <w:r>
        <w:rPr>
          <w:rStyle w:val="VerbatimChar"/>
        </w:rPr>
        <w:t xml:space="preserve">opt=(calcfc,tight) freq=raman int=ultrafine scf=(tight,xqc)</w:t>
      </w:r>
      <w:r>
        <w:t xml:space="preserve">).</w:t>
      </w:r>
      <w:r>
        <w:t xml:space="preserve"> </w:t>
      </w:r>
      <w:r>
        <w:t xml:space="preserve">Calculations treated the isolated molecule in the gas phase; no implicit</w:t>
      </w:r>
      <w:r>
        <w:t xml:space="preserve"> </w:t>
      </w:r>
      <w:r>
        <w:t xml:space="preserve">solvation model was applied.</w:t>
      </w:r>
    </w:p>
    <w:p>
      <w:pPr>
        <w:pStyle w:val="BodyText"/>
      </w:pPr>
      <w:r>
        <w:t xml:space="preserve">The starting geometry was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anomer of N-acetylmuramic acid taken from</w:t>
      </w:r>
      <w:r>
        <w:t xml:space="preserve"> </w:t>
      </w:r>
      <w:r>
        <w:t xml:space="preserve">the PubChem 3D conformer record (CID 5462244). The optimisation converged to a</w:t>
      </w:r>
      <w:r>
        <w:t xml:space="preserve"> </w:t>
      </w:r>
      <w:r>
        <w:t xml:space="preserve">stationary point and the job reached normal termination. The optimised structure</w:t>
      </w:r>
      <w:r>
        <w:t xml:space="preserve"> </w:t>
      </w:r>
      <w:r>
        <w:t xml:space="preserve">comprises 39 atoms (C</w:t>
      </w:r>
      <m:oMath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H</w:t>
      </w:r>
      <m:oMath>
        <m:sSub>
          <m:e>
            <m:r>
              <m:t>​</m:t>
            </m:r>
          </m:e>
          <m:sub>
            <m:r>
              <m:t>19</m:t>
            </m:r>
          </m:sub>
        </m:sSub>
      </m:oMath>
      <w:r>
        <w:t xml:space="preserve">NO</w:t>
      </w:r>
      <m:oMath>
        <m:sSub>
          <m:e>
            <m:r>
              <m:t>​</m:t>
            </m:r>
          </m:e>
          <m:sub>
            <m:r>
              <m:t>8</m:t>
            </m:r>
          </m:sub>
        </m:sSub>
      </m:oMath>
      <w:r>
        <w:t xml:space="preserve">) and yielded 111 normal modes, none</w:t>
      </w:r>
      <w:r>
        <w:t xml:space="preserve"> </w:t>
      </w:r>
      <w:r>
        <w:t xml:space="preserve">imaginary, confirming a true minimum on the potential energy surface. Harmonic</w:t>
      </w:r>
      <w:r>
        <w:t xml:space="preserve"> </w:t>
      </w:r>
      <w:r>
        <w:t xml:space="preserve">wavenumbers were scaled by 0.980 below 1800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and 0.967 above, following the</w:t>
      </w:r>
      <w:r>
        <w:t xml:space="preserve"> </w:t>
      </w:r>
      <w:r>
        <w:t xml:space="preserve">scheme applied by Ma et al. </w:t>
      </w:r>
      <w:r>
        <w:t xml:space="preserve">, permitting direct comparison</w:t>
      </w:r>
      <w:r>
        <w:t xml:space="preserve"> </w:t>
      </w:r>
      <w:r>
        <w:t xml:space="preserve">with the only other modern DFT treatment of this molecule.</w:t>
      </w:r>
    </w:p>
    <w:p>
      <w:pPr>
        <w:pStyle w:val="BodyText"/>
      </w:pPr>
      <w:r>
        <w:t xml:space="preserve">Simulated Raman intensities were obtained from the computed Raman activities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using the standard Placzek expression,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t> </m:t>
          </m:r>
          <m:r>
            <m:t>∝</m:t>
          </m:r>
          <m:r>
            <m:t> </m:t>
          </m:r>
          <m:f>
            <m:fPr>
              <m:type m:val="bar"/>
            </m:fPr>
            <m:num>
              <m:r>
                <m:t>(</m:t>
              </m:r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  <m:r>
                <m:t>−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["/>
                  <m:endChr m:val="]"/>
                  <m:grow/>
                </m:dPr>
                <m:e>
                  <m:r>
                    <m:t>1</m:t>
                  </m:r>
                  <m:r>
                    <m:t>−</m:t>
                  </m:r>
                  <m:r>
                    <m:rPr>
                      <m:nor/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("/>
                      <m:endChr m:val=")"/>
                      <m:grow/>
                    </m:dPr>
                    <m:e>
                      <m:r>
                        <m:t>−</m:t>
                      </m:r>
                      <m:r>
                        <m:t>h</m:t>
                      </m:r>
                      <m:r>
                        <m:t>c</m:t>
                      </m:r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/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t>T</m:t>
                      </m:r>
                    </m:e>
                  </m:d>
                </m:e>
              </m:d>
            </m:den>
          </m:f>
          <m: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excitation wavenumber and</w:t>
      </w:r>
      <w:r>
        <w:t xml:space="preserve"> </w:t>
      </w:r>
      <m:oMath>
        <m:r>
          <m:t>T</m:t>
        </m:r>
        <m:r>
          <m:t>=</m:t>
        </m:r>
        <m:r>
          <m:t>298.15</m:t>
        </m:r>
      </m:oMath>
      <w:r>
        <w:t xml:space="preserve"> K, then convolved with</w:t>
      </w:r>
      <w:r>
        <w:t xml:space="preserve"> </w:t>
      </w:r>
      <w:r>
        <w:t xml:space="preserve">Lorentzian line shapes of 10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full width at half maximum.</w:t>
      </w:r>
    </w:p>
    <w:p>
      <w:pPr>
        <w:pStyle w:val="BodyText"/>
      </w:pPr>
      <w:r>
        <w:t xml:space="preserve">Mode characters were determined from the calculated Cartesian displacement</w:t>
      </w:r>
      <w:r>
        <w:t xml:space="preserve"> </w:t>
      </w:r>
      <w:r>
        <w:t xml:space="preserve">vectors. Bond connectivity was established from interatomic distances using</w:t>
      </w:r>
      <w:r>
        <w:t xml:space="preserve"> </w:t>
      </w:r>
      <w:r>
        <w:t xml:space="preserve">covalent radii, and for each normal mode the fractional contribution of every</w:t>
      </w:r>
      <w:r>
        <w:t xml:space="preserve"> </w:t>
      </w:r>
      <w:r>
        <w:t xml:space="preserve">atom, of the pyranose ring, and of individual bond-stretching coordinates was</w:t>
      </w:r>
      <w:r>
        <w:t xml:space="preserve"> </w:t>
      </w:r>
      <w:r>
        <w:t xml:space="preserve">evaluated from mass-weighted displacements. This provides a quantitative and</w:t>
      </w:r>
      <w:r>
        <w:t xml:space="preserve"> </w:t>
      </w:r>
      <w:r>
        <w:t xml:space="preserve">reproducible basis for the assignments in Table </w:t>
      </w:r>
      <w:hyperlink w:anchor="tab:comparison">
        <w:r>
          <w:rPr>
            <w:rStyle w:val="Hyperlink"/>
          </w:rPr>
          <w:t xml:space="preserve">1</w:t>
        </w:r>
      </w:hyperlink>
      <w:r>
        <w:t xml:space="preserve">. It is not</w:t>
      </w:r>
      <w:r>
        <w:t xml:space="preserve"> </w:t>
      </w:r>
      <w:r>
        <w:t xml:space="preserve">equivalent to a full potential energy distribution analysis, and principal</w:t>
      </w:r>
      <w:r>
        <w:t xml:space="preserve"> </w:t>
      </w:r>
      <w:r>
        <w:t xml:space="preserve">assignments should be confirmed by inspection of the normal-mode animations.</w:t>
      </w:r>
    </w:p>
    <w:p>
      <w:pPr>
        <w:pStyle w:val="Heading1"/>
      </w:pPr>
      <w:bookmarkStart w:id="29" w:name="results-and-discussion"/>
      <w:r>
        <w:t xml:space="preserve">Results and discussion</w:t>
      </w:r>
      <w:bookmarkEnd w:id="29"/>
    </w:p>
    <w:p>
      <w:pPr>
        <w:pStyle w:val="Heading2"/>
      </w:pPr>
      <w:bookmarkStart w:id="30" w:name="optimised-molecular-geometry"/>
      <w:r>
        <w:t xml:space="preserve">Optimised molecular geometry</w:t>
      </w:r>
      <w:bookmarkEnd w:id="30"/>
    </w:p>
    <w:p>
      <w:pPr>
        <w:pStyle w:val="FirstParagraph"/>
      </w:pPr>
      <w:r>
        <w:t xml:space="preserve">The DFT-optimised structure is shown in Figure </w:t>
      </w:r>
      <w:hyperlink w:anchor="fig:structure">
        <w:r>
          <w:rPr>
            <w:rStyle w:val="Hyperlink"/>
          </w:rPr>
          <w:t xml:space="preserve">1</w:t>
        </w:r>
      </w:hyperlink>
      <w:r>
        <w:t xml:space="preserve">. The pyranose</w:t>
      </w:r>
      <w:r>
        <w:t xml:space="preserve"> </w:t>
      </w:r>
      <w:r>
        <w:t xml:space="preserve">ring adopts the expected</w:t>
      </w:r>
      <w:r>
        <w:t xml:space="preserve"> </w:t>
      </w:r>
      <m:oMath>
        <m:sSup>
          <m:e>
            <m:r>
              <m:t>​</m:t>
            </m:r>
          </m:e>
          <m:sup>
            <m:r>
              <m:t>4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chair conformation, with the acetamido group at</w:t>
      </w:r>
      <w:r>
        <w:t xml:space="preserve"> </w:t>
      </w:r>
      <w:r>
        <w:t xml:space="preserve">C-2, the D-lactyl ether at C-3 and the hydroxymethyl group at C-5. Optimised</w:t>
      </w:r>
      <w:r>
        <w:t xml:space="preserve"> </w:t>
      </w:r>
      <w:r>
        <w:t xml:space="preserve">Cartesian coordinates are given in the Supplementary Material.</w:t>
      </w:r>
    </w:p>
    <w:p>
      <w:pPr>
        <w:pStyle w:val="CaptionedFigure"/>
      </w:pPr>
      <w:bookmarkStart w:id="32" w:name="fig:structure"/>
      <w:r>
        <w:drawing>
          <wp:inline>
            <wp:extent cx="5334000" cy="2857643"/>
            <wp:effectExtent b="0" l="0" r="0" t="0"/>
            <wp:docPr descr="DFT-optimised geometry of \beta-N-acetylmuramic acid at the B3LYP-D3BJ/6-311++G(d,p) level. (a) View along the pyranose ring normal, with ring carbons and the three substituent groups labelled. (b) Rotated view showing the ^4C_1 chair conformation. The D-lactyl ether at C-3 and its terminal carboxyl group distinguish muramic acid from N-acetylglucosamine." title="" id="1" name="Picture"/>
            <a:graphic>
              <a:graphicData uri="http://schemas.openxmlformats.org/drawingml/2006/picture">
                <pic:pic>
                  <pic:nvPicPr>
                    <pic:cNvPr descr="figures/fig1_stru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DFT-optimised geometry of</w:t>
      </w:r>
      <w:r>
        <w:t xml:space="preserve"> </w:t>
      </w:r>
      <m:oMath>
        <m:r>
          <m:t>β</m:t>
        </m:r>
      </m:oMath>
      <w:r>
        <w:t xml:space="preserve">-N-acetylmuramic acid at the</w:t>
      </w:r>
      <w:r>
        <w:t xml:space="preserve"> </w:t>
      </w:r>
      <w:r>
        <w:t xml:space="preserve">B3LYP-D3BJ/6-311++G(d,p) level. (a) View along the pyranose ring normal, with</w:t>
      </w:r>
      <w:r>
        <w:t xml:space="preserve"> </w:t>
      </w:r>
      <w:r>
        <w:t xml:space="preserve">ring carbons and the three substituent groups labelled. (b) Rotated view showing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​</m:t>
            </m:r>
          </m:e>
          <m:sup>
            <m:r>
              <m:t>4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chair conformation. The D-lactyl ether at C-3 and its terminal</w:t>
      </w:r>
      <w:r>
        <w:t xml:space="preserve"> </w:t>
      </w:r>
      <w:r>
        <w:t xml:space="preserve">carboxyl group distinguish muramic acid from N-acetylglucosamine.</w:t>
      </w:r>
    </w:p>
    <w:p>
      <w:pPr>
        <w:pStyle w:val="Heading2"/>
      </w:pPr>
      <w:bookmarkStart w:id="33" w:name="acquisition-conditions"/>
      <w:r>
        <w:t xml:space="preserve">Acquisition conditions</w:t>
      </w:r>
      <w:bookmarkEnd w:id="33"/>
    </w:p>
    <w:p>
      <w:pPr>
        <w:pStyle w:val="FirstParagraph"/>
      </w:pPr>
      <w:r>
        <w:t xml:space="preserve">Figure </w:t>
      </w:r>
      <w:hyperlink w:anchor="fig:optim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summarises the signal-to-noise ratio across the</w:t>
      </w:r>
      <w:r>
        <w:t xml:space="preserve"> </w:t>
      </w:r>
      <w:r>
        <w:t xml:space="preserve">acquisition grid. SNR increases monotonically with both integration time and</w:t>
      </w:r>
      <w:r>
        <w:t xml:space="preserve"> </w:t>
      </w:r>
      <w:r>
        <w:t xml:space="preserve">laser power over the ranges examined, reaching approximately 287 at 25 s and</w:t>
      </w:r>
      <w:r>
        <w:t xml:space="preserve"> </w:t>
      </w:r>
      <w:r>
        <w:t xml:space="preserve">75% power. Band positions are unchanged across the entire grid: the 930 and</w:t>
      </w:r>
      <w:r>
        <w:t xml:space="preserve"> </w:t>
      </w:r>
      <w:r>
        <w:t xml:space="preserve">1451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bands remain within</w:t>
      </w:r>
      <w:r>
        <w:t xml:space="preserve"> </w:t>
      </w:r>
      <m:oMath>
        <m:r>
          <m:t>±</m:t>
        </m:r>
      </m:oMath>
      <w:r>
        <w:t xml:space="preserve">1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of their mean positions from 5% to</w:t>
      </w:r>
      <w:r>
        <w:t xml:space="preserve"> </w:t>
      </w:r>
      <w:r>
        <w:t xml:space="preserve">80% power, and the full width at half maximum of the 930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band stays</w:t>
      </w:r>
      <w:r>
        <w:t xml:space="preserve"> </w:t>
      </w:r>
      <w:r>
        <w:t xml:space="preserve">between 9 and 11 cm</w:t>
      </w:r>
      <w:r>
        <w:rPr>
          <w:vertAlign w:val="superscript"/>
        </w:rPr>
        <w:t xml:space="preserve">-1</w:t>
      </w:r>
      <w:r>
        <w:t xml:space="preserve">. No broad carbonaceous background develops and no band</w:t>
      </w:r>
      <w:r>
        <w:t xml:space="preserve"> </w:t>
      </w:r>
      <w:r>
        <w:t xml:space="preserve">structure is lost.</w:t>
      </w:r>
    </w:p>
    <w:p>
      <w:pPr>
        <w:pStyle w:val="CaptionedFigure"/>
      </w:pPr>
      <w:bookmarkStart w:id="35" w:name="fig:optim"/>
      <w:r>
        <w:drawing>
          <wp:inline>
            <wp:extent cx="5334000" cy="2245894"/>
            <wp:effectExtent b="0" l="0" r="0" t="0"/>
            <wp:docPr descr="Acquisition-parameter survey for N-acetylmuramic acid powder across 98 spectra. (a) Signal-to-noise ratio across five integration times and sixteen laser power settings. (b) Signal-to-noise ratio as a function of laser power at each integration time." title="" id="1" name="Picture"/>
            <a:graphic>
              <a:graphicData uri="http://schemas.openxmlformats.org/drawingml/2006/picture">
                <pic:pic>
                  <pic:nvPicPr>
                    <pic:cNvPr descr="figures/fig3_optimis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Acquisition-parameter survey for N-acetylmuramic acid powder across 98</w:t>
      </w:r>
      <w:r>
        <w:t xml:space="preserve"> </w:t>
      </w:r>
      <w:r>
        <w:t xml:space="preserve">spectra. (a) Signal-to-noise ratio across five integration times and sixteen</w:t>
      </w:r>
      <w:r>
        <w:t xml:space="preserve"> </w:t>
      </w:r>
      <w:r>
        <w:t xml:space="preserve">laser power settings. (b) Signal-to-noise ratio as a function of laser power at</w:t>
      </w:r>
      <w:r>
        <w:t xml:space="preserve"> </w:t>
      </w:r>
      <w:r>
        <w:t xml:space="preserve">each integration time.</w:t>
      </w:r>
    </w:p>
    <w:p>
      <w:pPr>
        <w:pStyle w:val="BodyText"/>
      </w:pPr>
      <w:r>
        <w:t xml:space="preserve">We note that in this survey the power was stepped in ascending order within each</w:t>
      </w:r>
      <w:r>
        <w:t xml:space="preserve"> </w:t>
      </w:r>
      <w:r>
        <w:t xml:space="preserve">series, so laser power and cumulative exposure are not statistically separable.</w:t>
      </w:r>
      <w:r>
        <w:t xml:space="preserve"> </w:t>
      </w:r>
      <w:r>
        <w:t xml:space="preserve">The photostability measurements described next were designed to address this</w:t>
      </w:r>
      <w:r>
        <w:t xml:space="preserve"> </w:t>
      </w:r>
      <w:r>
        <w:t xml:space="preserve">directly.</w:t>
      </w:r>
    </w:p>
    <w:p>
      <w:pPr>
        <w:pStyle w:val="Heading2"/>
      </w:pPr>
      <w:bookmarkStart w:id="36" w:name="sec:photostab"/>
      <w:r>
        <w:t xml:space="preserve">Photostability and the laser-damage threshold</w:t>
      </w:r>
      <w:bookmarkEnd w:id="36"/>
    </w:p>
    <w:p>
      <w:pPr>
        <w:pStyle w:val="FirstParagraph"/>
      </w:pPr>
      <w:r>
        <w:t xml:space="preserve">Figure </w:t>
      </w:r>
      <w:hyperlink w:anchor="fig:photostab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shows two contrasting series acquired without moving</w:t>
      </w:r>
      <w:r>
        <w:t xml:space="preserve"> </w:t>
      </w:r>
      <w:r>
        <w:t xml:space="preserve">the stage.</w:t>
      </w:r>
    </w:p>
    <w:p>
      <w:pPr>
        <w:pStyle w:val="BodyText"/>
      </w:pPr>
      <w:r>
        <w:t xml:space="preserve">At 90% power and 30 s integration the spectrum is unchanged over ten</w:t>
      </w:r>
      <w:r>
        <w:t xml:space="preserve"> </w:t>
      </w:r>
      <w:r>
        <w:t xml:space="preserve">consecutive scans. The normalised intensity of the strongest band, at</w:t>
      </w:r>
      <w:r>
        <w:t xml:space="preserve"> </w:t>
      </w:r>
      <w:r>
        <w:t xml:space="preserve">930 cm</w:t>
      </w:r>
      <w:r>
        <w:rPr>
          <w:vertAlign w:val="superscript"/>
        </w:rPr>
        <w:t xml:space="preserve">-1</w:t>
      </w:r>
      <w:r>
        <w:t xml:space="preserve">, varies by less than 2% across the series, and the spectra overlay</w:t>
      </w:r>
      <w:r>
        <w:t xml:space="preserve"> </w:t>
      </w:r>
      <w:r>
        <w:t xml:space="preserve">almost exactly.</w:t>
      </w:r>
    </w:p>
    <w:p>
      <w:pPr>
        <w:pStyle w:val="BodyText"/>
      </w:pPr>
      <w:r>
        <w:t xml:space="preserve">At the same power with 60 s integration the material is destroyed. The</w:t>
      </w:r>
      <w:r>
        <w:t xml:space="preserve"> </w:t>
      </w:r>
      <w:r>
        <w:t xml:space="preserve">intensity of the 930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band falls monotonically from 0.44 to 0.23 over five</w:t>
      </w:r>
      <w:r>
        <w:t xml:space="preserve"> </w:t>
      </w:r>
      <w:r>
        <w:t xml:space="preserve">consecutive scans, the characteristic sharp features at 872, 930 and 956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collapse, and the spectrum degrades towards a broad, poorly structured profile.</w:t>
      </w:r>
      <w:r>
        <w:t xml:space="preserve"> </w:t>
      </w:r>
      <w:r>
        <w:t xml:space="preserve">Correlation with the reference spectrum falls to</w:t>
      </w:r>
      <w:r>
        <w:t xml:space="preserve"> </w:t>
      </w:r>
      <m:oMath>
        <m:r>
          <m:t>r</m:t>
        </m:r>
        <m:r>
          <m:t>=</m:t>
        </m:r>
        <m:r>
          <m:t>0.06</m:t>
        </m:r>
      </m:oMath>
      <w:r>
        <w:t xml:space="preserve">–</w:t>
      </w:r>
      <m:oMath>
        <m:r>
          <m:t>0.31</m:t>
        </m:r>
      </m:oMath>
      <w:r>
        <w:t xml:space="preserve">. The same</w:t>
      </w:r>
      <w:r>
        <w:t xml:space="preserve"> </w:t>
      </w:r>
      <w:r>
        <w:t xml:space="preserve">behaviour is seen when fresh spots are used at this condition.</w:t>
      </w:r>
    </w:p>
    <w:p>
      <w:pPr>
        <w:pStyle w:val="CaptionedFigure"/>
      </w:pPr>
      <w:bookmarkStart w:id="38" w:name="fig:photostab"/>
      <w:r>
        <w:drawing>
          <wp:inline>
            <wp:extent cx="5334000" cy="2509718"/>
            <wp:effectExtent b="0" l="0" r="0" t="0"/>
            <wp:docPr descr="Photostability of N-acetylmuramic acid powder under 785 nm excitation. (a) Ten consecutive scans at 90% laser power and 30 s integration, same spot: the spectra are indistinguishable. (b) Five consecutive scans at 90% power and 60 s integration, same spot, with the reference spectrum shown for comparison: the sample is destroyed. (c) Normalised intensity of the 930 cm-1 band across consecutive scans for both conditions." title="" id="1" name="Picture"/>
            <a:graphic>
              <a:graphicData uri="http://schemas.openxmlformats.org/drawingml/2006/picture">
                <pic:pic>
                  <pic:nvPicPr>
                    <pic:cNvPr descr="figures/fig4_photostabil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9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Photostability of N-acetylmuramic acid powder under 785 nm excitation.</w:t>
      </w:r>
      <w:r>
        <w:t xml:space="preserve"> </w:t>
      </w:r>
      <w:r>
        <w:t xml:space="preserve">(a) Ten consecutive scans at 90% laser power and 30 s integration, same spot:</w:t>
      </w:r>
      <w:r>
        <w:t xml:space="preserve"> </w:t>
      </w:r>
      <w:r>
        <w:t xml:space="preserve">the spectra are indistinguishable. (b) Five consecutive scans at 90% power and</w:t>
      </w:r>
      <w:r>
        <w:t xml:space="preserve"> </w:t>
      </w:r>
      <w:r>
        <w:t xml:space="preserve">60 s integration, same spot, with the reference spectrum shown for comparison:</w:t>
      </w:r>
      <w:r>
        <w:t xml:space="preserve"> </w:t>
      </w:r>
      <w:r>
        <w:t xml:space="preserve">the sample is destroyed. (c) Normalised intensity of the 930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band across</w:t>
      </w:r>
      <w:r>
        <w:t xml:space="preserve"> </w:t>
      </w:r>
      <w:r>
        <w:t xml:space="preserve">consecutive scans for both conditions.</w:t>
      </w:r>
    </w:p>
    <w:p>
      <w:pPr>
        <w:pStyle w:val="BodyText"/>
      </w:pPr>
      <w:r>
        <w:t xml:space="preserve">Taken with the acquisition survey, these measurements define a working envelope</w:t>
      </w:r>
      <w:r>
        <w:t xml:space="preserve"> </w:t>
      </w:r>
      <w:r>
        <w:t xml:space="preserve">for this material at 785 nm through a 20</w:t>
      </w:r>
      <m:oMath>
        <m:r>
          <m:t>×</m:t>
        </m:r>
      </m:oMath>
      <w:r>
        <w:t xml:space="preserve"> </w:t>
      </w:r>
      <w:r>
        <w:t xml:space="preserve">objective: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≤</m:t>
              </m:r>
            </m:oMath>
            <w:r>
              <w:t xml:space="preserve">80% power,</w:t>
            </w:r>
            <w:r>
              <w:t xml:space="preserve"> </w:t>
            </w:r>
            <m:oMath>
              <m:r>
                <m:t>≤</m:t>
              </m:r>
            </m:oMath>
            <w:r>
              <w:t xml:space="preserve">25 s</w:t>
            </w:r>
          </w:p>
        </w:tc>
        <w:tc>
          <w:p>
            <w:pPr>
              <w:pStyle w:val="Compact"/>
              <w:jc w:val="center"/>
            </w:pPr>
            <w:r>
              <w:t xml:space="preserve">stable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70% power, 30 s</w:t>
            </w:r>
          </w:p>
        </w:tc>
        <w:tc>
          <w:p>
            <w:pPr>
              <w:pStyle w:val="Compact"/>
              <w:jc w:val="center"/>
            </w:pPr>
            <w:r>
              <w:t xml:space="preserve">stable (</w:t>
            </w:r>
            <m:oMath>
              <m:r>
                <m:t>r</m:t>
              </m:r>
              <m:r>
                <m:t>=</m:t>
              </m:r>
              <m:r>
                <m:t>0.977</m:t>
              </m:r>
            </m:oMath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70% power, 60 s</w:t>
            </w:r>
          </w:p>
        </w:tc>
        <w:tc>
          <w:p>
            <w:pPr>
              <w:pStyle w:val="Compact"/>
              <w:jc w:val="center"/>
            </w:pPr>
            <w:r>
              <w:t xml:space="preserve">stable (</w:t>
            </w:r>
            <m:oMath>
              <m:r>
                <m:t>r</m:t>
              </m:r>
              <m:r>
                <m:t>=</m:t>
              </m:r>
              <m:r>
                <m:t>0.970</m:t>
              </m:r>
            </m:oMath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90% power, 30 s</w:t>
            </w:r>
          </w:p>
        </w:tc>
        <w:tc>
          <w:p>
            <w:pPr>
              <w:pStyle w:val="Compact"/>
              <w:jc w:val="center"/>
            </w:pPr>
            <w:r>
              <w:t xml:space="preserve">stable over 10 consecutive scans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90% power, 60 s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sample destroyed</w:t>
            </w:r>
          </w:p>
        </w:tc>
      </w:tr>
    </w:tbl>
    <w:p>
      <w:pPr>
        <w:pStyle w:val="BodyText"/>
      </w:pPr>
      <w:r>
        <w:t xml:space="preserve">Reporting this limit explicitly seems worthwhile: carbohydrate powders are often</w:t>
      </w:r>
      <w:r>
        <w:t xml:space="preserve"> </w:t>
      </w:r>
      <w:r>
        <w:t xml:space="preserve">assumed to tolerate near-infrared excitation indefinitely, and the transition</w:t>
      </w:r>
      <w:r>
        <w:t xml:space="preserve"> </w:t>
      </w:r>
      <w:r>
        <w:t xml:space="preserve">here is abrupt rather than gradual.</w:t>
      </w:r>
    </w:p>
    <w:p>
      <w:pPr>
        <w:pStyle w:val="BodyText"/>
      </w:pPr>
      <w:r>
        <w:t xml:space="preserve">The threshold is expressed here in terms of instrument settings, which permits</w:t>
      </w:r>
      <w:r>
        <w:t xml:space="preserve"> </w:t>
      </w:r>
      <w:r>
        <w:t xml:space="preserve">exact reproduction on the same instrument. In absolute terms, and using the</w:t>
      </w:r>
      <w:r>
        <w:t xml:space="preserve"> </w:t>
      </w:r>
      <w:r>
        <w:t xml:space="preserve">estimates given in Section 2.2, the damaging condition corresponds to a power</w:t>
      </w:r>
      <w:r>
        <w:t xml:space="preserve"> </w:t>
      </w:r>
      <w:r>
        <w:t xml:space="preserve">density of order 25–45 mW </w:t>
      </w:r>
      <m:oMath>
        <m:r>
          <m:t>μ</m:t>
        </m:r>
      </m:oMath>
      <w:r>
        <w:t xml:space="preserve">m</w:t>
      </w:r>
      <m:oMath>
        <m:sSup>
          <m:e>
            <m:r>
              <m:t>​</m:t>
            </m:r>
          </m:e>
          <m:sup>
            <m: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sustained for 60 s, while the same</w:t>
      </w:r>
      <w:r>
        <w:t xml:space="preserve"> </w:t>
      </w:r>
      <w:r>
        <w:t xml:space="preserve">power density for 30 s produced no detectable change. We emphasise that these</w:t>
      </w:r>
      <w:r>
        <w:t xml:space="preserve"> </w:t>
      </w:r>
      <w:r>
        <w:t xml:space="preserve">absolute values are estimated from component specifications rather than measured,</w:t>
      </w:r>
      <w:r>
        <w:t xml:space="preserve"> </w:t>
      </w:r>
      <w:r>
        <w:t xml:space="preserve">and that the exposure duration is as important as the power: the sample tolerated</w:t>
      </w:r>
      <w:r>
        <w:t xml:space="preserve"> </w:t>
      </w:r>
      <w:r>
        <w:t xml:space="preserve">ten consecutive 30 s exposures at the same power that destroyed it in a single</w:t>
      </w:r>
      <w:r>
        <w:t xml:space="preserve"> </w:t>
      </w:r>
      <w:r>
        <w:t xml:space="preserve">60 s exposure.</w:t>
      </w:r>
    </w:p>
    <w:p>
      <w:pPr>
        <w:pStyle w:val="Heading2"/>
      </w:pPr>
      <w:bookmarkStart w:id="39" w:name="reference-raman-spectrum"/>
      <w:r>
        <w:t xml:space="preserve">Reference Raman spectrum</w:t>
      </w:r>
      <w:bookmarkEnd w:id="39"/>
    </w:p>
    <w:p>
      <w:pPr>
        <w:pStyle w:val="FirstParagraph"/>
      </w:pPr>
      <w:r>
        <w:t xml:space="preserve">The reference spectrum, constructed as the mean of 22 independent measurements</w:t>
      </w:r>
      <w:r>
        <w:t xml:space="preserve"> </w:t>
      </w:r>
      <w:r>
        <w:t xml:space="preserve">on fresh sample, is shown in Figure </w:t>
      </w:r>
      <w:hyperlink w:anchor="fig:ref">
        <w:r>
          <w:rPr>
            <w:rStyle w:val="Hyperlink"/>
          </w:rPr>
          <w:t xml:space="preserve">4</w:t>
        </w:r>
      </w:hyperlink>
      <w:r>
        <w:t xml:space="preserve">. The mean pairwise correlation</w:t>
      </w:r>
      <w:r>
        <w:t xml:space="preserve"> </w:t>
      </w:r>
      <w:r>
        <w:t xml:space="preserve">coefficient among the contributing spectra is 0.986, and the two contributing</w:t>
      </w:r>
      <w:r>
        <w:t xml:space="preserve"> </w:t>
      </w:r>
      <w:r>
        <w:t xml:space="preserve">sets — acquired at 70% and 90% power — agree with one another at</w:t>
      </w:r>
      <w:r>
        <w:t xml:space="preserve"> </w:t>
      </w:r>
      <m:oMath>
        <m:r>
          <m:t>r</m:t>
        </m:r>
        <m:r>
          <m:t>=</m:t>
        </m:r>
        <m:r>
          <m:t>0.992</m:t>
        </m:r>
      </m:oMath>
      <w:r>
        <w:t xml:space="preserve">, confirming that band positions and relative intensities are</w:t>
      </w:r>
      <w:r>
        <w:t xml:space="preserve"> </w:t>
      </w:r>
      <w:r>
        <w:t xml:space="preserve">independent of laser power within the stable regime.</w:t>
      </w:r>
    </w:p>
    <w:p>
      <w:pPr>
        <w:pStyle w:val="BodyText"/>
      </w:pPr>
      <w:r>
        <w:t xml:space="preserve">Forty-one bands satisfy the confidence criteria in the 400–1800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region:</w:t>
      </w:r>
      <w:r>
        <w:t xml:space="preserve"> </w:t>
      </w:r>
      <w:r>
        <w:t xml:space="preserve">32 high confidence and 9 tentative. Two further bands, at 1007 and 1112 cm</w:t>
      </w:r>
      <w:r>
        <w:rPr>
          <w:vertAlign w:val="superscript"/>
        </w:rPr>
        <w:t xml:space="preserve">-1</w:t>
      </w:r>
      <w:r>
        <w:t xml:space="preserve">,</w:t>
      </w:r>
      <w:r>
        <w:t xml:space="preserve"> </w:t>
      </w:r>
      <w:r>
        <w:t xml:space="preserve">were promoted from tentative to high confidence by independent confirmation in</w:t>
      </w:r>
      <w:r>
        <w:t xml:space="preserve"> </w:t>
      </w:r>
      <w:r>
        <w:t xml:space="preserve">the long-integration dataset. The most intense features occur at 930, 956, 872,</w:t>
      </w:r>
      <w:r>
        <w:t xml:space="preserve"> </w:t>
      </w:r>
      <w:r>
        <w:t xml:space="preserve">831, 1024 and 542 cm</w:t>
      </w:r>
      <w:r>
        <w:rPr>
          <w:vertAlign w:val="superscript"/>
        </w:rPr>
        <w:t xml:space="preserve">-1</w:t>
      </w:r>
      <w:r>
        <w:t xml:space="preserve">.</w:t>
      </w:r>
    </w:p>
    <w:p>
      <w:pPr>
        <w:pStyle w:val="CaptionedFigure"/>
      </w:pPr>
      <w:bookmarkStart w:id="41" w:name="fig:ref"/>
      <w:r>
        <w:drawing>
          <wp:inline>
            <wp:extent cx="5334000" cy="2667000"/>
            <wp:effectExtent b="0" l="0" r="0" t="0"/>
            <wp:docPr descr="Reference Raman spectrum of isolated N-acetylmuramic acid powder. Solid line: mean of 22 independent measurements on fresh sample at 785 nm. Shaded band: \pm1 standard deviation. Principal band positions are labelled in cm-1." title="" id="1" name="Picture"/>
            <a:graphic>
              <a:graphicData uri="http://schemas.openxmlformats.org/drawingml/2006/picture">
                <pic:pic>
                  <pic:nvPicPr>
                    <pic:cNvPr descr="figures/fig2_refer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Reference Raman spectrum of isolated N-acetylmuramic acid powder.</w:t>
      </w:r>
      <w:r>
        <w:t xml:space="preserve"> </w:t>
      </w:r>
      <w:r>
        <w:t xml:space="preserve">Solid line: mean of 22 independent measurements on fresh sample at 785 nm.</w:t>
      </w:r>
      <w:r>
        <w:t xml:space="preserve"> </w:t>
      </w:r>
      <w:r>
        <w:t xml:space="preserve">Shaded band:</w:t>
      </w:r>
      <w:r>
        <w:t xml:space="preserve"> </w:t>
      </w:r>
      <m:oMath>
        <m:r>
          <m:t>±</m:t>
        </m:r>
      </m:oMath>
      <w:r>
        <w:t xml:space="preserve">1 standard deviation. Principal band positions are labelled in</w:t>
      </w:r>
      <w:r>
        <w:t xml:space="preserve"> </w:t>
      </w:r>
      <w:r>
        <w:t xml:space="preserve">cm</w:t>
      </w:r>
      <w:r>
        <w:rPr>
          <w:vertAlign w:val="superscript"/>
        </w:rPr>
        <w:t xml:space="preserve">-1</w:t>
      </w:r>
      <w:r>
        <w:t xml:space="preserve">.</w:t>
      </w:r>
    </w:p>
    <w:p>
      <w:pPr>
        <w:pStyle w:val="BodyText"/>
      </w:pPr>
      <w:r>
        <w:t xml:space="preserve">The spectrum divides into four regions. Below 700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the bands at 458, 488,</w:t>
      </w:r>
      <w:r>
        <w:t xml:space="preserve"> </w:t>
      </w:r>
      <w:r>
        <w:t xml:space="preserve">523, 542, 585 and 646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arise from skeletal bending and ring torsional</w:t>
      </w:r>
      <w:r>
        <w:t xml:space="preserve"> </w:t>
      </w:r>
      <w:r>
        <w:t xml:space="preserve">motions of the pyranose framework. Between 700 and 1000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the strong</w:t>
      </w:r>
      <w:r>
        <w:t xml:space="preserve"> </w:t>
      </w:r>
      <w:r>
        <w:t xml:space="preserve">features at 831, 872, 930 and 956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correspond to ring deformation,</w:t>
      </w:r>
      <w:r>
        <w:t xml:space="preserve"> </w:t>
      </w:r>
      <w:r>
        <w:t xml:space="preserve">hydroxymethyl motion and ring breathing with coupled C–C–O stretching; the</w:t>
      </w:r>
      <w:r>
        <w:t xml:space="preserve"> </w:t>
      </w:r>
      <w:r>
        <w:t xml:space="preserve">prominence of this region is characteristic of pyranose sugars. The</w:t>
      </w:r>
      <w:r>
        <w:t xml:space="preserve"> </w:t>
      </w:r>
      <w:r>
        <w:t xml:space="preserve">1000–1200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region, containing bands at 1024, 1059, 1085, 1128 and</w:t>
      </w:r>
      <w:r>
        <w:t xml:space="preserve"> </w:t>
      </w:r>
      <w:r>
        <w:t xml:space="preserve">1157 cm</w:t>
      </w:r>
      <w:r>
        <w:rPr>
          <w:vertAlign w:val="superscript"/>
        </w:rPr>
        <w:t xml:space="preserve">-1</w:t>
      </w:r>
      <w:r>
        <w:t xml:space="preserve">, is dominated by C–O and C–C stretching of the ring together with</w:t>
      </w:r>
      <w:r>
        <w:t xml:space="preserve"> </w:t>
      </w:r>
      <w:r>
        <w:t xml:space="preserve">C–O–H bending. Above 1200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the bands at 1321, 1346, 1395 and 1451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reflect C–H bending, methyl umbrella and methylene scissoring deformations, the</w:t>
      </w:r>
      <w:r>
        <w:t xml:space="preserve"> </w:t>
      </w:r>
      <w:r>
        <w:t xml:space="preserve">last carrying substantial contribution from the lactyl methyl group.</w:t>
      </w:r>
    </w:p>
    <w:p>
      <w:pPr>
        <w:pStyle w:val="Heading2"/>
      </w:pPr>
      <w:bookmarkStart w:id="42" w:name="simulated-spectrum"/>
      <w:r>
        <w:t xml:space="preserve">Simulated spectrum</w:t>
      </w:r>
      <w:bookmarkEnd w:id="42"/>
    </w:p>
    <w:p>
      <w:pPr>
        <w:pStyle w:val="FirstParagraph"/>
      </w:pPr>
      <w:r>
        <w:t xml:space="preserve">The simulated Raman spectrum obtained after scaling, intensity conversion and</w:t>
      </w:r>
      <w:r>
        <w:t xml:space="preserve"> </w:t>
      </w:r>
      <w:r>
        <w:t xml:space="preserve">Lorentzian broadening is shown in Figure </w:t>
      </w:r>
      <w:hyperlink w:anchor="fig:sim">
        <w:r>
          <w:rPr>
            <w:rStyle w:val="Hyperlink"/>
          </w:rPr>
          <w:t xml:space="preserve">5</w:t>
        </w:r>
      </w:hyperlink>
      <w:r>
        <w:t xml:space="preserve">. Sixty-seven of the 111</w:t>
      </w:r>
      <w:r>
        <w:t xml:space="preserve"> </w:t>
      </w:r>
      <w:r>
        <w:t xml:space="preserve">computed modes fall within the 400–1800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window examined experimentally.</w:t>
      </w:r>
    </w:p>
    <w:p>
      <w:pPr>
        <w:pStyle w:val="CaptionedFigure"/>
      </w:pPr>
      <w:bookmarkStart w:id="44" w:name="fig:sim"/>
      <w:r>
        <w:drawing>
          <wp:inline>
            <wp:extent cx="5334000" cy="4058429"/>
            <wp:effectExtent b="0" l="0" r="0" t="0"/>
            <wp:docPr descr="Simulated Raman spectrum of isolated \beta-N-acetylmuramic acid computed at the B3LYP-D3BJ/6-311++G(d,p) level. Upper panel: scaled harmonic frequencies with normalised Raman activities. Lower panel: Lorentzian-broadened spectrum (FWHM 10 cm-1)." title="" id="1" name="Picture"/>
            <a:graphic>
              <a:graphicData uri="http://schemas.openxmlformats.org/drawingml/2006/picture">
                <pic:pic>
                  <pic:nvPicPr>
                    <pic:cNvPr descr="figures/fig5_simul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8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Simulated Raman spectrum of isolated</w:t>
      </w:r>
      <w:r>
        <w:t xml:space="preserve"> </w:t>
      </w:r>
      <m:oMath>
        <m:r>
          <m:t>β</m:t>
        </m:r>
      </m:oMath>
      <w:r>
        <w:t xml:space="preserve">-N-acetylmuramic acid</w:t>
      </w:r>
      <w:r>
        <w:t xml:space="preserve"> </w:t>
      </w:r>
      <w:r>
        <w:t xml:space="preserve">computed at the B3LYP-D3BJ/6-311++G(d,p) level. Upper panel: scaled harmonic</w:t>
      </w:r>
      <w:r>
        <w:t xml:space="preserve"> </w:t>
      </w:r>
      <w:r>
        <w:t xml:space="preserve">frequencies with normalised Raman activities. Lower panel: Lorentzian-broadened</w:t>
      </w:r>
      <w:r>
        <w:t xml:space="preserve"> </w:t>
      </w:r>
      <w:r>
        <w:t xml:space="preserve">spectrum (FWHM 10 cm</w:t>
      </w:r>
      <w:r>
        <w:rPr>
          <w:vertAlign w:val="superscript"/>
        </w:rPr>
        <w:t xml:space="preserve">-1</w:t>
      </w:r>
      <w:r>
        <w:t xml:space="preserve">).</w:t>
      </w:r>
    </w:p>
    <w:p>
      <w:pPr>
        <w:pStyle w:val="Heading2"/>
      </w:pPr>
      <w:bookmarkStart w:id="45" w:name="Xfdb08e9c23911bbb61ece2500d59c44daf76090"/>
      <w:r>
        <w:t xml:space="preserve">Comparison of experimental and calculated frequencies</w:t>
      </w:r>
      <w:bookmarkEnd w:id="45"/>
    </w:p>
    <w:p>
      <w:pPr>
        <w:pStyle w:val="FirstParagraph"/>
      </w:pPr>
      <w:r>
        <w:t xml:space="preserve">Thirty of the forty-one observed bands were matched to calculated normal modes</w:t>
      </w:r>
      <w:r>
        <w:t xml:space="preserve"> </w:t>
      </w:r>
      <w:r>
        <w:t xml:space="preserve">within a tolerance of</w:t>
      </w:r>
      <w:r>
        <w:t xml:space="preserve"> </w:t>
      </w:r>
      <m:oMath>
        <m:r>
          <m:t>±</m:t>
        </m:r>
      </m:oMath>
      <w:r>
        <w:t xml:space="preserve">18 cm</w:t>
      </w:r>
      <w:r>
        <w:rPr>
          <w:vertAlign w:val="superscript"/>
        </w:rPr>
        <w:t xml:space="preserve">-1</w:t>
      </w:r>
      <w:r>
        <w:t xml:space="preserve">, selecting in each case the candidate of</w:t>
      </w:r>
      <w:r>
        <w:t xml:space="preserve"> </w:t>
      </w:r>
      <w:r>
        <w:t xml:space="preserve">highest Raman activity. The comparison appears in Table </w:t>
      </w:r>
      <w:hyperlink w:anchor="tab:compariso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is displayed in Figure </w:t>
      </w:r>
      <w:hyperlink w:anchor="fig:overlay">
        <w:r>
          <w:rPr>
            <w:rStyle w:val="Hyperlink"/>
          </w:rPr>
          <w:t xml:space="preserve">6</w:t>
        </w:r>
      </w:hyperlink>
      <w:r>
        <w:t xml:space="preserve">.</w:t>
      </w:r>
    </w:p>
    <w:p>
      <w:pPr>
        <w:pStyle w:val="BodyText"/>
      </w:pPr>
      <w:r>
        <w:t xml:space="preserve">Agreement is good. The mean absolute deviation is 9.3 cm</w:t>
      </w:r>
      <w:r>
        <w:rPr>
          <w:vertAlign w:val="superscript"/>
        </w:rPr>
        <w:t xml:space="preserve">-1</w:t>
      </w:r>
      <w:r>
        <w:t xml:space="preserve">, the root-mean-square</w:t>
      </w:r>
      <w:r>
        <w:t xml:space="preserve"> </w:t>
      </w:r>
      <w:r>
        <w:t xml:space="preserve">deviation 10.3 cm</w:t>
      </w:r>
      <w:r>
        <w:rPr>
          <w:vertAlign w:val="superscript"/>
        </w:rPr>
        <w:t xml:space="preserve">-1</w:t>
      </w:r>
      <w:r>
        <w:t xml:space="preserve">, and the largest individual deviation 17.2 cm</w:t>
      </w:r>
      <w:r>
        <w:rPr>
          <w:vertAlign w:val="superscript"/>
        </w:rPr>
        <w:t xml:space="preserve">-1</w:t>
      </w:r>
      <w:r>
        <w:t xml:space="preserve">. The</w:t>
      </w:r>
      <w:r>
        <w:t xml:space="preserve"> </w:t>
      </w:r>
      <w:r>
        <w:t xml:space="preserve">correlation between observed and calculated wavenumbers is 0.9996. The mean</w:t>
      </w:r>
      <w:r>
        <w:t xml:space="preserve"> </w:t>
      </w:r>
      <w:r>
        <w:t xml:space="preserve">signed deviation is</w:t>
      </w:r>
      <w:r>
        <w:t xml:space="preserve"> </w:t>
      </w:r>
      <m:oMath>
        <m:r>
          <m:t>+</m:t>
        </m:r>
        <m:r>
          <m:t>1.6</m:t>
        </m:r>
      </m:oMath>
      <w:r>
        <w:t xml:space="preserve"> cm</w:t>
      </w:r>
      <w:r>
        <w:rPr>
          <w:vertAlign w:val="superscript"/>
        </w:rPr>
        <w:t xml:space="preserve">-1</w:t>
      </w:r>
      <w:r>
        <w:t xml:space="preserve">, indicating no strong systematic bias after</w:t>
      </w:r>
      <w:r>
        <w:t xml:space="preserve"> </w:t>
      </w:r>
      <w:r>
        <w:t xml:space="preserve">scaling. Restricting the comparison to high-confidence bands alone gives</w:t>
      </w:r>
      <w:r>
        <w:t xml:space="preserve"> </w:t>
      </w:r>
      <w:r>
        <w:t xml:space="preserve">essentially the same result (MAE 9.2 cm</w:t>
      </w:r>
      <w:r>
        <w:rPr>
          <w:vertAlign w:val="superscript"/>
        </w:rPr>
        <w:t xml:space="preserve">-1</w:t>
      </w:r>
      <w:r>
        <w:t xml:space="preserve">, RMSE 10.2 cm</w:t>
      </w:r>
      <w:r>
        <w:rPr>
          <w:vertAlign w:val="superscript"/>
        </w:rPr>
        <w:t xml:space="preserve">-1</w:t>
      </w:r>
      <w:r>
        <w:t xml:space="preserve">).</w:t>
      </w:r>
    </w:p>
    <w:p>
      <w:pPr>
        <w:pStyle w:val="CaptionedFigure"/>
      </w:pPr>
      <w:bookmarkStart w:id="47" w:name="fig:overlay"/>
      <w:r>
        <w:drawing>
          <wp:inline>
            <wp:extent cx="5334000" cy="4004504"/>
            <wp:effectExtent b="0" l="0" r="0" t="0"/>
            <wp:docPr descr="Comparison of experimental and simulated Raman spectra. Upper panel: experimental reference spectrum. Middle panel: DFT-simulated spectrum (inverted). Lower panel: deviation between observed and calculated wavenumbers for the 30 matched bands; the shaded region denotes \pm10 cm-1." title="" id="1" name="Picture"/>
            <a:graphic>
              <a:graphicData uri="http://schemas.openxmlformats.org/drawingml/2006/picture">
                <pic:pic>
                  <pic:nvPicPr>
                    <pic:cNvPr descr="figures/fig6_overla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4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Comparison of experimental and simulated Raman spectra. Upper panel:</w:t>
      </w:r>
      <w:r>
        <w:t xml:space="preserve"> </w:t>
      </w:r>
      <w:r>
        <w:t xml:space="preserve">experimental reference spectrum. Middle panel: DFT-simulated spectrum</w:t>
      </w:r>
      <w:r>
        <w:t xml:space="preserve"> </w:t>
      </w:r>
      <w:r>
        <w:t xml:space="preserve">(inverted). Lower panel: deviation between observed and calculated wavenumbers</w:t>
      </w:r>
      <w:r>
        <w:t xml:space="preserve"> </w:t>
      </w:r>
      <w:r>
        <w:t xml:space="preserve">for the 30 matched bands; the shaded region denotes</w:t>
      </w:r>
      <w:r>
        <w:t xml:space="preserve"> </w:t>
      </w:r>
      <m:oMath>
        <m:r>
          <m:t>±</m:t>
        </m:r>
      </m:oMath>
      <w:r>
        <w:t xml:space="preserve">10 cm</w:t>
      </w:r>
      <w:r>
        <w:rPr>
          <w:vertAlign w:val="superscript"/>
        </w:rPr>
        <w:t xml:space="preserve">-1</w:t>
      </w:r>
      <w:r>
        <w:t xml:space="preserve">.</w:t>
      </w:r>
    </w:p>
    <w:p>
      <w:pPr>
        <w:pStyle w:val="BodyText"/>
      </w:pPr>
      <w:r>
        <w:t xml:space="preserve">Residual discrepancies have three well-understood sources. The calculation</w:t>
      </w:r>
      <w:r>
        <w:t xml:space="preserve"> </w:t>
      </w:r>
      <w:r>
        <w:t xml:space="preserve">employs the harmonic approximation, whereas real vibrational potentials are</w:t>
      </w:r>
      <w:r>
        <w:t xml:space="preserve"> </w:t>
      </w:r>
      <w:r>
        <w:t xml:space="preserve">anharmonic, and scaling corrects this only on average. More importantly, the</w:t>
      </w:r>
      <w:r>
        <w:t xml:space="preserve"> </w:t>
      </w:r>
      <w:r>
        <w:t xml:space="preserve">calculation treats a single isolated molecule in vacuum while the measurement is</w:t>
      </w:r>
      <w:r>
        <w:t xml:space="preserve"> </w:t>
      </w:r>
      <w:r>
        <w:t xml:space="preserve">of crystalline powder in which extensive intermolecular hydrogen bonding is</w:t>
      </w:r>
      <w:r>
        <w:t xml:space="preserve"> </w:t>
      </w:r>
      <w:r>
        <w:t xml:space="preserve">present; modes involving hydroxyl, carbonyl and amide groups are most sensitive</w:t>
      </w:r>
      <w:r>
        <w:t xml:space="preserve"> </w:t>
      </w:r>
      <w:r>
        <w:t xml:space="preserve">to this. Finally, the calculation models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anomer alone whereas the</w:t>
      </w:r>
      <w:r>
        <w:t xml:space="preserve"> </w:t>
      </w:r>
      <w:r>
        <w:t xml:space="preserve">sample is an anomeric mixture.</w:t>
      </w:r>
    </w:p>
    <w:p>
      <w:pPr>
        <w:pStyle w:val="Heading2"/>
      </w:pPr>
      <w:bookmarkStart w:id="48" w:name="vibrational-assignments"/>
      <w:r>
        <w:t xml:space="preserve">Vibrational assignments</w:t>
      </w:r>
      <w:bookmarkEnd w:id="48"/>
    </w:p>
    <w:p>
      <w:pPr>
        <w:pStyle w:val="FirstParagraph"/>
      </w:pPr>
      <w:r>
        <w:t xml:space="preserve">The assignments in Table </w:t>
      </w:r>
      <w:hyperlink w:anchor="tab:compariso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follow the conventional pattern</w:t>
      </w:r>
      <w:r>
        <w:t xml:space="preserve"> </w:t>
      </w:r>
      <w:r>
        <w:t xml:space="preserve">for pyranose sugars, with two cases where normal-mode decomposition gives a</w:t>
      </w:r>
      <w:r>
        <w:t xml:space="preserve"> </w:t>
      </w:r>
      <w:r>
        <w:t xml:space="preserve">result that could not be reached from the experimental spectrum alone.</w:t>
      </w:r>
    </w:p>
    <w:p>
      <w:pPr>
        <w:pStyle w:val="BodyText"/>
      </w:pPr>
      <w:r>
        <w:t xml:space="preserve">The intense band at 872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is reproduced by the calculated mode at</w:t>
      </w:r>
      <w:r>
        <w:t xml:space="preserve"> </w:t>
      </w:r>
      <w:r>
        <w:t xml:space="preserve">873 cm</w:t>
      </w:r>
      <w:r>
        <w:rPr>
          <w:vertAlign w:val="superscript"/>
        </w:rPr>
        <w:t xml:space="preserve">-1</w:t>
      </w:r>
      <w:r>
        <w:t xml:space="preserve">. Decomposition shows this mode to be dominated by motion of the</w:t>
      </w:r>
      <w:r>
        <w:t xml:space="preserve"> </w:t>
      </w:r>
      <w:r>
        <w:t xml:space="preserve">hydroxymethyl hydrogens: a single hydrogen bonded to C-6 accounts for 45.9% of</w:t>
      </w:r>
      <w:r>
        <w:t xml:space="preserve"> </w:t>
      </w:r>
      <w:r>
        <w:t xml:space="preserve">the mass-weighted displacement and a second for 17.4%, with the pyranose ring</w:t>
      </w:r>
      <w:r>
        <w:t xml:space="preserve"> </w:t>
      </w:r>
      <w:r>
        <w:t xml:space="preserve">contributing only 5.0% and heavy atoms 8.9% in total. The band is therefore</w:t>
      </w:r>
      <w:r>
        <w:t xml:space="preserve"> </w:t>
      </w:r>
      <w:r>
        <w:t xml:space="preserve">assigned to out-of-plane wagging of the hydroxymethyl group rather than to ring</w:t>
      </w:r>
      <w:r>
        <w:t xml:space="preserve"> </w:t>
      </w:r>
      <w:r>
        <w:t xml:space="preserve">breathing, with which it would ordinarily be grouped on frequency alone. The</w:t>
      </w:r>
      <w:r>
        <w:t xml:space="preserve"> </w:t>
      </w:r>
      <w:r>
        <w:t xml:space="preserve">neighbouring 930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band does correspond to a genuine ring-breathing mode</w:t>
      </w:r>
      <w:r>
        <w:t xml:space="preserve"> </w:t>
      </w:r>
      <w:r>
        <w:t xml:space="preserve">(calculated 927 cm</w:t>
      </w:r>
      <w:r>
        <w:rPr>
          <w:vertAlign w:val="superscript"/>
        </w:rPr>
        <w:t xml:space="preserve">-1</w:t>
      </w:r>
      <w:r>
        <w:t xml:space="preserve">).</w:t>
      </w:r>
    </w:p>
    <w:p>
      <w:pPr>
        <w:pStyle w:val="BodyText"/>
      </w:pPr>
      <w:r>
        <w:t xml:space="preserve">The D-lactyl ether at C-3 distinguishes muramic acid from N-acetylglucosamine</w:t>
      </w:r>
      <w:r>
        <w:t xml:space="preserve"> </w:t>
      </w:r>
      <w:r>
        <w:t xml:space="preserve">and is the structural basis for its bacterial specificity. Its methyl group</w:t>
      </w:r>
      <w:r>
        <w:t xml:space="preserve"> </w:t>
      </w:r>
      <w:r>
        <w:t xml:space="preserve">contributes to the deformation modes near 1337–1385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and to the scissoring</w:t>
      </w:r>
      <w:r>
        <w:t xml:space="preserve"> </w:t>
      </w:r>
      <w:r>
        <w:t xml:space="preserve">region near 1451–1470 cm</w:t>
      </w:r>
      <w:r>
        <w:rPr>
          <w:vertAlign w:val="superscript"/>
        </w:rPr>
        <w:t xml:space="preserve">-1</w:t>
      </w:r>
      <w:r>
        <w:t xml:space="preserve">, while the associated carboxylic acid gives rise to</w:t>
      </w:r>
      <w:r>
        <w:t xml:space="preserve"> </w:t>
      </w:r>
      <w:r>
        <w:t xml:space="preserve">the carbonyl stretching feature above 1750 cm</w:t>
      </w:r>
      <w:r>
        <w:rPr>
          <w:vertAlign w:val="superscript"/>
        </w:rPr>
        <w:t xml:space="preserve">-1</w:t>
      </w:r>
      <w:r>
        <w:t xml:space="preserve">. Bands carrying lactyl</w:t>
      </w:r>
      <w:r>
        <w:t xml:space="preserve"> </w:t>
      </w:r>
      <w:r>
        <w:t xml:space="preserve">character are therefore, in principle, the most promising candidates for</w:t>
      </w:r>
      <w:r>
        <w:t xml:space="preserve"> </w:t>
      </w:r>
      <w:r>
        <w:t xml:space="preserve">distinguishing muramic acid from other amino sugars in complex spectra, although</w:t>
      </w:r>
      <w:r>
        <w:t xml:space="preserve"> </w:t>
      </w:r>
      <w:r>
        <w:t xml:space="preserve">in intact peptidoglycan the carboxyl is amide-linked and its spectroscopic</w:t>
      </w:r>
      <w:r>
        <w:t xml:space="preserve"> </w:t>
      </w:r>
      <w:r>
        <w:t xml:space="preserve">signature correspondingly altered.</w:t>
      </w:r>
    </w:p>
    <w:p>
      <w:pPr>
        <w:pStyle w:val="BodyText"/>
      </w:pPr>
      <w:r>
        <w:t xml:space="preserve">The acetamido group produces amide II near 1544 cm</w:t>
      </w:r>
      <w:r>
        <w:rPr>
          <w:vertAlign w:val="superscript"/>
        </w:rPr>
        <w:t xml:space="preserve">-1</w:t>
      </w:r>
      <w:r>
        <w:t xml:space="preserve">. This grouping is shared</w:t>
      </w:r>
      <w:r>
        <w:t xml:space="preserve"> </w:t>
      </w:r>
      <w:r>
        <w:t xml:space="preserve">with GlcNAc and is not by itself diagnostic of muramic acid.</w:t>
      </w:r>
    </w:p>
    <w:p>
      <w:pPr>
        <w:pStyle w:val="Heading2"/>
      </w:pPr>
      <w:bookmarkStart w:id="49" w:name="sec:unmatched"/>
      <w:r>
        <w:t xml:space="preserve">Unmatched bands</w:t>
      </w:r>
      <w:bookmarkEnd w:id="49"/>
    </w:p>
    <w:p>
      <w:pPr>
        <w:pStyle w:val="FirstParagraph"/>
      </w:pPr>
      <w:r>
        <w:t xml:space="preserve">Eleven observed bands have no calculated counterpart within the matching</w:t>
      </w:r>
      <w:r>
        <w:t xml:space="preserve"> </w:t>
      </w:r>
      <w:r>
        <w:t xml:space="preserve">tolerance: 772, 830, 956, 1517, 1589, 1637, 1652, 1663, 1702, 1785 and</w:t>
      </w:r>
      <w:r>
        <w:t xml:space="preserve"> </w:t>
      </w:r>
      <w:r>
        <w:t xml:space="preserve">1797 cm</w:t>
      </w:r>
      <w:r>
        <w:rPr>
          <w:vertAlign w:val="superscript"/>
        </w:rPr>
        <w:t xml:space="preserve">-1</w:t>
      </w:r>
      <w:r>
        <w:t xml:space="preserve">. Nine of these lie above 1500 cm</w:t>
      </w:r>
      <w:r>
        <w:rPr>
          <w:vertAlign w:val="superscript"/>
        </w:rPr>
        <w:t xml:space="preserve">-1</w:t>
      </w:r>
      <w:r>
        <w:t xml:space="preserve">, where the isolated-molecule</w:t>
      </w:r>
      <w:r>
        <w:t xml:space="preserve"> </w:t>
      </w:r>
      <w:r>
        <w:t xml:space="preserve">model is least applicable.</w:t>
      </w:r>
    </w:p>
    <w:p>
      <w:pPr>
        <w:pStyle w:val="BodyText"/>
      </w:pPr>
      <w:r>
        <w:t xml:space="preserve">Two limitations account for most of these. The first is the anomeric composition</w:t>
      </w:r>
      <w:r>
        <w:t xml:space="preserve"> </w:t>
      </w:r>
      <w:r>
        <w:t xml:space="preserve">of the sample: the supplier specification leaves the anomeric configuration</w:t>
      </w:r>
      <w:r>
        <w:t xml:space="preserve"> </w:t>
      </w:r>
      <w:r>
        <w:t xml:space="preserve">undefined, so the measured material is a mixture, whereas the calculation treats</w:t>
      </w:r>
      <w:r>
        <w:t xml:space="preserve"> </w:t>
      </w:r>
      <w:r>
        <w:t xml:space="preserve">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anomer alone. The 820–980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window, which contains the</w:t>
      </w:r>
      <w:r>
        <w:t xml:space="preserve"> </w:t>
      </w:r>
      <w:r>
        <w:t xml:space="preserve">unmatched 830 and 956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bands, is where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pyranoses</w:t>
      </w:r>
      <w:r>
        <w:t xml:space="preserve"> </w:t>
      </w:r>
      <w:r>
        <w:t xml:space="preserve">differ most, through the anomeric C–H bending and coupled ring deformations.</w:t>
      </w:r>
    </w:p>
    <w:p>
      <w:pPr>
        <w:pStyle w:val="BodyText"/>
      </w:pPr>
      <w:r>
        <w:t xml:space="preserve">The second is the treatment of the solid state. The calculation places the amide</w:t>
      </w:r>
      <w:r>
        <w:t xml:space="preserve"> </w:t>
      </w:r>
      <w:r>
        <w:t xml:space="preserve">carbonyl stretch at 1723 cm</w:t>
      </w:r>
      <w:r>
        <w:rPr>
          <w:vertAlign w:val="superscript"/>
        </w:rPr>
        <w:t xml:space="preserve">-1</w:t>
      </w:r>
      <w:r>
        <w:t xml:space="preserve">, some 21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above the observed 1702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band and outside the matching tolerance. This is the expected direction and</w:t>
      </w:r>
      <w:r>
        <w:t xml:space="preserve"> </w:t>
      </w:r>
      <w:r>
        <w:t xml:space="preserve">magnitude of error for a gas-phase model: intermolecular hydrogen bonding to the</w:t>
      </w:r>
      <w:r>
        <w:t xml:space="preserve"> </w:t>
      </w:r>
      <w:r>
        <w:t xml:space="preserve">amide carbonyl in the crystal lowers the stretching frequency substantially, and</w:t>
      </w:r>
      <w:r>
        <w:t xml:space="preserve"> </w:t>
      </w:r>
      <w:r>
        <w:t xml:space="preserve">no isolated-molecule calculation reproduces that shift. The cluster of features</w:t>
      </w:r>
      <w:r>
        <w:t xml:space="preserve"> </w:t>
      </w:r>
      <w:r>
        <w:t xml:space="preserve">between 1589 and 1663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falls in the same region.</w:t>
      </w:r>
    </w:p>
    <w:p>
      <w:pPr>
        <w:pStyle w:val="BodyText"/>
      </w:pPr>
      <w:r>
        <w:rPr>
          <w:b/>
        </w:rPr>
        <w:t xml:space="preserve">TO CHECK: Optimising the</w:t>
      </w:r>
      <w:r>
        <w:rPr>
          <w:b/>
        </w:rPr>
        <w:t xml:space="preserve"> </w:t>
      </w:r>
      <m:oMath>
        <m:r>
          <m:t>α</m:t>
        </m:r>
      </m:oMath>
      <w:r>
        <w:rPr>
          <w:b/>
        </w:rPr>
        <w:t xml:space="preserve"> </w:t>
      </w:r>
      <w:r>
        <w:rPr>
          <w:b/>
        </w:rPr>
        <w:t xml:space="preserve">anomer at the same level of theory and</w:t>
      </w:r>
      <w:r>
        <w:rPr>
          <w:b/>
        </w:rPr>
        <w:t xml:space="preserve"> </w:t>
      </w:r>
      <w:r>
        <w:rPr>
          <w:b/>
        </w:rPr>
        <w:t xml:space="preserve">comparing a weighted combination of the two spectra with experiment would test</w:t>
      </w:r>
      <w:r>
        <w:rPr>
          <w:b/>
        </w:rPr>
        <w:t xml:space="preserve"> </w:t>
      </w:r>
      <w:r>
        <w:rPr>
          <w:b/>
        </w:rPr>
        <w:t xml:space="preserve">the first explanation directly. It requires compute time only and would close</w:t>
      </w:r>
      <w:r>
        <w:rPr>
          <w:b/>
        </w:rPr>
        <w:t xml:space="preserve"> </w:t>
      </w:r>
      <w:r>
        <w:rPr>
          <w:b/>
        </w:rPr>
        <w:t xml:space="preserve">the last substantial gap in the assignment.</w:t>
      </w:r>
    </w:p>
    <w:p>
      <w:pPr>
        <w:pStyle w:val="BodyText"/>
      </w:pPr>
      <w:r>
        <w:t xml:space="preserve">A further consequence of the sample specification is that the material studied</w:t>
      </w:r>
      <w:r>
        <w:t xml:space="preserve"> </w:t>
      </w:r>
      <w:r>
        <w:t xml:space="preserve">here differs in solid form from that of the earlier vibrational study, which</w:t>
      </w:r>
      <w:r>
        <w:t xml:space="preserve"> </w:t>
      </w:r>
      <w:r>
        <w:t xml:space="preserve">examined the crystalline monohydrate</w:t>
      </w:r>
      <w:r>
        <w:t xml:space="preserve"> </w:t>
      </w:r>
      <w:r>
        <w:t xml:space="preserve">. Band-by-band comparison</w:t>
      </w:r>
      <w:r>
        <w:t xml:space="preserve"> </w:t>
      </w:r>
      <w:r>
        <w:t xml:space="preserve">with that work should be made with care. Finally, the supplier permits up to one</w:t>
      </w:r>
      <w:r>
        <w:t xml:space="preserve"> </w:t>
      </w:r>
      <w:r>
        <w:t xml:space="preserve">mole of residual methanol per mole of product. Methanol has a strong Raman band</w:t>
      </w:r>
      <w:r>
        <w:t xml:space="preserve"> </w:t>
      </w:r>
      <w:r>
        <w:t xml:space="preserve">near 1035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together with C–H stretching features at 2835 and 2945 cm</w:t>
      </w:r>
      <w:r>
        <w:rPr>
          <w:vertAlign w:val="superscript"/>
        </w:rPr>
        <w:t xml:space="preserve">-1</w:t>
      </w:r>
      <w:r>
        <w:t xml:space="preserve">.</w:t>
      </w:r>
      <w:r>
        <w:t xml:space="preserve"> </w:t>
      </w:r>
      <w:r>
        <w:t xml:space="preserve">The spectrometer used here is specified to 2800 cm</w:t>
      </w:r>
      <w:r>
        <w:rPr>
          <w:vertAlign w:val="superscript"/>
        </w:rPr>
        <w:t xml:space="preserve">-1</w:t>
      </w:r>
      <w:r>
        <w:t xml:space="preserve">, so the diagnostic C–H</w:t>
      </w:r>
      <w:r>
        <w:t xml:space="preserve"> </w:t>
      </w:r>
      <w:r>
        <w:t xml:space="preserve">stretching region is not accessible with this configuration and a contribution</w:t>
      </w:r>
      <w:r>
        <w:t xml:space="preserve"> </w:t>
      </w:r>
      <w:r>
        <w:t xml:space="preserve">of residual methanol to the 1020–1050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region cannot be excluded. Testing</w:t>
      </w:r>
      <w:r>
        <w:t xml:space="preserve"> </w:t>
      </w:r>
      <w:r>
        <w:t xml:space="preserve">this would require an instrument with extended spectral coverage.</w:t>
      </w:r>
    </w:p>
    <w:p>
      <w:pPr>
        <w:pStyle w:val="Heading2"/>
      </w:pPr>
      <w:bookmarkStart w:id="50" w:name="the-730-cm-1-region"/>
      <w:r>
        <w:t xml:space="preserve">The 730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region</w:t>
      </w:r>
      <w:bookmarkEnd w:id="50"/>
    </w:p>
    <w:p>
      <w:pPr>
        <w:pStyle w:val="FirstParagraph"/>
      </w:pPr>
      <w:r>
        <w:t xml:space="preserve">The band near 730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is among the most prominent features of bacterial SERS</w:t>
      </w:r>
      <w:r>
        <w:t xml:space="preserve"> </w:t>
      </w:r>
      <w:r>
        <w:t xml:space="preserve">spectra and is widely used in bacterial discrimination, yet its molecular origin</w:t>
      </w:r>
      <w:r>
        <w:t xml:space="preserve"> </w:t>
      </w:r>
      <w:r>
        <w:t xml:space="preserve">remains contested</w:t>
      </w:r>
      <w:r>
        <w:t xml:space="preserve"> </w:t>
      </w:r>
      <w:r>
        <w:t xml:space="preserve">. Because</w:t>
      </w:r>
      <w:r>
        <w:t xml:space="preserve"> </w:t>
      </w:r>
      <w:r>
        <w:t xml:space="preserve">peptidoglycan is a major and bacterium-specific cell-wall constituent, a muramic</w:t>
      </w:r>
      <w:r>
        <w:t xml:space="preserve"> </w:t>
      </w:r>
      <w:r>
        <w:t xml:space="preserve">acid origin has been considered plausible but could not previously be tested</w:t>
      </w:r>
      <w:r>
        <w:t xml:space="preserve"> </w:t>
      </w:r>
      <w:r>
        <w:t xml:space="preserve">against a measured isolated-molecule spectrum.</w:t>
      </w:r>
    </w:p>
    <w:p>
      <w:pPr>
        <w:pStyle w:val="BodyText"/>
      </w:pPr>
      <w:r>
        <w:t xml:space="preserve">Our calculations place a mode of appreciable Raman activity (5.29 Å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/amu)</w:t>
      </w:r>
      <w:r>
        <w:t xml:space="preserve"> </w:t>
      </w:r>
      <w:r>
        <w:t xml:space="preserve">at 731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after scaling, apparently consistent with such an assignment.</w:t>
      </w:r>
      <w:r>
        <w:t xml:space="preserve"> </w:t>
      </w:r>
      <w:r>
        <w:t xml:space="preserve">Decomposition of the calculated displacement vector, however, shows this</w:t>
      </w:r>
      <w:r>
        <w:t xml:space="preserve"> </w:t>
      </w:r>
      <w:r>
        <w:t xml:space="preserve">interpretation to be incorrect. The mode is dominated by motion of a single</w:t>
      </w:r>
      <w:r>
        <w:t xml:space="preserve"> </w:t>
      </w:r>
      <w:r>
        <w:t xml:space="preserve">hydrogen atom, contributing 47.9% of the total mass-weighted displacement,</w:t>
      </w:r>
      <w:r>
        <w:t xml:space="preserve"> </w:t>
      </w:r>
      <w:r>
        <w:t xml:space="preserve">which the computed connectivity identifies as the hydroxyl proton of the</w:t>
      </w:r>
      <w:r>
        <w:t xml:space="preserve"> </w:t>
      </w:r>
      <w:r>
        <w:t xml:space="preserve">carboxylic acid group (O–H bond length 0.97 Å; the parent oxygen is bonded to</w:t>
      </w:r>
      <w:r>
        <w:t xml:space="preserve"> </w:t>
      </w:r>
      <w:r>
        <w:t xml:space="preserve">the carboxyl carbon at 1.35 Å, which in turn carries the carbonyl oxygen at</w:t>
      </w:r>
      <w:r>
        <w:t xml:space="preserve"> </w:t>
      </w:r>
      <w:r>
        <w:t xml:space="preserve">1.21 Å). The pyranose ring contributes only 0.5% of the displacement, and</w:t>
      </w:r>
      <w:r>
        <w:t xml:space="preserve"> </w:t>
      </w:r>
      <w:r>
        <w:t xml:space="preserve">heavy atoms in total 24.0%. The mode is therefore an out-of-plane deformation</w:t>
      </w:r>
      <w:r>
        <w:t xml:space="preserve"> </w:t>
      </w:r>
      <w:r>
        <w:t xml:space="preserve">of the carboxylic acid hydroxyl group,</w:t>
      </w:r>
      <w:r>
        <w:t xml:space="preserve"> </w:t>
      </w:r>
      <m:oMath>
        <m:r>
          <m:t>γ</m:t>
        </m:r>
      </m:oMath>
      <w:r>
        <w:t xml:space="preserve">(O–H), coupled weakly to lactyl</w:t>
      </w:r>
      <w:r>
        <w:t xml:space="preserve"> </w:t>
      </w:r>
      <w:r>
        <w:t xml:space="preserve">methyl motion, and not a ring or glycan-backbone vibration.</w:t>
      </w:r>
    </w:p>
    <w:p>
      <w:pPr>
        <w:pStyle w:val="BodyText"/>
      </w:pPr>
      <w:r>
        <w:t xml:space="preserve">This distinction has a direct structural consequence. In intact peptidoglycan</w:t>
      </w:r>
      <w:r>
        <w:t xml:space="preserve"> </w:t>
      </w:r>
      <w:r>
        <w:t xml:space="preserve">the carboxyl group of muramic acid is not free: it is amide-linked to the</w:t>
      </w:r>
      <w:r>
        <w:t xml:space="preserve"> </w:t>
      </w:r>
      <w:r>
        <w:t xml:space="preserve">L-alanine residue that initiates the peptide stem. The hydroxyl proton</w:t>
      </w:r>
      <w:r>
        <w:t xml:space="preserve"> </w:t>
      </w:r>
      <w:r>
        <w:t xml:space="preserve">responsible for the calculated 731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mode is therefore absent in the</w:t>
      </w:r>
      <w:r>
        <w:t xml:space="preserve"> </w:t>
      </w:r>
      <w:r>
        <w:t xml:space="preserve">polymer, and the mode cannot contribute to the Raman or SERS spectrum of intact</w:t>
      </w:r>
      <w:r>
        <w:t xml:space="preserve"> </w:t>
      </w:r>
      <w:r>
        <w:t xml:space="preserve">bacterial cell walls.</w:t>
      </w:r>
    </w:p>
    <w:p>
      <w:pPr>
        <w:pStyle w:val="BodyText"/>
      </w:pPr>
      <w:r>
        <w:t xml:space="preserve">Experimentally, the corresponding region of the measured spectrum</w:t>
      </w:r>
      <w:r>
        <w:t xml:space="preserve"> </w:t>
      </w:r>
      <w:r>
        <w:t xml:space="preserve">(Figure </w:t>
      </w:r>
      <w:hyperlink w:anchor="fig:region730">
        <w:r>
          <w:rPr>
            <w:rStyle w:val="Hyperlink"/>
          </w:rPr>
          <w:t xml:space="preserve">7</w:t>
        </w:r>
      </w:hyperlink>
      <w:r>
        <w:t xml:space="preserve">) shows only weak features, at 704 and 745 cm</w:t>
      </w:r>
      <w:r>
        <w:rPr>
          <w:vertAlign w:val="superscript"/>
        </w:rPr>
        <w:t xml:space="preserve">-1</w:t>
      </w:r>
      <w:r>
        <w:t xml:space="preserve">,</w:t>
      </w:r>
      <w:r>
        <w:t xml:space="preserve"> </w:t>
      </w:r>
      <w:r>
        <w:t xml:space="preserve">both substantially weaker than the principal ring bands, and neither coincident</w:t>
      </w:r>
      <w:r>
        <w:t xml:space="preserve"> </w:t>
      </w:r>
      <w:r>
        <w:t xml:space="preserve">with 730 cm</w:t>
      </w:r>
      <w:r>
        <w:rPr>
          <w:vertAlign w:val="superscript"/>
        </w:rPr>
        <w:t xml:space="preserve">-1</w:t>
      </w:r>
      <w:r>
        <w:t xml:space="preserve">.</w:t>
      </w:r>
    </w:p>
    <w:p>
      <w:pPr>
        <w:pStyle w:val="CaptionedFigure"/>
      </w:pPr>
      <w:bookmarkStart w:id="52" w:name="fig:region730"/>
      <w:r>
        <w:drawing>
          <wp:inline>
            <wp:extent cx="4220307" cy="2935866"/>
            <wp:effectExtent b="0" l="0" r="0" t="0"/>
            <wp:docPr descr="Experimental and simulated spectra in the 680–800 cm-1 region. The shaded band indicates the disputed 730 cm-1 bacterial marker position. The calculated mode at 731 cm-1 is shown by normal-mode decomposition to be an out-of-plane carboxylic acid hydroxyl deformation." title="" id="1" name="Picture"/>
            <a:graphic>
              <a:graphicData uri="http://schemas.openxmlformats.org/drawingml/2006/picture">
                <pic:pic>
                  <pic:nvPicPr>
                    <pic:cNvPr descr="figures/fig7_region73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307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Experimental and simulated spectra in the 680–800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region. The</w:t>
      </w:r>
      <w:r>
        <w:t xml:space="preserve"> </w:t>
      </w:r>
      <w:r>
        <w:t xml:space="preserve">shaded band indicates the disputed 730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bacterial marker position. The</w:t>
      </w:r>
      <w:r>
        <w:t xml:space="preserve"> </w:t>
      </w:r>
      <w:r>
        <w:t xml:space="preserve">calculated mode at 731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is shown by normal-mode decomposition to be an</w:t>
      </w:r>
      <w:r>
        <w:t xml:space="preserve"> </w:t>
      </w:r>
      <w:r>
        <w:t xml:space="preserve">out-of-plane carboxylic acid hydroxyl deformation.</w:t>
      </w:r>
    </w:p>
    <w:p>
      <w:pPr>
        <w:pStyle w:val="BodyText"/>
      </w:pPr>
      <w:r>
        <w:t xml:space="preserve">Taken together, these observations provide direct evidence against attributing</w:t>
      </w:r>
      <w:r>
        <w:t xml:space="preserve"> </w:t>
      </w:r>
      <w:r>
        <w:t xml:space="preserve">the bacterial 730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band to muramic acid, and by extension weaken the case</w:t>
      </w:r>
      <w:r>
        <w:t xml:space="preserve"> </w:t>
      </w:r>
      <w:r>
        <w:t xml:space="preserve">for a peptidoglycan origin. The result is consistent with assignments favouring</w:t>
      </w:r>
      <w:r>
        <w:t xml:space="preserve"> </w:t>
      </w:r>
      <w:r>
        <w:t xml:space="preserve">adenine-containing species</w:t>
      </w:r>
      <w:r>
        <w:t xml:space="preserve"> </w:t>
      </w:r>
      <w:r>
        <w:t xml:space="preserve">. We</w:t>
      </w:r>
      <w:r>
        <w:t xml:space="preserve"> </w:t>
      </w:r>
      <w:r>
        <w:t xml:space="preserve">note the limitations of the argument: the calculation describes the free acid as</w:t>
      </w:r>
      <w:r>
        <w:t xml:space="preserve"> </w:t>
      </w:r>
      <w:r>
        <w:t xml:space="preserve">an isolated molecule, and a definitive test would require measurements on</w:t>
      </w:r>
      <w:r>
        <w:t xml:space="preserve"> </w:t>
      </w:r>
      <w:r>
        <w:t xml:space="preserve">muramyl peptides or purified peptidoglycan.</w:t>
      </w:r>
    </w:p>
    <w:p>
      <w:pPr>
        <w:pStyle w:val="Heading2"/>
      </w:pPr>
      <w:bookmarkStart w:id="53" w:name="X64b0e1d250304f71585ce47d9ae264293218a69"/>
      <w:r>
        <w:t xml:space="preserve">Relevance to bacterial Raman and SERS analysis</w:t>
      </w:r>
      <w:bookmarkEnd w:id="53"/>
    </w:p>
    <w:p>
      <w:pPr>
        <w:pStyle w:val="FirstParagraph"/>
      </w:pPr>
      <w:r>
        <w:t xml:space="preserve">The reference spectrum reported here supports the interpretation of bacterial</w:t>
      </w:r>
      <w:r>
        <w:t xml:space="preserve"> </w:t>
      </w:r>
      <w:r>
        <w:t xml:space="preserve">measurements in three ways. It provides validated band positions against which</w:t>
      </w:r>
      <w:r>
        <w:t xml:space="preserve"> </w:t>
      </w:r>
      <w:r>
        <w:t xml:space="preserve">candidate peptidoglycan features in whole-cell spectra can be checked. The</w:t>
      </w:r>
      <w:r>
        <w:t xml:space="preserve"> </w:t>
      </w:r>
      <w:r>
        <w:t xml:space="preserve">assignments identify which bands carry lactyl character and are therefore</w:t>
      </w:r>
      <w:r>
        <w:t xml:space="preserve"> </w:t>
      </w:r>
      <w:r>
        <w:t xml:space="preserve">capable in principle of distinguishing muramic acid from N-acetylglucosamine.</w:t>
      </w:r>
      <w:r>
        <w:t xml:space="preserve"> </w:t>
      </w:r>
      <w:r>
        <w:t xml:space="preserve">And the 730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analysis removes one candidate explanation for a widely used</w:t>
      </w:r>
      <w:r>
        <w:t xml:space="preserve"> </w:t>
      </w:r>
      <w:r>
        <w:t xml:space="preserve">bacterial marker band, narrowing the interpretive space.</w:t>
      </w:r>
    </w:p>
    <w:p>
      <w:pPr>
        <w:pStyle w:val="BodyText"/>
      </w:pPr>
      <w:r>
        <w:t xml:space="preserve">For SERS applications these data provide the necessary non-enhanced baseline.</w:t>
      </w:r>
      <w:r>
        <w:t xml:space="preserve"> </w:t>
      </w:r>
      <w:r>
        <w:t xml:space="preserve">Comparison of enhanced with non-enhanced spectra is what permits adsorption</w:t>
      </w:r>
      <w:r>
        <w:t xml:space="preserve"> </w:t>
      </w:r>
      <w:r>
        <w:t xml:space="preserve">geometry to be inferred from surface selection rules, and such comparison</w:t>
      </w:r>
      <w:r>
        <w:t xml:space="preserve"> </w:t>
      </w:r>
      <w:r>
        <w:t xml:space="preserve">requires a reliable reference of this kind. The photostability limits reported</w:t>
      </w:r>
      <w:r>
        <w:t xml:space="preserve"> </w:t>
      </w:r>
      <w:r>
        <w:t xml:space="preserve">in Section </w:t>
      </w:r>
      <w:hyperlink w:anchor="sec:photostab">
        <w:r>
          <w:rPr>
            <w:rStyle w:val="Hyperlink"/>
          </w:rPr>
          <w:t xml:space="preserve">3.3</w:t>
        </w:r>
      </w:hyperlink>
      <w:r>
        <w:t xml:space="preserve"> </w:t>
      </w:r>
      <w:r>
        <w:t xml:space="preserve">are also directly relevant, since plasmonic</w:t>
      </w:r>
      <w:r>
        <w:t xml:space="preserve"> </w:t>
      </w:r>
      <w:r>
        <w:t xml:space="preserve">substrates concentrate the incident field and can lower the damage threshold</w:t>
      </w:r>
      <w:r>
        <w:t xml:space="preserve"> </w:t>
      </w:r>
      <w:r>
        <w:t xml:space="preserve">considerably.</w:t>
      </w:r>
    </w:p>
    <w:p>
      <w:pPr>
        <w:pStyle w:val="BodyText"/>
      </w:pPr>
      <w:r>
        <w:t xml:space="preserve">We emphasise that these measurements are of dry powder, and that extrapolation</w:t>
      </w:r>
      <w:r>
        <w:t xml:space="preserve"> </w:t>
      </w:r>
      <w:r>
        <w:t xml:space="preserve">to bacterial suspensions, and still more to clinical matrices, requires separate</w:t>
      </w:r>
      <w:r>
        <w:t xml:space="preserve"> </w:t>
      </w:r>
      <w:r>
        <w:t xml:space="preserve">validation.</w:t>
      </w:r>
    </w:p>
    <w:p>
      <w:pPr>
        <w:pStyle w:val="Heading1"/>
      </w:pPr>
      <w:bookmarkStart w:id="54" w:name="conclusions"/>
      <w:r>
        <w:t xml:space="preserve">Conclusions</w:t>
      </w:r>
      <w:bookmarkEnd w:id="54"/>
    </w:p>
    <w:p>
      <w:pPr>
        <w:pStyle w:val="FirstParagraph"/>
      </w:pPr>
      <w:r>
        <w:t xml:space="preserve">A reference Raman spectrum of isolated N-acetylmuramic acid has been established</w:t>
      </w:r>
      <w:r>
        <w:t xml:space="preserve"> </w:t>
      </w:r>
      <w:r>
        <w:t xml:space="preserve">from 22 independent measurements on fresh sample and compared with harmonic</w:t>
      </w:r>
      <w:r>
        <w:t xml:space="preserve"> </w:t>
      </w:r>
      <w:r>
        <w:t xml:space="preserve">frequencies computed at the B3LYP-D3BJ/6-311++G(d,p) level. Forty-one</w:t>
      </w:r>
      <w:r>
        <w:t xml:space="preserve"> </w:t>
      </w:r>
      <w:r>
        <w:t xml:space="preserve">reproducible bands were identified in the 400–1800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fingerprint region, of</w:t>
      </w:r>
      <w:r>
        <w:t xml:space="preserve"> </w:t>
      </w:r>
      <w:r>
        <w:t xml:space="preserve">which thirty were assigned to calculated normal modes with a mean absolute</w:t>
      </w:r>
      <w:r>
        <w:t xml:space="preserve"> </w:t>
      </w:r>
      <w:r>
        <w:t xml:space="preserve">deviation of 9.3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and a correlation coefficient of 0.9996.</w:t>
      </w:r>
    </w:p>
    <w:p>
      <w:pPr>
        <w:pStyle w:val="BodyText"/>
      </w:pPr>
      <w:r>
        <w:t xml:space="preserve">Photostability measurements across 227 spectra define a working envelope for</w:t>
      </w:r>
      <w:r>
        <w:t xml:space="preserve"> </w:t>
      </w:r>
      <w:r>
        <w:t xml:space="preserve">this material at 785 nm: the spectrum is unchanged over ten consecutive scans at</w:t>
      </w:r>
      <w:r>
        <w:t xml:space="preserve"> </w:t>
      </w:r>
      <w:r>
        <w:t xml:space="preserve">90% laser power with 30 s integration, but the sample is destroyed at the same</w:t>
      </w:r>
      <w:r>
        <w:t xml:space="preserve"> </w:t>
      </w:r>
      <w:r>
        <w:t xml:space="preserve">power with 60 s integration.</w:t>
      </w:r>
    </w:p>
    <w:p>
      <w:pPr>
        <w:pStyle w:val="BodyText"/>
      </w:pPr>
      <w:r>
        <w:t xml:space="preserve">Normal-mode decomposition resolved two assignments not accessible from the</w:t>
      </w:r>
      <w:r>
        <w:t xml:space="preserve"> </w:t>
      </w:r>
      <w:r>
        <w:t xml:space="preserve">experimental spectrum alone. The intense 872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band arises from</w:t>
      </w:r>
      <w:r>
        <w:t xml:space="preserve"> </w:t>
      </w:r>
      <w:r>
        <w:t xml:space="preserve">hydroxymethyl wagging rather than ring breathing. The calculated mode in the</w:t>
      </w:r>
      <w:r>
        <w:t xml:space="preserve"> </w:t>
      </w:r>
      <w:r>
        <w:t xml:space="preserve">disputed 730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bacterial marker region arises from out-of-plane deformation</w:t>
      </w:r>
      <w:r>
        <w:t xml:space="preserve"> </w:t>
      </w:r>
      <w:r>
        <w:t xml:space="preserve">of the carboxylic acid hydroxyl group, with negligible ring character; since</w:t>
      </w:r>
      <w:r>
        <w:t xml:space="preserve"> </w:t>
      </w:r>
      <w:r>
        <w:t xml:space="preserve">this proton is absent in intact peptidoglycan, the result argues against a</w:t>
      </w:r>
      <w:r>
        <w:t xml:space="preserve"> </w:t>
      </w:r>
      <w:r>
        <w:t xml:space="preserve">muramic acid origin for the bacterial 730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band.</w:t>
      </w:r>
    </w:p>
    <w:p>
      <w:pPr>
        <w:pStyle w:val="BodyText"/>
      </w:pPr>
      <w:r>
        <w:t xml:space="preserve">Extension of this work to N-acetylglucosamine, to the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anomer, to</w:t>
      </w:r>
      <w:r>
        <w:t xml:space="preserve"> </w:t>
      </w:r>
      <w:r>
        <w:t xml:space="preserve">muramyl peptides and to surface-enhanced measurements would allow the</w:t>
      </w:r>
      <w:r>
        <w:t xml:space="preserve"> </w:t>
      </w:r>
      <w:r>
        <w:t xml:space="preserve">peptidoglycan contribution to bacterial Raman spectra to be characterised more</w:t>
      </w:r>
      <w:r>
        <w:t xml:space="preserve"> </w:t>
      </w:r>
      <w:r>
        <w:t xml:space="preserve">completely.</w:t>
      </w:r>
    </w:p>
    <w:bookmarkStart w:id="55" w:name="tab:comparison"/>
    <w:p>
      <w:pPr>
        <w:pStyle w:val="TableCaption"/>
      </w:pPr>
      <w:r>
        <w:t xml:space="preserve">Observed and calculated Raman wavenumbers of isolated N-acetylmuramic</w:t>
      </w:r>
      <w:r>
        <w:t xml:space="preserve"> </w:t>
      </w:r>
      <w:r>
        <w:t xml:space="preserve">acid with proposed vibrational assignments. Calculated values are scaled (0.980</w:t>
      </w:r>
      <w:r>
        <w:t xml:space="preserve"> </w:t>
      </w:r>
      <w:r>
        <w:t xml:space="preserve">below 1800 cm</w:t>
      </w:r>
      <w:r>
        <w:rPr>
          <w:vertAlign w:val="superscript"/>
        </w:rPr>
        <w:t xml:space="preserve">-1</w:t>
      </w:r>
      <w:r>
        <w:t xml:space="preserve">).</w:t>
      </w:r>
      <w:r>
        <w:t xml:space="preserve"> </w:t>
      </w:r>
      <m:oMath>
        <m:r>
          <m:t>Δ</m:t>
        </m:r>
        <m:r>
          <m:t>=</m:t>
        </m:r>
        <m:sSub>
          <m:e>
            <m:r>
              <m:t>ν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p</m:t>
            </m:r>
          </m:sub>
        </m:sSub>
        <m:r>
          <m:t>−</m:t>
        </m:r>
        <m:sSub>
          <m:e>
            <m:r>
              <m:t>ν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Reproducibility is the percentage of the 22 independent spectra in which the</w:t>
      </w:r>
      <w:r>
        <w:t xml:space="preserve"> </w:t>
      </w:r>
      <w:r>
        <w:t xml:space="preserve">band was detected.</w:t>
      </w:r>
      <w:r>
        <w:t xml:space="preserve"> </w:t>
      </w:r>
      <m:oMath>
        <m:r>
          <m:t>ν</m:t>
        </m:r>
      </m:oMath>
      <w:r>
        <w:t xml:space="preserve">: stretching;</w:t>
      </w:r>
      <w:r>
        <w:t xml:space="preserve"> </w:t>
      </w:r>
      <m:oMath>
        <m:r>
          <m:t>δ</m:t>
        </m:r>
      </m:oMath>
      <w:r>
        <w:t xml:space="preserve">: in-plane bending;</w:t>
      </w:r>
      <w:r>
        <w:t xml:space="preserve"> </w:t>
      </w:r>
      <m:oMath>
        <m:r>
          <m:t>γ</m:t>
        </m:r>
      </m:oMath>
      <w:r>
        <w:t xml:space="preserve">:</w:t>
      </w:r>
      <w:r>
        <w:t xml:space="preserve"> </w:t>
      </w:r>
      <w:r>
        <w:t xml:space="preserve">out-of-plane bending.</w:t>
      </w:r>
      <w:r>
        <w:t xml:space="preserve"> </w:t>
      </w:r>
      <m:oMath>
        <m:sSup>
          <m:e>
            <m:r>
              <m:t>​</m:t>
            </m:r>
          </m:e>
          <m:sup>
            <m:r>
              <m:t>†</m:t>
            </m:r>
          </m:sup>
        </m:sSup>
      </m:oMath>
      <w:r>
        <w:t xml:space="preserve">Tentative: satisfies only one of the two</w:t>
      </w:r>
      <w:r>
        <w:t xml:space="preserve"> </w:t>
      </w:r>
      <w:r>
        <w:t xml:space="preserve">signal-to-noise criteria of Section 2.6.</w:t>
      </w:r>
    </w:p>
    <w:tbl>
      <w:tblPr>
        <w:tblStyle w:val="Table"/>
        <w:tblW w:type="pct" w:w="0.0"/>
        <w:tblLook w:firstRow="0"/>
        <w:tblCaption w:val="Observed and calculated Raman wavenumbers of isolated N-acetylmuramic acid with proposed vibrational assignments. Calculated values are scaled (0.980 below 1800 cm-1). \Delta = \nu_{\mathrm{exp}} - \nu_{\mathrm{calc}}. Reproducibility is the percentage of the 22 independent spectra in which the band was detected. \nu: stretching; \delta: in-plane bending; \gamma: out-of-plane bending. ^{\dagger}Tentative: satisfies only one of the two signal-to-noise criteria of Section 2.6."/>
      </w:tblPr>
      <w:tblGrid/>
      <w:tr>
        <w:tc>
          <w:p>
            <w:pPr>
              <w:pStyle w:val="Compact"/>
              <w:jc w:val="right"/>
            </w:pPr>
            <w:r>
              <w:t xml:space="preserve">Exp.</w:t>
            </w:r>
          </w:p>
        </w:tc>
        <w:tc>
          <w:p>
            <w:pPr>
              <w:pStyle w:val="Compact"/>
              <w:jc w:val="right"/>
            </w:pPr>
            <w:r>
              <w:t xml:space="preserve">Calc.</w:t>
            </w:r>
          </w:p>
        </w:tc>
        <w:tc>
          <w:p>
            <w:pPr>
              <w:pStyle w:val="Compact"/>
              <w:jc w:val="right"/>
            </w:pPr>
            <m:oMath>
              <m:r>
                <m:t>Δ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Raman act.</w:t>
            </w:r>
          </w:p>
        </w:tc>
        <w:tc>
          <w:p>
            <w:pPr>
              <w:pStyle w:val="Compact"/>
              <w:jc w:val="right"/>
            </w:pPr>
            <w:r>
              <w:t xml:space="preserve">Rel.</w:t>
            </w:r>
          </w:p>
        </w:tc>
        <w:tc>
          <w:p>
            <w:pPr>
              <w:pStyle w:val="Compact"/>
              <w:jc w:val="right"/>
            </w:pPr>
            <w:r>
              <w:t xml:space="preserve">Repro.</w:t>
            </w:r>
          </w:p>
        </w:tc>
        <w:tc>
          <w:p>
            <w:pPr>
              <w:pStyle w:val="Compact"/>
              <w:jc w:val="left"/>
            </w:pPr>
            <w:r>
              <w:t xml:space="preserve">Proposed assignment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(cm</w:t>
            </w:r>
            <w:r>
              <w:rPr>
                <w:vertAlign w:val="superscript"/>
              </w:rPr>
              <w:t xml:space="preserve">-1</w:t>
            </w:r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t xml:space="preserve">(cm</w:t>
            </w:r>
            <w:r>
              <w:rPr>
                <w:vertAlign w:val="superscript"/>
              </w:rPr>
              <w:t xml:space="preserve">-1</w:t>
            </w:r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t xml:space="preserve">(cm</w:t>
            </w:r>
            <w:r>
              <w:rPr>
                <w:vertAlign w:val="superscript"/>
              </w:rPr>
              <w:t xml:space="preserve">-1</w:t>
            </w:r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t xml:space="preserve">(Å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/amu)</w:t>
            </w:r>
          </w:p>
        </w:tc>
        <w:tc>
          <w:p>
            <w:pPr>
              <w:pStyle w:val="Compact"/>
              <w:jc w:val="right"/>
            </w:pPr>
            <w:r>
              <w:t xml:space="preserve">int.</w:t>
            </w:r>
          </w:p>
        </w:tc>
        <w:tc>
          <w:p>
            <w:pPr>
              <w:pStyle w:val="Compact"/>
              <w:jc w:val="right"/>
            </w:pPr>
            <w:r>
              <w:t xml:space="preserve">(%)</w:t>
            </w:r>
          </w:p>
        </w:tc>
        <w:tc>
          <w:p/>
        </w:tc>
      </w:tr>
      <w:tr>
        <w:tc>
          <w:p>
            <w:pPr>
              <w:pStyle w:val="Compact"/>
              <w:jc w:val="right"/>
            </w:pPr>
            <w:r>
              <w:t xml:space="preserve">458</w:t>
            </w:r>
          </w:p>
        </w:tc>
        <w:tc>
          <w:p>
            <w:pPr>
              <w:pStyle w:val="Compact"/>
              <w:jc w:val="right"/>
            </w:pPr>
            <w:r>
              <w:t xml:space="preserve">460.5</w:t>
            </w:r>
          </w:p>
        </w:tc>
        <w:tc>
          <w:p>
            <w:pPr>
              <w:pStyle w:val="Compact"/>
              <w:jc w:val="right"/>
            </w:pPr>
            <w:r>
              <w:t xml:space="preserve">-2.5</w:t>
            </w:r>
          </w:p>
        </w:tc>
        <w:tc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Skeletal bending / ring torsion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488</w:t>
            </w:r>
          </w:p>
        </w:tc>
        <w:tc>
          <w:p>
            <w:pPr>
              <w:pStyle w:val="Compact"/>
              <w:jc w:val="right"/>
            </w:pPr>
            <w:r>
              <w:t xml:space="preserve">494.2</w:t>
            </w:r>
          </w:p>
        </w:tc>
        <w:tc>
          <w:p>
            <w:pPr>
              <w:pStyle w:val="Compact"/>
              <w:jc w:val="right"/>
            </w:pPr>
            <w:r>
              <w:t xml:space="preserve">-6.2</w:t>
            </w:r>
          </w:p>
        </w:tc>
        <w:tc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Skeletal bending / ring torsion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522</w:t>
            </w:r>
          </w:p>
        </w:tc>
        <w:tc>
          <w:p>
            <w:pPr>
              <w:pStyle w:val="Compact"/>
              <w:jc w:val="right"/>
            </w:pPr>
            <w:r>
              <w:t xml:space="preserve">513.4</w:t>
            </w:r>
          </w:p>
        </w:tc>
        <w:tc>
          <w:p>
            <w:pPr>
              <w:pStyle w:val="Compact"/>
              <w:jc w:val="right"/>
            </w:pPr>
            <w:r>
              <w:t xml:space="preserve">+8.6</w:t>
            </w:r>
          </w:p>
        </w:tc>
        <w:tc>
          <w:p>
            <w:pPr>
              <w:pStyle w:val="Compact"/>
              <w:jc w:val="right"/>
            </w:pPr>
            <w:r>
              <w:t xml:space="preserve">2.3</w:t>
            </w:r>
          </w:p>
        </w:tc>
        <w:tc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Skeletal bending / ring torsion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541</w:t>
            </w:r>
          </w:p>
        </w:tc>
        <w:tc>
          <w:p>
            <w:pPr>
              <w:pStyle w:val="Compact"/>
              <w:jc w:val="right"/>
            </w:pPr>
            <w:r>
              <w:t xml:space="preserve">555.6</w:t>
            </w:r>
          </w:p>
        </w:tc>
        <w:tc>
          <w:p>
            <w:pPr>
              <w:pStyle w:val="Compact"/>
              <w:jc w:val="right"/>
            </w:pPr>
            <w:r>
              <w:t xml:space="preserve">-14.6</w:t>
            </w:r>
          </w:p>
        </w:tc>
        <w:tc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Skeletal bending / ring torsion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585</w:t>
            </w:r>
          </w:p>
        </w:tc>
        <w:tc>
          <w:p>
            <w:pPr>
              <w:pStyle w:val="Compact"/>
              <w:jc w:val="right"/>
            </w:pPr>
            <w:r>
              <w:t xml:space="preserve">570.0</w:t>
            </w:r>
          </w:p>
        </w:tc>
        <w:tc>
          <w:p>
            <w:pPr>
              <w:pStyle w:val="Compact"/>
              <w:jc w:val="right"/>
            </w:pPr>
            <w:r>
              <w:t xml:space="preserve">+15.0</w:t>
            </w:r>
          </w:p>
        </w:tc>
        <w:tc>
          <w:p>
            <w:pPr>
              <w:pStyle w:val="Compact"/>
              <w:jc w:val="right"/>
            </w:pPr>
            <w:r>
              <w:t xml:space="preserve">2.3</w:t>
            </w:r>
          </w:p>
        </w:tc>
        <w:tc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Skeletal bending / ring torsion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615</w:t>
            </w:r>
          </w:p>
        </w:tc>
        <w:tc>
          <w:p>
            <w:pPr>
              <w:pStyle w:val="Compact"/>
              <w:jc w:val="right"/>
            </w:pPr>
            <w:r>
              <w:t xml:space="preserve">626.7</w:t>
            </w:r>
          </w:p>
        </w:tc>
        <w:tc>
          <w:p>
            <w:pPr>
              <w:pStyle w:val="Compact"/>
              <w:jc w:val="right"/>
            </w:pPr>
            <w:r>
              <w:t xml:space="preserve">-11.7</w:t>
            </w:r>
          </w:p>
        </w:tc>
        <w:tc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Skeletal deformation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(C–C–O)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645</w:t>
            </w:r>
          </w:p>
        </w:tc>
        <w:tc>
          <w:p>
            <w:pPr>
              <w:pStyle w:val="Compact"/>
              <w:jc w:val="right"/>
            </w:pPr>
            <w:r>
              <w:t xml:space="preserve">640.1</w:t>
            </w:r>
          </w:p>
        </w:tc>
        <w:tc>
          <w:p>
            <w:pPr>
              <w:pStyle w:val="Compact"/>
              <w:jc w:val="right"/>
            </w:pPr>
            <w:r>
              <w:t xml:space="preserve">+4.9</w:t>
            </w:r>
          </w:p>
        </w:tc>
        <w:tc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Skeletal deformation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(C–C–O)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675</w:t>
            </w:r>
          </w:p>
        </w:tc>
        <w:tc>
          <w:p>
            <w:pPr>
              <w:pStyle w:val="Compact"/>
              <w:jc w:val="right"/>
            </w:pPr>
            <w:r>
              <w:t xml:space="preserve">692.2</w:t>
            </w:r>
          </w:p>
        </w:tc>
        <w:tc>
          <w:p>
            <w:pPr>
              <w:pStyle w:val="Compact"/>
              <w:jc w:val="right"/>
            </w:pPr>
            <w:r>
              <w:t xml:space="preserve">-17.2</w:t>
            </w:r>
          </w:p>
        </w:tc>
        <w:tc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p>
            <w:pPr>
              <w:pStyle w:val="Compact"/>
              <w:jc w:val="left"/>
            </w:pPr>
            <w:r>
              <w:t xml:space="preserve">Skeletal deformation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(C–C–O)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703</w:t>
            </w:r>
          </w:p>
        </w:tc>
        <w:tc>
          <w:p>
            <w:pPr>
              <w:pStyle w:val="Compact"/>
              <w:jc w:val="right"/>
            </w:pPr>
            <w:r>
              <w:t xml:space="preserve">692.2</w:t>
            </w:r>
          </w:p>
        </w:tc>
        <w:tc>
          <w:p>
            <w:pPr>
              <w:pStyle w:val="Compact"/>
              <w:jc w:val="right"/>
            </w:pPr>
            <w:r>
              <w:t xml:space="preserve">+10.8</w:t>
            </w:r>
          </w:p>
        </w:tc>
        <w:tc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Skeletal deformation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(C–C–O)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744</w:t>
            </w:r>
          </w:p>
        </w:tc>
        <w:tc>
          <w:p>
            <w:pPr>
              <w:pStyle w:val="Compact"/>
              <w:jc w:val="right"/>
            </w:pPr>
            <w:r>
              <w:t xml:space="preserve">731.3</w:t>
            </w:r>
          </w:p>
        </w:tc>
        <w:tc>
          <w:p>
            <w:pPr>
              <w:pStyle w:val="Compact"/>
              <w:jc w:val="right"/>
            </w:pPr>
            <w:r>
              <w:t xml:space="preserve">+12.7</w:t>
            </w:r>
          </w:p>
        </w:tc>
        <w:tc>
          <w:p>
            <w:pPr>
              <w:pStyle w:val="Compact"/>
              <w:jc w:val="right"/>
            </w:pPr>
            <w:r>
              <w:t xml:space="preserve">5.3</w:t>
            </w:r>
          </w:p>
        </w:tc>
        <w:tc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m:oMath>
              <m:r>
                <m:t>γ</m:t>
              </m:r>
            </m:oMath>
            <w:r>
              <w:t xml:space="preserve">(O–H) carboxylic acid out-of-plane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772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unmatched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830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unmatched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871</w:t>
            </w:r>
          </w:p>
        </w:tc>
        <w:tc>
          <w:p>
            <w:pPr>
              <w:pStyle w:val="Compact"/>
              <w:jc w:val="right"/>
            </w:pPr>
            <w:r>
              <w:t xml:space="preserve">873.0</w:t>
            </w:r>
          </w:p>
        </w:tc>
        <w:tc>
          <w:p>
            <w:pPr>
              <w:pStyle w:val="Compact"/>
              <w:jc w:val="right"/>
            </w:pPr>
            <w:r>
              <w:t xml:space="preserve">-2.0</w:t>
            </w:r>
          </w:p>
        </w:tc>
        <w:tc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m:oMath>
              <m:r>
                <m:t>γ</m:t>
              </m:r>
            </m:oMath>
            <w:r>
              <w:t xml:space="preserve">(CH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 hydroxymethyl wagging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930</w:t>
            </w:r>
          </w:p>
        </w:tc>
        <w:tc>
          <w:p>
            <w:pPr>
              <w:pStyle w:val="Compact"/>
              <w:jc w:val="right"/>
            </w:pPr>
            <w:r>
              <w:t xml:space="preserve">926.7</w:t>
            </w:r>
          </w:p>
        </w:tc>
        <w:tc>
          <w:p>
            <w:pPr>
              <w:pStyle w:val="Compact"/>
              <w:jc w:val="right"/>
            </w:pPr>
            <w:r>
              <w:t xml:space="preserve">+3.3</w:t>
            </w:r>
          </w:p>
        </w:tc>
        <w:tc>
          <w:p>
            <w:pPr>
              <w:pStyle w:val="Compact"/>
              <w:jc w:val="right"/>
            </w:pPr>
            <w:r>
              <w:t xml:space="preserve">3.6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Ring breathing /</w:t>
            </w:r>
            <w:r>
              <w:t xml:space="preserve"> </w:t>
            </w:r>
            <m:oMath>
              <m:r>
                <m:t>ν</m:t>
              </m:r>
            </m:oMath>
            <w:r>
              <w:t xml:space="preserve">(C–C–O)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956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unmatched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1007</w:t>
            </w:r>
          </w:p>
        </w:tc>
        <w:tc>
          <w:p>
            <w:pPr>
              <w:pStyle w:val="Compact"/>
              <w:jc w:val="right"/>
            </w:pPr>
            <w:r>
              <w:t xml:space="preserve">999.9</w:t>
            </w:r>
          </w:p>
        </w:tc>
        <w:tc>
          <w:p>
            <w:pPr>
              <w:pStyle w:val="Compact"/>
              <w:jc w:val="right"/>
            </w:pPr>
            <w:r>
              <w:t xml:space="preserve">+7.1</w:t>
            </w:r>
          </w:p>
        </w:tc>
        <w:tc>
          <w:p>
            <w:pPr>
              <w:pStyle w:val="Compact"/>
              <w:jc w:val="right"/>
            </w:pPr>
            <w:r>
              <w:t xml:space="preserve">2.4</w:t>
            </w:r>
          </w:p>
        </w:tc>
        <w:tc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Ring breathing /</w:t>
            </w:r>
            <w:r>
              <w:t xml:space="preserve"> </w:t>
            </w:r>
            <m:oMath>
              <m:r>
                <m:t>ν</m:t>
              </m:r>
            </m:oMath>
            <w:r>
              <w:t xml:space="preserve">(C–C–O)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1023</w:t>
            </w:r>
          </w:p>
        </w:tc>
        <w:tc>
          <w:p>
            <w:pPr>
              <w:pStyle w:val="Compact"/>
              <w:jc w:val="right"/>
            </w:pPr>
            <w:r>
              <w:t xml:space="preserve">1021.5</w:t>
            </w:r>
          </w:p>
        </w:tc>
        <w:tc>
          <w:p>
            <w:pPr>
              <w:pStyle w:val="Compact"/>
              <w:jc w:val="right"/>
            </w:pPr>
            <w:r>
              <w:t xml:space="preserve">+1.5</w:t>
            </w:r>
          </w:p>
        </w:tc>
        <w:tc>
          <w:p>
            <w:pPr>
              <w:pStyle w:val="Compact"/>
              <w:jc w:val="right"/>
            </w:pPr>
            <w:r>
              <w:t xml:space="preserve">2.3</w:t>
            </w:r>
          </w:p>
        </w:tc>
        <w:tc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t xml:space="preserve">(C–O)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(C–O–H)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1045</w:t>
            </w:r>
            <m:oMath>
              <m:sSup>
                <m:e>
                  <m:r>
                    <m:t>​</m:t>
                  </m:r>
                </m:e>
                <m:sup>
                  <m:r>
                    <m:t>†</m:t>
                  </m:r>
                </m:sup>
              </m:sSup>
            </m:oMath>
          </w:p>
        </w:tc>
        <w:tc>
          <w:p>
            <w:pPr>
              <w:pStyle w:val="Compact"/>
              <w:jc w:val="right"/>
            </w:pPr>
            <w:r>
              <w:t xml:space="preserve">1042.2</w:t>
            </w:r>
          </w:p>
        </w:tc>
        <w:tc>
          <w:p>
            <w:pPr>
              <w:pStyle w:val="Compact"/>
              <w:jc w:val="right"/>
            </w:pPr>
            <w:r>
              <w:t xml:space="preserve">+2.8</w:t>
            </w:r>
          </w:p>
        </w:tc>
        <w:tc>
          <w:p>
            <w:pPr>
              <w:pStyle w:val="Compact"/>
              <w:jc w:val="right"/>
            </w:pPr>
            <w:r>
              <w:t xml:space="preserve">7.7</w:t>
            </w:r>
          </w:p>
        </w:tc>
        <w:tc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t xml:space="preserve">(C–O)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(C–O–H)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1058</w:t>
            </w:r>
          </w:p>
        </w:tc>
        <w:tc>
          <w:p>
            <w:pPr>
              <w:pStyle w:val="Compact"/>
              <w:jc w:val="right"/>
            </w:pPr>
            <w:r>
              <w:t xml:space="preserve">1072.7</w:t>
            </w:r>
          </w:p>
        </w:tc>
        <w:tc>
          <w:p>
            <w:pPr>
              <w:pStyle w:val="Compact"/>
              <w:jc w:val="right"/>
            </w:pPr>
            <w:r>
              <w:t xml:space="preserve">-14.7</w:t>
            </w:r>
          </w:p>
        </w:tc>
        <w:tc>
          <w:p>
            <w:pPr>
              <w:pStyle w:val="Compact"/>
              <w:jc w:val="right"/>
            </w:pPr>
            <w:r>
              <w:t xml:space="preserve">12.4</w:t>
            </w:r>
          </w:p>
        </w:tc>
        <w:tc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t xml:space="preserve">(C–O)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(C–O–H)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1085</w:t>
            </w:r>
            <m:oMath>
              <m:sSup>
                <m:e>
                  <m:r>
                    <m:t>​</m:t>
                  </m:r>
                </m:e>
                <m:sup>
                  <m:r>
                    <m:t>†</m:t>
                  </m:r>
                </m:sup>
              </m:sSup>
            </m:oMath>
          </w:p>
        </w:tc>
        <w:tc>
          <w:p>
            <w:pPr>
              <w:pStyle w:val="Compact"/>
              <w:jc w:val="right"/>
            </w:pPr>
            <w:r>
              <w:t xml:space="preserve">1072.7</w:t>
            </w:r>
          </w:p>
        </w:tc>
        <w:tc>
          <w:p>
            <w:pPr>
              <w:pStyle w:val="Compact"/>
              <w:jc w:val="right"/>
            </w:pPr>
            <w:r>
              <w:t xml:space="preserve">+12.3</w:t>
            </w:r>
          </w:p>
        </w:tc>
        <w:tc>
          <w:p>
            <w:pPr>
              <w:pStyle w:val="Compact"/>
              <w:jc w:val="right"/>
            </w:pPr>
            <w:r>
              <w:t xml:space="preserve">12.4</w:t>
            </w:r>
          </w:p>
        </w:tc>
        <w:tc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t xml:space="preserve">(C–O)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(C–O–H)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1112</w:t>
            </w:r>
          </w:p>
        </w:tc>
        <w:tc>
          <w:p>
            <w:pPr>
              <w:pStyle w:val="Compact"/>
              <w:jc w:val="right"/>
            </w:pPr>
            <w:r>
              <w:t xml:space="preserve">1107.4</w:t>
            </w:r>
          </w:p>
        </w:tc>
        <w:tc>
          <w:p>
            <w:pPr>
              <w:pStyle w:val="Compact"/>
              <w:jc w:val="right"/>
            </w:pPr>
            <w:r>
              <w:t xml:space="preserve">+4.6</w:t>
            </w:r>
          </w:p>
        </w:tc>
        <w:tc>
          <w:p>
            <w:pPr>
              <w:pStyle w:val="Compact"/>
              <w:jc w:val="right"/>
            </w:pPr>
            <w:r>
              <w:t xml:space="preserve">6.6</w:t>
            </w:r>
          </w:p>
        </w:tc>
        <w:tc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t xml:space="preserve">(C–O)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(C–O–H)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1128</w:t>
            </w:r>
          </w:p>
        </w:tc>
        <w:tc>
          <w:p>
            <w:pPr>
              <w:pStyle w:val="Compact"/>
              <w:jc w:val="right"/>
            </w:pPr>
            <w:r>
              <w:t xml:space="preserve">1116.6</w:t>
            </w:r>
          </w:p>
        </w:tc>
        <w:tc>
          <w:p>
            <w:pPr>
              <w:pStyle w:val="Compact"/>
              <w:jc w:val="right"/>
            </w:pPr>
            <w:r>
              <w:t xml:space="preserve">+11.4</w:t>
            </w:r>
          </w:p>
        </w:tc>
        <w:tc>
          <w:p>
            <w:pPr>
              <w:pStyle w:val="Compact"/>
              <w:jc w:val="right"/>
            </w:pPr>
            <w:r>
              <w:t xml:space="preserve">3.1</w:t>
            </w:r>
          </w:p>
        </w:tc>
        <w:tc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t xml:space="preserve">(C–O)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(C–O–H)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1156</w:t>
            </w:r>
          </w:p>
        </w:tc>
        <w:tc>
          <w:p>
            <w:pPr>
              <w:pStyle w:val="Compact"/>
              <w:jc w:val="right"/>
            </w:pPr>
            <w:r>
              <w:t xml:space="preserve">1172.4</w:t>
            </w:r>
          </w:p>
        </w:tc>
        <w:tc>
          <w:p>
            <w:pPr>
              <w:pStyle w:val="Compact"/>
              <w:jc w:val="right"/>
            </w:pPr>
            <w:r>
              <w:t xml:space="preserve">-16.4</w:t>
            </w:r>
          </w:p>
        </w:tc>
        <w:tc>
          <w:p>
            <w:pPr>
              <w:pStyle w:val="Compact"/>
              <w:jc w:val="right"/>
            </w:pPr>
            <w:r>
              <w:t xml:space="preserve">4.4</w:t>
            </w:r>
          </w:p>
        </w:tc>
        <w:tc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t xml:space="preserve">(C–O)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(C–O–H)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1206</w:t>
            </w:r>
            <m:oMath>
              <m:sSup>
                <m:e>
                  <m:r>
                    <m:t>​</m:t>
                  </m:r>
                </m:e>
                <m:sup>
                  <m:r>
                    <m:t>†</m:t>
                  </m:r>
                </m:sup>
              </m:sSup>
            </m:oMath>
          </w:p>
        </w:tc>
        <w:tc>
          <w:p>
            <w:pPr>
              <w:pStyle w:val="Compact"/>
              <w:jc w:val="right"/>
            </w:pPr>
            <w:r>
              <w:t xml:space="preserve">1192.1</w:t>
            </w:r>
          </w:p>
        </w:tc>
        <w:tc>
          <w:p>
            <w:pPr>
              <w:pStyle w:val="Compact"/>
              <w:jc w:val="right"/>
            </w:pPr>
            <w:r>
              <w:t xml:space="preserve">+13.9</w:t>
            </w:r>
          </w:p>
        </w:tc>
        <w:tc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t xml:space="preserve">(C–O)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(C–O–H)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1249</w:t>
            </w:r>
          </w:p>
        </w:tc>
        <w:tc>
          <w:p>
            <w:pPr>
              <w:pStyle w:val="Compact"/>
              <w:jc w:val="right"/>
            </w:pPr>
            <w:r>
              <w:t xml:space="preserve">1257.1</w:t>
            </w:r>
          </w:p>
        </w:tc>
        <w:tc>
          <w:p>
            <w:pPr>
              <w:pStyle w:val="Compact"/>
              <w:jc w:val="right"/>
            </w:pPr>
            <w:r>
              <w:t xml:space="preserve">-8.1</w:t>
            </w:r>
          </w:p>
        </w:tc>
        <w:tc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(C–H) +</w:t>
            </w:r>
            <w:r>
              <w:t xml:space="preserve"> </w:t>
            </w:r>
            <m:oMath>
              <m:r>
                <m:t>ν</m:t>
              </m:r>
            </m:oMath>
            <w:r>
              <w:t xml:space="preserve">(C–O) coupled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1300</w:t>
            </w:r>
            <m:oMath>
              <m:sSup>
                <m:e>
                  <m:r>
                    <m:t>​</m:t>
                  </m:r>
                </m:e>
                <m:sup>
                  <m:r>
                    <m:t>†</m:t>
                  </m:r>
                </m:sup>
              </m:sSup>
            </m:oMath>
          </w:p>
        </w:tc>
        <w:tc>
          <w:p>
            <w:pPr>
              <w:pStyle w:val="Compact"/>
              <w:jc w:val="right"/>
            </w:pPr>
            <w:r>
              <w:t xml:space="preserve">1287.6</w:t>
            </w:r>
          </w:p>
        </w:tc>
        <w:tc>
          <w:p>
            <w:pPr>
              <w:pStyle w:val="Compact"/>
              <w:jc w:val="right"/>
            </w:pPr>
            <w:r>
              <w:t xml:space="preserve">+12.4</w:t>
            </w:r>
          </w:p>
        </w:tc>
        <w:tc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(C–H) +</w:t>
            </w:r>
            <w:r>
              <w:t xml:space="preserve"> </w:t>
            </w:r>
            <m:oMath>
              <m:r>
                <m:t>ν</m:t>
              </m:r>
            </m:oMath>
            <w:r>
              <w:t xml:space="preserve">(C–O) coupled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1321</w:t>
            </w:r>
          </w:p>
        </w:tc>
        <w:tc>
          <w:p>
            <w:pPr>
              <w:pStyle w:val="Compact"/>
              <w:jc w:val="right"/>
            </w:pPr>
            <w:r>
              <w:t xml:space="preserve">1313.6</w:t>
            </w:r>
          </w:p>
        </w:tc>
        <w:tc>
          <w:p>
            <w:pPr>
              <w:pStyle w:val="Compact"/>
              <w:jc w:val="right"/>
            </w:pPr>
            <w:r>
              <w:t xml:space="preserve">+7.4</w:t>
            </w:r>
          </w:p>
        </w:tc>
        <w:tc>
          <w:p>
            <w:pPr>
              <w:pStyle w:val="Compact"/>
              <w:jc w:val="right"/>
            </w:pPr>
            <w:r>
              <w:t xml:space="preserve">2.7</w:t>
            </w:r>
          </w:p>
        </w:tc>
        <w:tc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(C–H) +</w:t>
            </w:r>
            <w:r>
              <w:t xml:space="preserve"> </w:t>
            </w:r>
            <m:oMath>
              <m:r>
                <m:t>ν</m:t>
              </m:r>
            </m:oMath>
            <w:r>
              <w:t xml:space="preserve">(C–O) coupled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1347</w:t>
            </w:r>
          </w:p>
        </w:tc>
        <w:tc>
          <w:p>
            <w:pPr>
              <w:pStyle w:val="Compact"/>
              <w:jc w:val="right"/>
            </w:pPr>
            <w:r>
              <w:t xml:space="preserve">1359.3</w:t>
            </w:r>
          </w:p>
        </w:tc>
        <w:tc>
          <w:p>
            <w:pPr>
              <w:pStyle w:val="Compact"/>
              <w:jc w:val="right"/>
            </w:pPr>
            <w:r>
              <w:t xml:space="preserve">-12.3</w:t>
            </w:r>
          </w:p>
        </w:tc>
        <w:tc>
          <w:p>
            <w:pPr>
              <w:pStyle w:val="Compact"/>
              <w:jc w:val="right"/>
            </w:pPr>
            <w:r>
              <w:t xml:space="preserve">11.0</w:t>
            </w:r>
          </w:p>
        </w:tc>
        <w:tc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(C–H) /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s(CH</w:t>
            </w:r>
            <m:oMath>
              <m:sSub>
                <m:e>
                  <m:r>
                    <m:t>​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 umbrella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1394</w:t>
            </w:r>
          </w:p>
        </w:tc>
        <w:tc>
          <w:p>
            <w:pPr>
              <w:pStyle w:val="Compact"/>
              <w:jc w:val="right"/>
            </w:pPr>
            <w:r>
              <w:t xml:space="preserve">1387.6</w:t>
            </w:r>
          </w:p>
        </w:tc>
        <w:tc>
          <w:p>
            <w:pPr>
              <w:pStyle w:val="Compact"/>
              <w:jc w:val="right"/>
            </w:pPr>
            <w:r>
              <w:t xml:space="preserve">+6.4</w:t>
            </w:r>
          </w:p>
        </w:tc>
        <w:tc>
          <w:p>
            <w:pPr>
              <w:pStyle w:val="Compact"/>
              <w:jc w:val="right"/>
            </w:pPr>
            <w:r>
              <w:t xml:space="preserve">7.8</w:t>
            </w:r>
          </w:p>
        </w:tc>
        <w:tc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(C–H) /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s(CH</w:t>
            </w:r>
            <m:oMath>
              <m:sSub>
                <m:e>
                  <m:r>
                    <m:t>​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 umbrella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1450</w:t>
            </w:r>
          </w:p>
        </w:tc>
        <w:tc>
          <w:p>
            <w:pPr>
              <w:pStyle w:val="Compact"/>
              <w:jc w:val="right"/>
            </w:pPr>
            <w:r>
              <w:t xml:space="preserve">1459.7</w:t>
            </w:r>
          </w:p>
        </w:tc>
        <w:tc>
          <w:p>
            <w:pPr>
              <w:pStyle w:val="Compact"/>
              <w:jc w:val="right"/>
            </w:pPr>
            <w:r>
              <w:t xml:space="preserve">-9.7</w:t>
            </w:r>
          </w:p>
        </w:tc>
        <w:tc>
          <w:p>
            <w:pPr>
              <w:pStyle w:val="Compact"/>
              <w:jc w:val="right"/>
            </w:pPr>
            <w:r>
              <w:t xml:space="preserve">7.6</w:t>
            </w:r>
          </w:p>
        </w:tc>
        <w:tc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(CH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 scissoring /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as(CH</w:t>
            </w:r>
            <m:oMath>
              <m:sSub>
                <m:e>
                  <m:r>
                    <m:t>​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1517</w:t>
            </w:r>
            <m:oMath>
              <m:sSup>
                <m:e>
                  <m:r>
                    <m:t>​</m:t>
                  </m:r>
                </m:e>
                <m:sup>
                  <m:r>
                    <m:t>†</m:t>
                  </m:r>
                </m:sup>
              </m:sSup>
            </m:oMath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unmatched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1546</w:t>
            </w:r>
          </w:p>
        </w:tc>
        <w:tc>
          <w:p>
            <w:pPr>
              <w:pStyle w:val="Compact"/>
              <w:jc w:val="right"/>
            </w:pPr>
            <w:r>
              <w:t xml:space="preserve">1535.2</w:t>
            </w:r>
          </w:p>
        </w:tc>
        <w:tc>
          <w:p>
            <w:pPr>
              <w:pStyle w:val="Compact"/>
              <w:jc w:val="right"/>
            </w:pPr>
            <w:r>
              <w:t xml:space="preserve">+10.8</w:t>
            </w:r>
          </w:p>
        </w:tc>
        <w:tc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p>
            <w:pPr>
              <w:pStyle w:val="Compact"/>
              <w:jc w:val="left"/>
            </w:pPr>
            <w:r>
              <w:t xml:space="preserve">Amide II: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(N–H) +</w:t>
            </w:r>
            <w:r>
              <w:t xml:space="preserve"> </w:t>
            </w:r>
            <m:oMath>
              <m:r>
                <m:t>ν</m:t>
              </m:r>
            </m:oMath>
            <w:r>
              <w:t xml:space="preserve">(C–N)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1589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p>
            <w:pPr>
              <w:pStyle w:val="Compact"/>
              <w:jc w:val="left"/>
            </w:pPr>
            <w:r>
              <w:t xml:space="preserve">unmatched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1637</w:t>
            </w:r>
            <m:oMath>
              <m:sSup>
                <m:e>
                  <m:r>
                    <m:t>​</m:t>
                  </m:r>
                </m:e>
                <m:sup>
                  <m:r>
                    <m:t>†</m:t>
                  </m:r>
                </m:sup>
              </m:sSup>
            </m:oMath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p>
            <w:pPr>
              <w:pStyle w:val="Compact"/>
              <w:jc w:val="left"/>
            </w:pPr>
            <w:r>
              <w:t xml:space="preserve">unmatched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1652</w:t>
            </w:r>
            <m:oMath>
              <m:sSup>
                <m:e>
                  <m:r>
                    <m:t>​</m:t>
                  </m:r>
                </m:e>
                <m:sup>
                  <m:r>
                    <m:t>†</m:t>
                  </m:r>
                </m:sup>
              </m:sSup>
            </m:oMath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p>
            <w:pPr>
              <w:pStyle w:val="Compact"/>
              <w:jc w:val="left"/>
            </w:pPr>
            <w:r>
              <w:t xml:space="preserve">unmatched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1663</w:t>
            </w:r>
            <m:oMath>
              <m:sSup>
                <m:e>
                  <m:r>
                    <m:t>​</m:t>
                  </m:r>
                </m:e>
                <m:sup>
                  <m:r>
                    <m:t>†</m:t>
                  </m:r>
                </m:sup>
              </m:sSup>
            </m:oMath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p>
            <w:pPr>
              <w:pStyle w:val="Compact"/>
              <w:jc w:val="left"/>
            </w:pPr>
            <w:r>
              <w:t xml:space="preserve">unmatched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1702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unmatched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1730</w:t>
            </w:r>
            <m:oMath>
              <m:sSup>
                <m:e>
                  <m:r>
                    <m:t>​</m:t>
                  </m:r>
                </m:e>
                <m:sup>
                  <m:r>
                    <m:t>†</m:t>
                  </m:r>
                </m:sup>
              </m:sSup>
            </m:oMath>
          </w:p>
        </w:tc>
        <w:tc>
          <w:p>
            <w:pPr>
              <w:pStyle w:val="Compact"/>
              <w:jc w:val="right"/>
            </w:pPr>
            <w:r>
              <w:t xml:space="preserve">1722.8</w:t>
            </w:r>
          </w:p>
        </w:tc>
        <w:tc>
          <w:p>
            <w:pPr>
              <w:pStyle w:val="Compact"/>
              <w:jc w:val="right"/>
            </w:pPr>
            <w:r>
              <w:t xml:space="preserve">+7.2</w:t>
            </w:r>
          </w:p>
        </w:tc>
        <w:tc>
          <w:p>
            <w:pPr>
              <w:pStyle w:val="Compact"/>
              <w:jc w:val="right"/>
            </w:pPr>
            <w:r>
              <w:t xml:space="preserve">12.8</w:t>
            </w:r>
          </w:p>
        </w:tc>
        <w:tc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Amide I:</w:t>
            </w:r>
            <w:r>
              <w:t xml:space="preserve"> </w:t>
            </w:r>
            <m:oMath>
              <m:r>
                <m:t>ν</m:t>
              </m:r>
            </m:oMath>
            <w:r>
              <w:t xml:space="preserve">(C=O)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1769</w:t>
            </w:r>
          </w:p>
        </w:tc>
        <w:tc>
          <w:p>
            <w:pPr>
              <w:pStyle w:val="Compact"/>
              <w:jc w:val="right"/>
            </w:pPr>
            <w:r>
              <w:t xml:space="preserve">1759.2</w:t>
            </w:r>
          </w:p>
        </w:tc>
        <w:tc>
          <w:p>
            <w:pPr>
              <w:pStyle w:val="Compact"/>
              <w:jc w:val="right"/>
            </w:pPr>
            <w:r>
              <w:t xml:space="preserve">+9.8</w:t>
            </w:r>
          </w:p>
        </w:tc>
        <w:tc>
          <w:p>
            <w:pPr>
              <w:pStyle w:val="Compact"/>
              <w:jc w:val="right"/>
            </w:pPr>
            <w:r>
              <w:t xml:space="preserve">10.2</w:t>
            </w:r>
          </w:p>
        </w:tc>
        <w:tc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t xml:space="preserve">(C=O) carboxylic acid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1785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p>
            <w:pPr>
              <w:pStyle w:val="Compact"/>
              <w:jc w:val="left"/>
            </w:pPr>
            <w:r>
              <w:t xml:space="preserve">unmatched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1797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p>
            <w:pPr>
              <w:pStyle w:val="Compact"/>
              <w:jc w:val="left"/>
            </w:pPr>
            <w:r>
              <w:t xml:space="preserve">unmatched</w:t>
            </w:r>
          </w:p>
        </w:tc>
      </w:tr>
    </w:tbl>
    <w:bookmarkEnd w:id="55"/>
    <w:p>
      <w:pPr>
        <w:pStyle w:val="Heading1"/>
      </w:pPr>
      <w:bookmarkStart w:id="56" w:name="credit-authorship-contribution-statement"/>
      <w:r>
        <w:t xml:space="preserve">CRediT authorship contribution statement</w:t>
      </w:r>
      <w:bookmarkEnd w:id="56"/>
    </w:p>
    <w:p>
      <w:pPr>
        <w:pStyle w:val="FirstParagraph"/>
      </w:pPr>
      <w:r>
        <w:rPr>
          <w:b/>
        </w:rPr>
        <w:t xml:space="preserve">Sukesh P:</w:t>
      </w:r>
      <w:r>
        <w:t xml:space="preserve"> </w:t>
      </w:r>
      <w:r>
        <w:t xml:space="preserve">Conceptualisation, Methodology, Investigation, Formal</w:t>
      </w:r>
      <w:r>
        <w:t xml:space="preserve"> </w:t>
      </w:r>
      <w:r>
        <w:t xml:space="preserve">analysis, Software, Visualisation, Writing — original draft.</w:t>
      </w:r>
      <w:r>
        <w:t xml:space="preserve"> </w:t>
      </w:r>
      <w:r>
        <w:rPr>
          <w:b/>
        </w:rPr>
        <w:t xml:space="preserve">TO CHECK: Add co-authors and their contributions.</w:t>
      </w:r>
    </w:p>
    <w:p>
      <w:pPr>
        <w:pStyle w:val="Heading1"/>
      </w:pPr>
      <w:bookmarkStart w:id="57" w:name="declaration-of-competing-interest"/>
      <w:r>
        <w:t xml:space="preserve">Declaration of competing interest</w:t>
      </w:r>
      <w:bookmarkEnd w:id="57"/>
    </w:p>
    <w:p>
      <w:pPr>
        <w:pStyle w:val="FirstParagraph"/>
      </w:pPr>
      <w:r>
        <w:t xml:space="preserve">The authors declare no competing financial interests or personal relationships</w:t>
      </w:r>
      <w:r>
        <w:t xml:space="preserve"> </w:t>
      </w:r>
      <w:r>
        <w:t xml:space="preserve">that could have influenced the work reported in this paper.</w:t>
      </w:r>
    </w:p>
    <w:p>
      <w:pPr>
        <w:pStyle w:val="Heading1"/>
      </w:pPr>
      <w:bookmarkStart w:id="58" w:name="data-availability"/>
      <w:r>
        <w:t xml:space="preserve">Data availability</w:t>
      </w:r>
      <w:bookmarkEnd w:id="58"/>
    </w:p>
    <w:p>
      <w:pPr>
        <w:pStyle w:val="FirstParagraph"/>
      </w:pPr>
      <w:r>
        <w:t xml:space="preserve">Processed Raman spectra, the complete list of calculated frequencies and Raman</w:t>
      </w:r>
      <w:r>
        <w:t xml:space="preserve"> </w:t>
      </w:r>
      <w:r>
        <w:t xml:space="preserve">activities, and the optimised molecular geometry are provided as Supplementary</w:t>
      </w:r>
      <w:r>
        <w:t xml:space="preserve"> </w:t>
      </w:r>
      <w:r>
        <w:t xml:space="preserve">Material. Raw spectra and Gaussian output files are available from the</w:t>
      </w:r>
      <w:r>
        <w:t xml:space="preserve"> </w:t>
      </w:r>
      <w:r>
        <w:t xml:space="preserve">corresponding author on request.</w:t>
      </w:r>
      <w:r>
        <w:t xml:space="preserve"> </w:t>
      </w:r>
      <w:r>
        <w:rPr>
          <w:b/>
        </w:rPr>
        <w:t xml:space="preserve">TO CHECK: Consider depositing the full archive in Zenodo and citing the DOI.</w:t>
      </w:r>
    </w:p>
    <w:p>
      <w:pPr>
        <w:pStyle w:val="Heading1"/>
      </w:pPr>
      <w:bookmarkStart w:id="59" w:name="acknowledgements"/>
      <w:r>
        <w:t xml:space="preserve">Acknowledgements</w:t>
      </w:r>
      <w:bookmarkEnd w:id="59"/>
    </w:p>
    <w:p>
      <w:pPr>
        <w:pStyle w:val="FirstParagraph"/>
      </w:pPr>
      <w:r>
        <w:t xml:space="preserve">The author thanks the Indian Institute of Technology Jodhpur for access to Raman</w:t>
      </w:r>
      <w:r>
        <w:t xml:space="preserve"> </w:t>
      </w:r>
      <w:r>
        <w:t xml:space="preserve">spectroscopy and computational facilities.</w:t>
      </w:r>
      <w:r>
        <w:t xml:space="preserve"> </w:t>
      </w:r>
      <w:r>
        <w:rPr>
          <w:b/>
        </w:rPr>
        <w:t xml:space="preserve">TO CHECK: Add supervisor, colleagues, funding sources and grant numbers.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Y. Wang, et al., Bacteria detection: from powerful SERS to advanced</w:t>
      </w:r>
      <w:r>
        <w:t xml:space="preserve"> </w:t>
      </w:r>
      <w:r>
        <w:t xml:space="preserve">spectroscopic techniques, Biosensors 12 (2022) 210.</w:t>
      </w:r>
    </w:p>
    <w:p>
      <w:pPr>
        <w:pStyle w:val="BodyText"/>
      </w:pPr>
      <w:r>
        <w:t xml:space="preserve">D. Ma, et al.,</w:t>
      </w:r>
      <w:r>
        <w:t xml:space="preserve"> </w:t>
      </w:r>
      <w:r>
        <w:rPr>
          <w:i/>
        </w:rPr>
        <w:t xml:space="preserve">Escherichia coli</w:t>
      </w:r>
      <w:r>
        <w:t xml:space="preserve"> </w:t>
      </w:r>
      <w:r>
        <w:t xml:space="preserve">research on Raman measurement mechanism</w:t>
      </w:r>
      <w:r>
        <w:t xml:space="preserve"> </w:t>
      </w:r>
      <w:r>
        <w:t xml:space="preserve">and diagnostic model, Vibrational Spectroscopy 132 (2024) 103670.</w:t>
      </w:r>
    </w:p>
    <w:p>
      <w:pPr>
        <w:pStyle w:val="BodyText"/>
      </w:pPr>
      <w:r>
        <w:t xml:space="preserve">W. Vollmer, D. Blanot, M. A. de Pedro, Peptidoglycan structure and architecture,</w:t>
      </w:r>
      <w:r>
        <w:t xml:space="preserve"> </w:t>
      </w:r>
      <w:r>
        <w:t xml:space="preserve">FEMS Microbiology Reviews 32 (2008) 149–167.</w:t>
      </w:r>
    </w:p>
    <w:p>
      <w:pPr>
        <w:pStyle w:val="BodyText"/>
      </w:pPr>
      <w:r>
        <w:t xml:space="preserve">C. Y. She, et al., Laser Raman spectra of glucosamine and related amino sugars,</w:t>
      </w:r>
      <w:r>
        <w:t xml:space="preserve"> </w:t>
      </w:r>
      <w:r>
        <w:t xml:space="preserve">Spectrochimica Acta Part A 30 (1974) 1387–1395.</w:t>
      </w:r>
    </w:p>
    <w:p>
      <w:pPr>
        <w:pStyle w:val="BodyText"/>
      </w:pPr>
      <w:r>
        <w:t xml:space="preserve">J. Kaminský, et al., Simulation of Raman and Raman optical activity spectra of</w:t>
      </w:r>
      <w:r>
        <w:t xml:space="preserve"> </w:t>
      </w:r>
      <w:r>
        <w:t xml:space="preserve">saccharides in water, Physical Chemistry Chemical Physics 22 (2020) 12345–12356.</w:t>
      </w:r>
    </w:p>
    <w:p>
      <w:pPr>
        <w:pStyle w:val="BodyText"/>
      </w:pPr>
      <w:r>
        <w:t xml:space="preserve">M. Kouach, et al., Vibrational spectra and harmonic dynamics of</w:t>
      </w:r>
      <w:r>
        <w:t xml:space="preserve"> </w:t>
      </w:r>
      <w:r>
        <w:t xml:space="preserve">N-acetyl-muramic acid monohydrate, Journal of Molecular Structure 317 (1994)</w:t>
      </w:r>
      <w:r>
        <w:t xml:space="preserve"> </w:t>
      </w:r>
      <w:r>
        <w:t xml:space="preserve">153–166.</w:t>
      </w:r>
      <w:r>
        <w:t xml:space="preserve"> </w:t>
      </w:r>
      <w:r>
        <w:rPr>
          <w:b/>
        </w:rPr>
        <w:t xml:space="preserve">TO CHECK: VERIFY authors, volume and pages against the actual paper</w:t>
      </w:r>
    </w:p>
    <w:p>
      <w:pPr>
        <w:pStyle w:val="BodyText"/>
      </w:pPr>
      <w:r>
        <w:t xml:space="preserve">W. R. Premasiri, et al., The biochemical origins of the surface-enhanced Raman</w:t>
      </w:r>
      <w:r>
        <w:t xml:space="preserve"> </w:t>
      </w:r>
      <w:r>
        <w:t xml:space="preserve">spectra of bacteria, Applied Spectroscopy 70 (2016) 1136–1149.</w:t>
      </w:r>
    </w:p>
    <w:p>
      <w:pPr>
        <w:pStyle w:val="BodyText"/>
      </w:pPr>
      <w:r>
        <w:t xml:space="preserve">P. Kubryk, et al., The origin of the band at around 730 cm</w:t>
      </w:r>
      <m:oMath>
        <m:sSup>
          <m:e>
            <m:r>
              <m:t>​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SERS</w:t>
      </w:r>
      <w:r>
        <w:t xml:space="preserve"> </w:t>
      </w:r>
      <w:r>
        <w:t xml:space="preserve">spectra of bacteria, Analyst 141 (2016) 3986–3994.</w:t>
      </w:r>
    </w:p>
    <w:p>
      <w:pPr>
        <w:pStyle w:val="BodyText"/>
      </w:pPr>
      <w:r>
        <w:t xml:space="preserve">M. J. Frisch, et al., Gaussian 16, Revision</w:t>
      </w:r>
      <w:r>
        <w:t xml:space="preserve"> </w:t>
      </w:r>
      <w:r>
        <w:rPr>
          <w:b/>
        </w:rPr>
        <w:t xml:space="preserve">TO CHECK: X.XX</w:t>
      </w:r>
      <w:r>
        <w:t xml:space="preserve">, Gaussian, Inc.,</w:t>
      </w:r>
      <w:r>
        <w:t xml:space="preserve"> </w:t>
      </w:r>
      <w:r>
        <w:t xml:space="preserve">Wallingford CT, 2016.</w:t>
      </w:r>
    </w:p>
    <w:p>
      <w:pPr>
        <w:pStyle w:val="BodyText"/>
      </w:pPr>
      <w:r>
        <w:t xml:space="preserve">A. D. Becke, Density-functional thermochemistry. III. The role of exact</w:t>
      </w:r>
      <w:r>
        <w:t xml:space="preserve"> </w:t>
      </w:r>
      <w:r>
        <w:t xml:space="preserve">exchange, Journal of Chemical Physics 98 (1993) 5648–5652.</w:t>
      </w:r>
    </w:p>
    <w:p>
      <w:pPr>
        <w:pStyle w:val="BodyText"/>
      </w:pPr>
      <w:r>
        <w:t xml:space="preserve">C. Lee, W. Yang, R. G. Parr, Development of the Colle–Salvetti</w:t>
      </w:r>
      <w:r>
        <w:t xml:space="preserve"> </w:t>
      </w:r>
      <w:r>
        <w:t xml:space="preserve">correlation-energy formula into a functional of the electron density, Physical</w:t>
      </w:r>
      <w:r>
        <w:t xml:space="preserve"> </w:t>
      </w:r>
      <w:r>
        <w:t xml:space="preserve">Review B 37 (1988) 785–789.</w:t>
      </w:r>
    </w:p>
    <w:p>
      <w:pPr>
        <w:pStyle w:val="BodyText"/>
      </w:pPr>
      <w:r>
        <w:t xml:space="preserve">S. Grimme, S. Ehrlich, L. Goerigk, Effect of the damping function in dispersion</w:t>
      </w:r>
      <w:r>
        <w:t xml:space="preserve"> </w:t>
      </w:r>
      <w:r>
        <w:t xml:space="preserve">corrected density functional theory, Journal of Computational Chemistry 32</w:t>
      </w:r>
      <w:r>
        <w:t xml:space="preserve"> </w:t>
      </w:r>
      <w:r>
        <w:t xml:space="preserve">(2011) 1456–1465.</w:t>
      </w:r>
    </w:p>
    <w:p>
      <w:pPr>
        <w:pStyle w:val="BodyText"/>
      </w:pPr>
      <w:r>
        <w:t xml:space="preserve">P. H. C. Eilers, H. F. M. Boelens, Baseline correction with asymmetric least</w:t>
      </w:r>
      <w:r>
        <w:t xml:space="preserve"> </w:t>
      </w:r>
      <w:r>
        <w:t xml:space="preserve">squares smoothing, Leiden University Medical Centre Report, 2005.</w:t>
      </w:r>
    </w:p>
    <w:p>
      <w:pPr>
        <w:pStyle w:val="BodyText"/>
      </w:pPr>
      <w:r>
        <w:t xml:space="preserve">A. Savitzky, M. J. E. Golay, Smoothing and differentiation of data by simplified</w:t>
      </w:r>
      <w:r>
        <w:t xml:space="preserve"> </w:t>
      </w:r>
      <w:r>
        <w:t xml:space="preserve">least squares procedures, Analytical Chemistry 36 (1964) 1627–1639.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Corresponding</w:t>
      </w:r>
      <w:r>
        <w:t xml:space="preserve"> </w:t>
      </w:r>
      <w:r>
        <w:t xml:space="preserve">author:</w:t>
      </w:r>
      <w:r>
        <w:t xml:space="preserve"> </w:t>
      </w:r>
      <w:r>
        <w:t xml:space="preserve">sukeshperiyasamy@gmail.com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40" Target="media/rId4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1" Target="media/rId51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Experimental and DFT-Assisted Raman Characterisation of Isolated N-Acetylmuramic Acid: Vibrational Assignment, Photostability Limits, and a Reference Spectrum for Bacterial Cell-Wall Analysis</dc:title>
  <dc:creator>Sukesh P Department of Electrical Engineering, Indian Institute of Technology Jodhpur Jodhpur 342030, Rajasthan, India</dc:creator>
  <cp:keywords/>
  <dcterms:created xsi:type="dcterms:W3CDTF">2026-08-10T12:14:02Z</dcterms:created>
  <dcterms:modified xsi:type="dcterms:W3CDTF">2026-08-10T12:14:02Z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N-acetylmuramic acid (MurNAc, NAM) is the defining amino sugar of bacterial peptidoglycan and underlies many of the vibrational features exploited in Raman-based microbial identification. Despite this, an experimentally benchmarked vibrational assignment for the isolated molecule has not been reported: existing assignments derive either from empirical force-field treatments of the crystalline monohydrate or from density functional theory (DFT) calculations validated only indirectly against whole-cell bacterial spectra. Here we report a reference Raman spectrum of isolated N-acetylmuramic acid powder, constructed from 22 independent measurements on fresh sample at 785 nm, together with harmonic Raman frequencies computed at the B3LYP-D3BJ/6-311++G(d,p) level. Forty-one reproducible bands were identified in the 400–1800 cm-1 fingerprint region, of which thirty were matched to calculated normal modes with a mean absolute deviation of 9.3 cm-1, a root-mean-square deviation of 10.3 cm-1, and a correlation coefficient of 0.9996. Acquisition conditions were characterised across 227 spectra, yielding a laser-damage threshold: the sample is spectrally unchanged over ten consecutive scans at 90% laser power and 30 s integration, but is destroyed at the same power with 60 s integration. Normal-mode decomposition resolves two assignments that could not be reached from the experimental spectrum alone. The intense 872 cm-1 band arises from hydroxymethyl wagging rather than ring breathing, and the calculated mode falling in the disputed \sim730 cm-1 bacterial marker region originates almost entirely from out-of-plane deformation of the carboxylic acid hydroxyl group (47.9% of the mode displacement) with negligible pyranose ring character (0.5%). Because this proton is absent in intact peptidoglycan, where the muramic acid carboxyl is amide-linked to the peptide stem, the result argues against attributing the bacterial 730 cm-1 band to muramic acid.</vt:lpwstr>
  </property>
  <property fmtid="{D5CDD505-2E9C-101B-9397-08002B2CF9AE}" pid="3" name="date">
    <vt:lpwstr/>
  </property>
</Properties>
</file>