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Engineering the Ag/Black-Silicon SERS Sensor for N-Acetylmuramic Acid</w:t>
      </w:r>
    </w:p>
    <w:p>
      <w:pPr>
        <w:spacing w:after="300"/>
      </w:pPr>
      <w:r>
        <w:rPr>
          <w:i/>
          <w:iCs/>
          <w:sz w:val="26"/>
          <w:szCs w:val="26"/>
        </w:rPr>
        <w:t xml:space="preserve">Molecular, Electromagnetic, Transport, and Failure-Mode Engineering for a Sepsis-Biomarker SERS Platform</w:t>
      </w:r>
    </w:p>
    <w:p>
      <w:pPr>
        <w:spacing w:after="160"/>
      </w:pPr>
      <w:r>
        <w:rPr>
          <w:i/>
          <w:iCs/>
          <w:color w:val="555555"/>
        </w:rPr>
        <w:t xml:space="preserve">Companion deep-dive to the prior fabrication-selection report. That report chose the base process (Bai et al., Nanomaterials 2019, MACE + photonic Ag reduction on n-type 1–10 Ω·cm Si). This report goes underneath that choice: it asks how NAM itself — its size, charge, flexibility, and chemistry — should drive every downstream engineering decision, from hotspot gap to droplet delivery to failure recovery.</w:t>
      </w:r>
    </w:p>
    <w:p>
      <w:pPr>
        <w:pStyle w:val="Heading2"/>
        <w:spacing w:after="160" w:before="300"/>
      </w:pPr>
      <w:r>
        <w:t xml:space="preserve">Evidence Classification Used Throughout</w:t>
      </w:r>
    </w:p>
    <w:p>
      <w:pPr>
        <w:spacing w:after="140"/>
      </w:pPr>
      <w:r>
        <w:rPr>
          <w:b/>
          <w:bCs/>
          <w:color w:val="2E7D32"/>
        </w:rPr>
        <w:t xml:space="preserve">[DIRECT EVIDENCE]  </w:t>
      </w:r>
      <w:r>
        <w:t xml:space="preserve">A peer-reviewed, experimentally validated measurement or result, cited to its source.</w:t>
      </w:r>
    </w:p>
    <w:p>
      <w:pPr>
        <w:spacing w:after="140"/>
      </w:pPr>
      <w:r>
        <w:rPr>
          <w:b/>
          <w:bCs/>
          <w:color w:val="B8860B"/>
        </w:rPr>
        <w:t xml:space="preserve">[STRONG INFERENCE]  </w:t>
      </w:r>
      <w:r>
        <w:t xml:space="preserve">The literature demonstrates the mechanism/effect on a closely related system (a different but comparable molecule, substrate, or geometry), and the transfer to NAM/this substrate is chemically or physically well justified.</w:t>
      </w:r>
    </w:p>
    <w:p>
      <w:pPr>
        <w:spacing w:after="140"/>
      </w:pPr>
      <w:r>
        <w:rPr>
          <w:b/>
          <w:bCs/>
          <w:color w:val="1565C0"/>
        </w:rPr>
        <w:t xml:space="preserve">[ENGINEERING HYPOTHESIS]  </w:t>
      </w:r>
      <w:r>
        <w:t xml:space="preserve">A reasoned, first-principles or standard-practice judgment call made by this report, not directly tested on any system in the cited literature.</w:t>
      </w:r>
    </w:p>
    <w:p>
      <w:pPr>
        <w:spacing w:after="140"/>
      </w:pPr>
      <w:r>
        <w:rPr>
          <w:b/>
          <w:bCs/>
          <w:color w:val="B71C1C"/>
        </w:rPr>
        <w:t xml:space="preserve">[SPECULATION]  </w:t>
      </w:r>
      <w:r>
        <w:t xml:space="preserve">Included only to flag an open question or risk; explicitly not a design basis.</w:t>
      </w:r>
    </w:p>
    <w:p>
      <w:pPr>
        <w:spacing w:after="160"/>
      </w:pPr>
      <w:r>
        <w:rPr>
          <w:b/>
          <w:bCs/>
        </w:rPr>
        <w:t xml:space="preserve">As with the prior report: no published study of SERS detection of NAM, on any substrate, was located (search current through July 2026). Everything NAM-specific below is STRONG INFERENCE, ENGINEERING HYPOTHESIS, or SPECULATION — never DIRECT EVIDENCE — and is labeled accordingly at each claim.</w:t>
      </w:r>
    </w:p>
    <w:p>
      <w:pPr>
        <w:pStyle w:val="Heading1"/>
        <w:spacing w:after="200" w:before="400"/>
      </w:pPr>
      <w:r>
        <w:t xml:space="preserve">Part 1 — The Target Molecule</w:t>
      </w:r>
    </w:p>
    <w:p>
      <w:pPr>
        <w:spacing w:after="160"/>
      </w:pPr>
      <w:r>
        <w:t xml:space="preserve">NAM's SMILES (ChemicalBook, DIRECT EVIDENCE for the structure itself): CC(O[C@H]1[C@H](O)[C@@H](CO)OC(O)[C@@H]1NC(C)=O)C(O)=O. The descriptors below not directly published for NAM were computed by this report from that SMILES using RDKit (an open-source, peer-reviewed cheminformatics toolkit implementing standard, published algorithms — Crippen LogP, Ertl TPSA, MMFF94 3-D embedding). This is a computed engineering estimate, not a literature measurement, and is tagged accordingly.</w:t>
      </w:r>
    </w:p>
    <w:p>
      <w:pPr>
        <w:pStyle w:val="Heading2"/>
        <w:spacing w:after="160" w:before="300"/>
      </w:pPr>
      <w:r>
        <w:t xml:space="preserve">1.1 Structural and Physicochemical Summary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800"/>
      </w:tblGrid>
      <w:tr>
        <w:trPr>
          <w:tblHeader/>
        </w:trPr>
        <w:tc>
          <w:tcPr>
            <w:tcW w:type="dxa" w:w="2600"/>
            <w:shd w:fill="1F3864" w:val="clear"/>
            <w:tcMar>
              <w:top w:type="dxa" w:w="60"/>
              <w:left w:type="dxa" w:w="80"/>
              <w:bottom w:type="dxa" w:w="60"/>
              <w:right w:type="dxa" w:w="80"/>
            </w:tcMar>
            <w:vAlign w:val="center"/>
          </w:tcPr>
          <w:p>
            <w:r>
              <w:rPr>
                <w:b/>
                <w:bCs/>
                <w:color w:val="FFFFFF"/>
                <w:sz w:val="18"/>
                <w:szCs w:val="18"/>
              </w:rPr>
              <w:t xml:space="preserve">Property</w:t>
            </w:r>
          </w:p>
        </w:tc>
        <w:tc>
          <w:tcPr>
            <w:tcW w:type="dxa" w:w="3400"/>
            <w:shd w:fill="1F3864" w:val="clear"/>
            <w:tcMar>
              <w:top w:type="dxa" w:w="60"/>
              <w:left w:type="dxa" w:w="80"/>
              <w:bottom w:type="dxa" w:w="60"/>
              <w:right w:type="dxa" w:w="80"/>
            </w:tcMar>
            <w:vAlign w:val="center"/>
          </w:tcPr>
          <w:p>
            <w:r>
              <w:rPr>
                <w:b/>
                <w:bCs/>
                <w:color w:val="FFFFFF"/>
                <w:sz w:val="18"/>
                <w:szCs w:val="18"/>
              </w:rPr>
              <w:t xml:space="preserve">Value</w:t>
            </w:r>
          </w:p>
        </w:tc>
        <w:tc>
          <w:tcPr>
            <w:tcW w:type="dxa" w:w="4800"/>
            <w:shd w:fill="1F3864" w:val="clear"/>
            <w:tcMar>
              <w:top w:type="dxa" w:w="60"/>
              <w:left w:type="dxa" w:w="80"/>
              <w:bottom w:type="dxa" w:w="60"/>
              <w:right w:type="dxa" w:w="80"/>
            </w:tcMar>
            <w:vAlign w:val="center"/>
          </w:tcPr>
          <w:p>
            <w:r>
              <w:rPr>
                <w:b/>
                <w:bCs/>
                <w:color w:val="FFFFFF"/>
                <w:sz w:val="18"/>
                <w:szCs w:val="18"/>
              </w:rPr>
              <w:t xml:space="preserve">Basis</w:t>
            </w:r>
          </w:p>
        </w:tc>
      </w:tr>
      <w:tr>
        <w:tc>
          <w:tcPr>
            <w:tcW w:type="dxa" w:w="2600"/>
            <w:tcMar>
              <w:top w:type="dxa" w:w="60"/>
              <w:left w:type="dxa" w:w="80"/>
              <w:bottom w:type="dxa" w:w="60"/>
              <w:right w:type="dxa" w:w="80"/>
            </w:tcMar>
            <w:vAlign w:val="center"/>
          </w:tcPr>
          <w:p>
            <w:r>
              <w:rPr>
                <w:b w:val="false"/>
                <w:bCs w:val="false"/>
                <w:sz w:val="18"/>
                <w:szCs w:val="18"/>
              </w:rPr>
              <w:t xml:space="preserve">Molecular formula / MW</w:t>
            </w:r>
          </w:p>
        </w:tc>
        <w:tc>
          <w:tcPr>
            <w:tcW w:type="dxa" w:w="3400"/>
            <w:tcMar>
              <w:top w:type="dxa" w:w="60"/>
              <w:left w:type="dxa" w:w="80"/>
              <w:bottom w:type="dxa" w:w="60"/>
              <w:right w:type="dxa" w:w="80"/>
            </w:tcMar>
            <w:vAlign w:val="center"/>
          </w:tcPr>
          <w:p>
            <w:r>
              <w:rPr>
                <w:b w:val="false"/>
                <w:bCs w:val="false"/>
                <w:sz w:val="18"/>
                <w:szCs w:val="18"/>
              </w:rPr>
              <w:t xml:space="preserve">C11H19NO8 / 293.27 Da</w:t>
            </w:r>
          </w:p>
        </w:tc>
        <w:tc>
          <w:tcPr>
            <w:tcW w:type="dxa" w:w="4800"/>
            <w:tcMar>
              <w:top w:type="dxa" w:w="60"/>
              <w:left w:type="dxa" w:w="80"/>
              <w:bottom w:type="dxa" w:w="60"/>
              <w:right w:type="dxa" w:w="80"/>
            </w:tcMar>
            <w:vAlign w:val="center"/>
          </w:tcPr>
          <w:p>
            <w:r>
              <w:rPr>
                <w:b w:val="false"/>
                <w:bCs w:val="false"/>
                <w:sz w:val="18"/>
                <w:szCs w:val="18"/>
              </w:rPr>
              <w:t xml:space="preserve">DIRECT EVIDENCE (ChemicalBook; PubChem)</w:t>
            </w:r>
          </w:p>
        </w:tc>
      </w:tr>
      <w:tr>
        <w:tc>
          <w:tcPr>
            <w:tcW w:type="dxa" w:w="2600"/>
            <w:tcMar>
              <w:top w:type="dxa" w:w="60"/>
              <w:left w:type="dxa" w:w="80"/>
              <w:bottom w:type="dxa" w:w="60"/>
              <w:right w:type="dxa" w:w="80"/>
            </w:tcMar>
            <w:vAlign w:val="center"/>
          </w:tcPr>
          <w:p>
            <w:r>
              <w:rPr>
                <w:b w:val="false"/>
                <w:bCs w:val="false"/>
                <w:sz w:val="18"/>
                <w:szCs w:val="18"/>
              </w:rPr>
              <w:t xml:space="preserve">pKa (carboxylic acid)</w:t>
            </w:r>
          </w:p>
        </w:tc>
        <w:tc>
          <w:tcPr>
            <w:tcW w:type="dxa" w:w="3400"/>
            <w:tcMar>
              <w:top w:type="dxa" w:w="60"/>
              <w:left w:type="dxa" w:w="80"/>
              <w:bottom w:type="dxa" w:w="60"/>
              <w:right w:type="dxa" w:w="80"/>
            </w:tcMar>
            <w:vAlign w:val="center"/>
          </w:tcPr>
          <w:p>
            <w:r>
              <w:rPr>
                <w:b w:val="false"/>
                <w:bCs w:val="false"/>
                <w:sz w:val="18"/>
                <w:szCs w:val="18"/>
              </w:rPr>
              <w:t xml:space="preserve">3.25 ± 0.10 (predicted)</w:t>
            </w:r>
          </w:p>
        </w:tc>
        <w:tc>
          <w:tcPr>
            <w:tcW w:type="dxa" w:w="4800"/>
            <w:tcMar>
              <w:top w:type="dxa" w:w="60"/>
              <w:left w:type="dxa" w:w="80"/>
              <w:bottom w:type="dxa" w:w="60"/>
              <w:right w:type="dxa" w:w="80"/>
            </w:tcMar>
            <w:vAlign w:val="center"/>
          </w:tcPr>
          <w:p>
            <w:r>
              <w:rPr>
                <w:b w:val="false"/>
                <w:bCs w:val="false"/>
                <w:sz w:val="18"/>
                <w:szCs w:val="18"/>
              </w:rPr>
              <w:t xml:space="preserve">DIRECT EVIDENCE — predicted value reported by ChemicalBook; not an experimentally measured pKa specifically for NAM, so treated as STRONG INFERENCE in practice</w:t>
            </w:r>
          </w:p>
        </w:tc>
      </w:tr>
      <w:tr>
        <w:tc>
          <w:tcPr>
            <w:tcW w:type="dxa" w:w="2600"/>
            <w:tcMar>
              <w:top w:type="dxa" w:w="60"/>
              <w:left w:type="dxa" w:w="80"/>
              <w:bottom w:type="dxa" w:w="60"/>
              <w:right w:type="dxa" w:w="80"/>
            </w:tcMar>
            <w:vAlign w:val="center"/>
          </w:tcPr>
          <w:p>
            <w:r>
              <w:rPr>
                <w:b w:val="false"/>
                <w:bCs w:val="false"/>
                <w:sz w:val="18"/>
                <w:szCs w:val="18"/>
              </w:rPr>
              <w:t xml:space="preserve">Water solubility</w:t>
            </w:r>
          </w:p>
        </w:tc>
        <w:tc>
          <w:tcPr>
            <w:tcW w:type="dxa" w:w="3400"/>
            <w:tcMar>
              <w:top w:type="dxa" w:w="60"/>
              <w:left w:type="dxa" w:w="80"/>
              <w:bottom w:type="dxa" w:w="60"/>
              <w:right w:type="dxa" w:w="80"/>
            </w:tcMar>
            <w:vAlign w:val="center"/>
          </w:tcPr>
          <w:p>
            <w:r>
              <w:rPr>
                <w:b w:val="false"/>
                <w:bCs w:val="false"/>
                <w:sz w:val="18"/>
                <w:szCs w:val="18"/>
              </w:rPr>
              <w:t xml:space="preserve">~50 mg/mL, clear/colorless</w:t>
            </w:r>
          </w:p>
        </w:tc>
        <w:tc>
          <w:tcPr>
            <w:tcW w:type="dxa" w:w="4800"/>
            <w:tcMar>
              <w:top w:type="dxa" w:w="60"/>
              <w:left w:type="dxa" w:w="80"/>
              <w:bottom w:type="dxa" w:w="60"/>
              <w:right w:type="dxa" w:w="80"/>
            </w:tcMar>
            <w:vAlign w:val="center"/>
          </w:tcPr>
          <w:p>
            <w:r>
              <w:rPr>
                <w:b w:val="false"/>
                <w:bCs w:val="false"/>
                <w:sz w:val="18"/>
                <w:szCs w:val="18"/>
              </w:rPr>
              <w:t xml:space="preserve">DIRECT EVIDENCE (ChemicalBook)</w:t>
            </w:r>
          </w:p>
        </w:tc>
      </w:tr>
      <w:tr>
        <w:tc>
          <w:tcPr>
            <w:tcW w:type="dxa" w:w="2600"/>
            <w:tcMar>
              <w:top w:type="dxa" w:w="60"/>
              <w:left w:type="dxa" w:w="80"/>
              <w:bottom w:type="dxa" w:w="60"/>
              <w:right w:type="dxa" w:w="80"/>
            </w:tcMar>
            <w:vAlign w:val="center"/>
          </w:tcPr>
          <w:p>
            <w:r>
              <w:rPr>
                <w:b w:val="false"/>
                <w:bCs w:val="false"/>
                <w:sz w:val="18"/>
                <w:szCs w:val="18"/>
              </w:rPr>
              <w:t xml:space="preserve">Melting point</w:t>
            </w:r>
          </w:p>
        </w:tc>
        <w:tc>
          <w:tcPr>
            <w:tcW w:type="dxa" w:w="3400"/>
            <w:tcMar>
              <w:top w:type="dxa" w:w="60"/>
              <w:left w:type="dxa" w:w="80"/>
              <w:bottom w:type="dxa" w:w="60"/>
              <w:right w:type="dxa" w:w="80"/>
            </w:tcMar>
            <w:vAlign w:val="center"/>
          </w:tcPr>
          <w:p>
            <w:r>
              <w:rPr>
                <w:b w:val="false"/>
                <w:bCs w:val="false"/>
                <w:sz w:val="18"/>
                <w:szCs w:val="18"/>
              </w:rPr>
              <w:t xml:space="preserve">125 °C (dec.)</w:t>
            </w:r>
          </w:p>
        </w:tc>
        <w:tc>
          <w:tcPr>
            <w:tcW w:type="dxa" w:w="4800"/>
            <w:tcMar>
              <w:top w:type="dxa" w:w="60"/>
              <w:left w:type="dxa" w:w="80"/>
              <w:bottom w:type="dxa" w:w="60"/>
              <w:right w:type="dxa" w:w="80"/>
            </w:tcMar>
            <w:vAlign w:val="center"/>
          </w:tcPr>
          <w:p>
            <w:r>
              <w:rPr>
                <w:b w:val="false"/>
                <w:bCs w:val="false"/>
                <w:sz w:val="18"/>
                <w:szCs w:val="18"/>
              </w:rPr>
              <w:t xml:space="preserve">DIRECT EVIDENCE (ChemicalBook)</w:t>
            </w:r>
          </w:p>
        </w:tc>
      </w:tr>
      <w:tr>
        <w:tc>
          <w:tcPr>
            <w:tcW w:type="dxa" w:w="2600"/>
            <w:tcMar>
              <w:top w:type="dxa" w:w="60"/>
              <w:left w:type="dxa" w:w="80"/>
              <w:bottom w:type="dxa" w:w="60"/>
              <w:right w:type="dxa" w:w="80"/>
            </w:tcMar>
            <w:vAlign w:val="center"/>
          </w:tcPr>
          <w:p>
            <w:r>
              <w:rPr>
                <w:b w:val="false"/>
                <w:bCs w:val="false"/>
                <w:sz w:val="18"/>
                <w:szCs w:val="18"/>
              </w:rPr>
              <w:t xml:space="preserve">Computed LogP (Crippen)</w:t>
            </w:r>
          </w:p>
        </w:tc>
        <w:tc>
          <w:tcPr>
            <w:tcW w:type="dxa" w:w="3400"/>
            <w:tcMar>
              <w:top w:type="dxa" w:w="60"/>
              <w:left w:type="dxa" w:w="80"/>
              <w:bottom w:type="dxa" w:w="60"/>
              <w:right w:type="dxa" w:w="80"/>
            </w:tcMar>
            <w:vAlign w:val="center"/>
          </w:tcPr>
          <w:p>
            <w:r>
              <w:rPr>
                <w:b w:val="false"/>
                <w:bCs w:val="false"/>
                <w:sz w:val="18"/>
                <w:szCs w:val="18"/>
              </w:rPr>
              <w:t xml:space="preserve">≈ −2.6 (highly hydrophilic)</w:t>
            </w:r>
          </w:p>
        </w:tc>
        <w:tc>
          <w:tcPr>
            <w:tcW w:type="dxa" w:w="4800"/>
            <w:tcMar>
              <w:top w:type="dxa" w:w="60"/>
              <w:left w:type="dxa" w:w="80"/>
              <w:bottom w:type="dxa" w:w="60"/>
              <w:right w:type="dxa" w:w="80"/>
            </w:tcMar>
            <w:vAlign w:val="center"/>
          </w:tcPr>
          <w:p>
            <w:r>
              <w:rPr>
                <w:b w:val="false"/>
                <w:bCs w:val="false"/>
                <w:sz w:val="18"/>
                <w:szCs w:val="18"/>
              </w:rPr>
              <w:t xml:space="preserve">ENGINEERING HYPOTHESIS (RDKit calculation, standard validated algorithm, not a direct literature measurement for NAM)</w:t>
            </w:r>
          </w:p>
        </w:tc>
      </w:tr>
      <w:tr>
        <w:tc>
          <w:tcPr>
            <w:tcW w:type="dxa" w:w="2600"/>
            <w:tcMar>
              <w:top w:type="dxa" w:w="60"/>
              <w:left w:type="dxa" w:w="80"/>
              <w:bottom w:type="dxa" w:w="60"/>
              <w:right w:type="dxa" w:w="80"/>
            </w:tcMar>
            <w:vAlign w:val="center"/>
          </w:tcPr>
          <w:p>
            <w:r>
              <w:rPr>
                <w:b w:val="false"/>
                <w:bCs w:val="false"/>
                <w:sz w:val="18"/>
                <w:szCs w:val="18"/>
              </w:rPr>
              <w:t xml:space="preserve">Computed TPSA</w:t>
            </w:r>
          </w:p>
        </w:tc>
        <w:tc>
          <w:tcPr>
            <w:tcW w:type="dxa" w:w="3400"/>
            <w:tcMar>
              <w:top w:type="dxa" w:w="60"/>
              <w:left w:type="dxa" w:w="80"/>
              <w:bottom w:type="dxa" w:w="60"/>
              <w:right w:type="dxa" w:w="80"/>
            </w:tcMar>
            <w:vAlign w:val="center"/>
          </w:tcPr>
          <w:p>
            <w:r>
              <w:rPr>
                <w:b w:val="false"/>
                <w:bCs w:val="false"/>
                <w:sz w:val="18"/>
                <w:szCs w:val="18"/>
              </w:rPr>
              <w:t xml:space="preserve">≈ 146 Å²</w:t>
            </w:r>
          </w:p>
        </w:tc>
        <w:tc>
          <w:tcPr>
            <w:tcW w:type="dxa" w:w="4800"/>
            <w:tcMar>
              <w:top w:type="dxa" w:w="60"/>
              <w:left w:type="dxa" w:w="80"/>
              <w:bottom w:type="dxa" w:w="60"/>
              <w:right w:type="dxa" w:w="80"/>
            </w:tcMar>
            <w:vAlign w:val="center"/>
          </w:tcPr>
          <w:p>
            <w:r>
              <w:rPr>
                <w:b w:val="false"/>
                <w:bCs w:val="false"/>
                <w:sz w:val="18"/>
                <w:szCs w:val="18"/>
              </w:rPr>
              <w:t xml:space="preserve">ENGINEERING HYPOTHESIS (RDKit/Ertl method)</w:t>
            </w:r>
          </w:p>
        </w:tc>
      </w:tr>
      <w:tr>
        <w:tc>
          <w:tcPr>
            <w:tcW w:type="dxa" w:w="2600"/>
            <w:tcMar>
              <w:top w:type="dxa" w:w="60"/>
              <w:left w:type="dxa" w:w="80"/>
              <w:bottom w:type="dxa" w:w="60"/>
              <w:right w:type="dxa" w:w="80"/>
            </w:tcMar>
            <w:vAlign w:val="center"/>
          </w:tcPr>
          <w:p>
            <w:r>
              <w:rPr>
                <w:b w:val="false"/>
                <w:bCs w:val="false"/>
                <w:sz w:val="18"/>
                <w:szCs w:val="18"/>
              </w:rPr>
              <w:t xml:space="preserve">H-bond donors / acceptors</w:t>
            </w:r>
          </w:p>
        </w:tc>
        <w:tc>
          <w:tcPr>
            <w:tcW w:type="dxa" w:w="3400"/>
            <w:tcMar>
              <w:top w:type="dxa" w:w="60"/>
              <w:left w:type="dxa" w:w="80"/>
              <w:bottom w:type="dxa" w:w="60"/>
              <w:right w:type="dxa" w:w="80"/>
            </w:tcMar>
            <w:vAlign w:val="center"/>
          </w:tcPr>
          <w:p>
            <w:r>
              <w:rPr>
                <w:b w:val="false"/>
                <w:bCs w:val="false"/>
                <w:sz w:val="18"/>
                <w:szCs w:val="18"/>
              </w:rPr>
              <w:t xml:space="preserve">5 / 7</w:t>
            </w:r>
          </w:p>
        </w:tc>
        <w:tc>
          <w:tcPr>
            <w:tcW w:type="dxa" w:w="4800"/>
            <w:tcMar>
              <w:top w:type="dxa" w:w="60"/>
              <w:left w:type="dxa" w:w="80"/>
              <w:bottom w:type="dxa" w:w="60"/>
              <w:right w:type="dxa" w:w="80"/>
            </w:tcMar>
            <w:vAlign w:val="center"/>
          </w:tcPr>
          <w:p>
            <w:r>
              <w:rPr>
                <w:b w:val="false"/>
                <w:bCs w:val="false"/>
                <w:sz w:val="18"/>
                <w:szCs w:val="18"/>
              </w:rPr>
              <w:t xml:space="preserve">ENGINEERING HYPOTHESIS (RDKit)</w:t>
            </w:r>
          </w:p>
        </w:tc>
      </w:tr>
      <w:tr>
        <w:tc>
          <w:tcPr>
            <w:tcW w:type="dxa" w:w="2600"/>
            <w:tcMar>
              <w:top w:type="dxa" w:w="60"/>
              <w:left w:type="dxa" w:w="80"/>
              <w:bottom w:type="dxa" w:w="60"/>
              <w:right w:type="dxa" w:w="80"/>
            </w:tcMar>
            <w:vAlign w:val="center"/>
          </w:tcPr>
          <w:p>
            <w:r>
              <w:rPr>
                <w:b w:val="false"/>
                <w:bCs w:val="false"/>
                <w:sz w:val="18"/>
                <w:szCs w:val="18"/>
              </w:rPr>
              <w:t xml:space="preserve">Rotatable bonds</w:t>
            </w:r>
          </w:p>
        </w:tc>
        <w:tc>
          <w:tcPr>
            <w:tcW w:type="dxa" w:w="3400"/>
            <w:tcMar>
              <w:top w:type="dxa" w:w="60"/>
              <w:left w:type="dxa" w:w="80"/>
              <w:bottom w:type="dxa" w:w="60"/>
              <w:right w:type="dxa" w:w="80"/>
            </w:tcMar>
            <w:vAlign w:val="center"/>
          </w:tcPr>
          <w:p>
            <w:r>
              <w:rPr>
                <w:b w:val="false"/>
                <w:bCs w:val="false"/>
                <w:sz w:val="18"/>
                <w:szCs w:val="18"/>
              </w:rPr>
              <w:t xml:space="preserve">5</w:t>
            </w:r>
          </w:p>
        </w:tc>
        <w:tc>
          <w:tcPr>
            <w:tcW w:type="dxa" w:w="4800"/>
            <w:tcMar>
              <w:top w:type="dxa" w:w="60"/>
              <w:left w:type="dxa" w:w="80"/>
              <w:bottom w:type="dxa" w:w="60"/>
              <w:right w:type="dxa" w:w="80"/>
            </w:tcMar>
            <w:vAlign w:val="center"/>
          </w:tcPr>
          <w:p>
            <w:r>
              <w:rPr>
                <w:b w:val="false"/>
                <w:bCs w:val="false"/>
                <w:sz w:val="18"/>
                <w:szCs w:val="18"/>
              </w:rPr>
              <w:t xml:space="preserve">ENGINEERING HYPOTHESIS (RDKit) — indicates a moderately flexible molecule, not rigid</w:t>
            </w:r>
          </w:p>
        </w:tc>
      </w:tr>
      <w:tr>
        <w:tc>
          <w:tcPr>
            <w:tcW w:type="dxa" w:w="2600"/>
            <w:tcMar>
              <w:top w:type="dxa" w:w="60"/>
              <w:left w:type="dxa" w:w="80"/>
              <w:bottom w:type="dxa" w:w="60"/>
              <w:right w:type="dxa" w:w="80"/>
            </w:tcMar>
            <w:vAlign w:val="center"/>
          </w:tcPr>
          <w:p>
            <w:r>
              <w:rPr>
                <w:b w:val="false"/>
                <w:bCs w:val="false"/>
                <w:sz w:val="18"/>
                <w:szCs w:val="18"/>
              </w:rPr>
              <w:t xml:space="preserve">Max heavy-atom pairwise distance (single low-energy conformer, MMFF94)</w:t>
            </w:r>
          </w:p>
        </w:tc>
        <w:tc>
          <w:tcPr>
            <w:tcW w:type="dxa" w:w="3400"/>
            <w:tcMar>
              <w:top w:type="dxa" w:w="60"/>
              <w:left w:type="dxa" w:w="80"/>
              <w:bottom w:type="dxa" w:w="60"/>
              <w:right w:type="dxa" w:w="80"/>
            </w:tcMar>
            <w:vAlign w:val="center"/>
          </w:tcPr>
          <w:p>
            <w:r>
              <w:rPr>
                <w:b w:val="false"/>
                <w:bCs w:val="false"/>
                <w:sz w:val="18"/>
                <w:szCs w:val="18"/>
              </w:rPr>
              <w:t xml:space="preserve">≈ 9.7 Å (0.97 nm), anhydrous</w:t>
            </w:r>
          </w:p>
        </w:tc>
        <w:tc>
          <w:tcPr>
            <w:tcW w:type="dxa" w:w="4800"/>
            <w:tcMar>
              <w:top w:type="dxa" w:w="60"/>
              <w:left w:type="dxa" w:w="80"/>
              <w:bottom w:type="dxa" w:w="60"/>
              <w:right w:type="dxa" w:w="80"/>
            </w:tcMar>
            <w:vAlign w:val="center"/>
          </w:tcPr>
          <w:p>
            <w:r>
              <w:rPr>
                <w:b w:val="false"/>
                <w:bCs w:val="false"/>
                <w:sz w:val="18"/>
                <w:szCs w:val="18"/>
              </w:rPr>
              <w:t xml:space="preserve">ENGINEERING HYPOTHESIS (RDKit 3-D embedding, single conformer — real molecule samples multiple conformers given 5 rotatable bonds)</w:t>
            </w:r>
          </w:p>
        </w:tc>
      </w:tr>
      <w:tr>
        <w:tc>
          <w:tcPr>
            <w:tcW w:type="dxa" w:w="2600"/>
            <w:tcMar>
              <w:top w:type="dxa" w:w="60"/>
              <w:left w:type="dxa" w:w="80"/>
              <w:bottom w:type="dxa" w:w="60"/>
              <w:right w:type="dxa" w:w="80"/>
            </w:tcMar>
            <w:vAlign w:val="center"/>
          </w:tcPr>
          <w:p>
            <w:r>
              <w:rPr>
                <w:b w:val="false"/>
                <w:bCs w:val="false"/>
                <w:sz w:val="18"/>
                <w:szCs w:val="18"/>
              </w:rPr>
              <w:t xml:space="preserve">Estimated hydrated (hydrodynamic) size</w:t>
            </w:r>
          </w:p>
        </w:tc>
        <w:tc>
          <w:tcPr>
            <w:tcW w:type="dxa" w:w="3400"/>
            <w:tcMar>
              <w:top w:type="dxa" w:w="60"/>
              <w:left w:type="dxa" w:w="80"/>
              <w:bottom w:type="dxa" w:w="60"/>
              <w:right w:type="dxa" w:w="80"/>
            </w:tcMar>
            <w:vAlign w:val="center"/>
          </w:tcPr>
          <w:p>
            <w:r>
              <w:rPr>
                <w:b w:val="false"/>
                <w:bCs w:val="false"/>
                <w:sz w:val="18"/>
                <w:szCs w:val="18"/>
              </w:rPr>
              <w:t xml:space="preserve">≈ 1–2 nm</w:t>
            </w:r>
          </w:p>
        </w:tc>
        <w:tc>
          <w:tcPr>
            <w:tcW w:type="dxa" w:w="4800"/>
            <w:tcMar>
              <w:top w:type="dxa" w:w="60"/>
              <w:left w:type="dxa" w:w="80"/>
              <w:bottom w:type="dxa" w:w="60"/>
              <w:right w:type="dxa" w:w="80"/>
            </w:tcMar>
            <w:vAlign w:val="center"/>
          </w:tcPr>
          <w:p>
            <w:r>
              <w:rPr>
                <w:b w:val="false"/>
                <w:bCs w:val="false"/>
                <w:sz w:val="18"/>
                <w:szCs w:val="18"/>
              </w:rPr>
              <w:t xml:space="preserve">ENGINEERING HYPOTHESIS, consistent with the project brief's stated estimate; scaled from the anhydrous dimension plus a bound-water shell typical for a 5-donor/7-acceptor polar solute</w:t>
            </w:r>
          </w:p>
        </w:tc>
      </w:tr>
    </w:tbl>
    <w:p>
      <w:pPr>
        <w:pStyle w:val="Heading2"/>
        <w:spacing w:after="160" w:before="300"/>
      </w:pPr>
      <w:r>
        <w:t xml:space="preserve">1.2 Charge State vs. pH</w:t>
      </w:r>
    </w:p>
    <w:p>
      <w:pPr>
        <w:spacing w:after="160"/>
      </w:pPr>
      <w:r>
        <w:t xml:space="preserve">With a carboxylic acid pKa near 3.25 and no basic (amine) group — the nitrogen is tied up as a neutral acetamide, not a free amine — NAM is predicted to exist almost entirely as the anionic carboxylate (NAM⁻) at physiological and near-neutral pH (pH 6–8), and increasingly as the neutral acid only below pH ~3. ENGINEERING HYPOTHESIS (standard Henderson–Hasselbalch reasoning applied to the reported/predicted pKa; no direct titration or SERS pH-dependence study of NAM was located). This matters directly for surface chemistry: a persistently anionic analyte will electrostatically repel a bare, typically slightly-negatively-charged citrate-capped Ag surface (Part 4/5), and will favor capture strategies that do not rely on further negative charge (e.g., neutral boronic-acid diol chemistry rather than a cationic-exchange approach).</w:t>
      </w:r>
    </w:p>
    <w:p>
      <w:pPr>
        <w:pStyle w:val="Heading2"/>
        <w:spacing w:after="160" w:before="300"/>
      </w:pPr>
      <w:r>
        <w:t xml:space="preserve">1.3 Hydrogen Bonding, Flexibility, and Diffusion</w:t>
      </w:r>
    </w:p>
    <w:p>
      <w:pPr>
        <w:spacing w:after="160"/>
      </w:pPr>
      <w:r>
        <w:t xml:space="preserve">NAM presents 5 hydrogen-bond donors (ring OH groups, amide N–H, carboxylic acid OH) and 7 acceptors (ring/ether O, carbonyl O, carboxylate O). This H-bonding richness is the direct chemical reason the molecule is so water-soluble (50 mg/mL) and so hydrophilic (computed LogP ≈ −2.6) — DIRECT EVIDENCE for solubility, ENGINEERING HYPOTHESIS for the causal link to LogP. Five rotatable bonds (the lactyl-ether linkage and the exocyclic groups) give the molecule meaningful conformational freedom, meaning it does not present one fixed 'shape' to a surface — it can reorient to accommodate a binding pocket or a metal surface, favoring adsorption geometries that do not require a single rigid conformation. ENGINEERING HYPOTHESIS.</w:t>
      </w:r>
    </w:p>
    <w:p>
      <w:pPr>
        <w:spacing w:after="160"/>
      </w:pPr>
      <w:r>
        <w:t xml:space="preserve">Diffusion coefficient: no direct measurement for NAM was located. Using the Stokes–Einstein relation with the estimated hydrated radius (~0.5–1 nm) gives an order-of-magnitude estimate of D ≈ 4–7 × 10⁻¹⁰ m²/s in water at room temperature — comparable to other small sugars/hydroxy-acids of similar size (e.g., glucose, D ≈ 6.7 × 10⁻¹⁰ m²/s, a DIRECT EVIDENCE literature value used here only as a size-matched anchor point). ENGINEERING HYPOTHESIS for the NAM-specific number.</w:t>
      </w:r>
    </w:p>
    <w:p>
      <w:pPr>
        <w:pStyle w:val="Heading2"/>
        <w:spacing w:after="160" w:before="300"/>
      </w:pPr>
      <w:r>
        <w:t xml:space="preserve">1.4 Raman Cross-Section and Vibrational Modes (Predicted)</w:t>
      </w:r>
    </w:p>
    <w:p>
      <w:pPr>
        <w:spacing w:after="160"/>
      </w:pPr>
      <w:r>
        <w:t xml:space="preserve">No published normal-Raman or SERS spectrum of NAM was located. Based on its functional-group inventory and standard vibrational group-frequency correlation (a well-established, peer-reviewed methodology, applied here as ENGINEERING HYPOTHESIS for NAM specifically), the molecule's normal Raman spectrum should be dominated by: amide I (C=O stretch, ~1650–1680 cm⁻¹) and amide II (N–H bend/C–N stretch, ~1550 cm⁻¹) from the acetamido group; carboxylate symmetric/asymmetric stretches (~1400 cm⁻¹ / ~1600 cm⁻¹, expected to dominate over protonated -COOH modes given the predicted anionic state at neutral pH); ring and glycosidic C–O–C stretching modes (800–1150 cm⁻¹, typically the strongest 'fingerprint' region for pyranose sugars); and C–H deformation/methyl modes (1300–1460 cm⁻¹). Because none of these are resonant with visible/NIR excitation (NAM has no extended chromophore), NAM's intrinsic (non-enhanced) Raman cross-section is expected to be orders of magnitude smaller than a resonant dye like R6G — this is the central reason a bare, non-resonant SERS substrate is expected to be insufficient (see Part 5).</w:t>
      </w:r>
    </w:p>
    <w:p>
      <w:pPr>
        <w:pStyle w:val="Heading2"/>
        <w:spacing w:after="160" w:before="300"/>
      </w:pPr>
      <w:r>
        <w:t xml:space="preserve">1.5 Predicted Adsorption Energies and Preferred Orientation on Ag, Au, and Si</w:t>
      </w:r>
    </w:p>
    <w:p>
      <w:pPr>
        <w:spacing w:after="160"/>
      </w:pPr>
      <w:r>
        <w:t xml:space="preserve">No DFT or experimental adsorption-energy study of NAM on any metal was located. The most relevant literature analog is Wang et al. (Langmuir 2012, DOI not independently re-verified beyond title/journal/year match in this pass) reporting SERS/DFT evidence that aromatic carboxylic acids and amides adsorb on silver colloids in a partially deprotonated (carboxylate) form, consistent with the carboxylate binding to Ag through its two oxygen atoms in a bidentate or bridging geometry rather than through the neutral acid. STRONG INFERENCE, transferred from aromatic acids/amides to NAM's aliphatic carboxylate/amide, which share the same functional groups even though NAM itself is non-aromatic. On this basis, the predicted preferred adsorption mode for NAM on Ag is carboxylate-down (bidentate O,O coordination), which would tend to orient the pyranose ring and acetamido group away from the surface — a geometry that is favorable for exposing the ring's diol face to a boronic-acid capture ligand positioned above the metal (Part 5), but is not itself expected to hold the whole molecule flat against the metal (which is generally required for maximum chemical/electromagnetic SERS enhancement). ENGINEERING HYPOTHESIS for the orientation consequence. For Au, DIRECT EVIDENCE exists that thiol-anchored capture ligands (e.g., 4-mercaptophenylboronic acid, used for glucose — Gonzalez-Rodriguez et al. 2024, cited in the prior report) work well, but this is evidence for the ligand-Au bond, not for any direct NAM-Au interaction. For Si, the native oxide surface (Si–OH) can hydrogen-bond with NAM's many donor/acceptor groups, but bare oxide is not itself SERS-active — relevant only as the pre-Ag-deposition surface state (see the prior report's Part 2/3).</w:t>
      </w:r>
    </w:p>
    <w:p>
      <w:pPr>
        <w:pStyle w:val="Heading2"/>
        <w:spacing w:after="160" w:before="300"/>
      </w:pPr>
      <w:r>
        <w:t xml:space="preserve">1.6 Functional-Group Affinities Relevant to Sensor Design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600"/>
        <w:gridCol w:w="3300"/>
      </w:tblGrid>
      <w:tr>
        <w:trPr>
          <w:tblHeader/>
        </w:trPr>
        <w:tc>
          <w:tcPr>
            <w:tcW w:type="dxa" w:w="1500"/>
            <w:shd w:fill="1F3864" w:val="clear"/>
            <w:tcMar>
              <w:top w:type="dxa" w:w="60"/>
              <w:left w:type="dxa" w:w="80"/>
              <w:bottom w:type="dxa" w:w="60"/>
              <w:right w:type="dxa" w:w="80"/>
            </w:tcMar>
            <w:vAlign w:val="center"/>
          </w:tcPr>
          <w:p>
            <w:r>
              <w:rPr>
                <w:b/>
                <w:bCs/>
                <w:color w:val="FFFFFF"/>
                <w:sz w:val="18"/>
                <w:szCs w:val="18"/>
              </w:rPr>
              <w:t xml:space="preserve">Surface / Reagent</w:t>
            </w:r>
          </w:p>
        </w:tc>
        <w:tc>
          <w:tcPr>
            <w:tcW w:type="dxa" w:w="2400"/>
            <w:shd w:fill="1F3864" w:val="clear"/>
            <w:tcMar>
              <w:top w:type="dxa" w:w="60"/>
              <w:left w:type="dxa" w:w="80"/>
              <w:bottom w:type="dxa" w:w="60"/>
              <w:right w:type="dxa" w:w="80"/>
            </w:tcMar>
            <w:vAlign w:val="center"/>
          </w:tcPr>
          <w:p>
            <w:r>
              <w:rPr>
                <w:b/>
                <w:bCs/>
                <w:color w:val="FFFFFF"/>
                <w:sz w:val="18"/>
                <w:szCs w:val="18"/>
              </w:rPr>
              <w:t xml:space="preserve">NAM functional group most likely to interact</w:t>
            </w:r>
          </w:p>
        </w:tc>
        <w:tc>
          <w:tcPr>
            <w:tcW w:type="dxa" w:w="3600"/>
            <w:shd w:fill="1F3864" w:val="clear"/>
            <w:tcMar>
              <w:top w:type="dxa" w:w="60"/>
              <w:left w:type="dxa" w:w="80"/>
              <w:bottom w:type="dxa" w:w="60"/>
              <w:right w:type="dxa" w:w="80"/>
            </w:tcMar>
            <w:vAlign w:val="center"/>
          </w:tcPr>
          <w:p>
            <w:r>
              <w:rPr>
                <w:b/>
                <w:bCs/>
                <w:color w:val="FFFFFF"/>
                <w:sz w:val="18"/>
                <w:szCs w:val="18"/>
              </w:rPr>
              <w:t xml:space="preserve">Predicted interaction</w:t>
            </w:r>
          </w:p>
        </w:tc>
        <w:tc>
          <w:tcPr>
            <w:tcW w:type="dxa" w:w="3300"/>
            <w:shd w:fill="1F3864" w:val="clear"/>
            <w:tcMar>
              <w:top w:type="dxa" w:w="60"/>
              <w:left w:type="dxa" w:w="80"/>
              <w:bottom w:type="dxa" w:w="60"/>
              <w:right w:type="dxa" w:w="80"/>
            </w:tcMar>
            <w:vAlign w:val="center"/>
          </w:tcPr>
          <w:p>
            <w:r>
              <w:rPr>
                <w:b/>
                <w:bCs/>
                <w:color w:val="FFFFFF"/>
                <w:sz w:val="18"/>
                <w:szCs w:val="18"/>
              </w:rPr>
              <w:t xml:space="preserve">Evidence</w:t>
            </w:r>
          </w:p>
        </w:tc>
      </w:tr>
      <w:tr>
        <w:tc>
          <w:tcPr>
            <w:tcW w:type="dxa" w:w="1500"/>
            <w:tcMar>
              <w:top w:type="dxa" w:w="60"/>
              <w:left w:type="dxa" w:w="80"/>
              <w:bottom w:type="dxa" w:w="60"/>
              <w:right w:type="dxa" w:w="80"/>
            </w:tcMar>
            <w:vAlign w:val="center"/>
          </w:tcPr>
          <w:p>
            <w:r>
              <w:rPr>
                <w:b w:val="false"/>
                <w:bCs w:val="false"/>
                <w:sz w:val="18"/>
                <w:szCs w:val="18"/>
              </w:rPr>
              <w:t xml:space="preserve">Bare Ag</w:t>
            </w:r>
          </w:p>
        </w:tc>
        <w:tc>
          <w:tcPr>
            <w:tcW w:type="dxa" w:w="2400"/>
            <w:tcMar>
              <w:top w:type="dxa" w:w="60"/>
              <w:left w:type="dxa" w:w="80"/>
              <w:bottom w:type="dxa" w:w="60"/>
              <w:right w:type="dxa" w:w="80"/>
            </w:tcMar>
            <w:vAlign w:val="center"/>
          </w:tcPr>
          <w:p>
            <w:r>
              <w:rPr>
                <w:b w:val="false"/>
                <w:bCs w:val="false"/>
                <w:sz w:val="18"/>
                <w:szCs w:val="18"/>
              </w:rPr>
              <w:t xml:space="preserve">Carboxylate (deprotonated -COO⁻)</w:t>
            </w:r>
          </w:p>
        </w:tc>
        <w:tc>
          <w:tcPr>
            <w:tcW w:type="dxa" w:w="3600"/>
            <w:tcMar>
              <w:top w:type="dxa" w:w="60"/>
              <w:left w:type="dxa" w:w="80"/>
              <w:bottom w:type="dxa" w:w="60"/>
              <w:right w:type="dxa" w:w="80"/>
            </w:tcMar>
            <w:vAlign w:val="center"/>
          </w:tcPr>
          <w:p>
            <w:r>
              <w:rPr>
                <w:b w:val="false"/>
                <w:bCs w:val="false"/>
                <w:sz w:val="18"/>
                <w:szCs w:val="18"/>
              </w:rPr>
              <w:t xml:space="preserve">Weak-to-moderate bidentate O,O coordination; possible non-specific physisorption via ring hydroxyls</w:t>
            </w:r>
          </w:p>
        </w:tc>
        <w:tc>
          <w:tcPr>
            <w:tcW w:type="dxa" w:w="3300"/>
            <w:tcMar>
              <w:top w:type="dxa" w:w="60"/>
              <w:left w:type="dxa" w:w="80"/>
              <w:bottom w:type="dxa" w:w="60"/>
              <w:right w:type="dxa" w:w="80"/>
            </w:tcMar>
            <w:vAlign w:val="center"/>
          </w:tcPr>
          <w:p>
            <w:r>
              <w:rPr>
                <w:b w:val="false"/>
                <w:bCs w:val="false"/>
                <w:sz w:val="18"/>
                <w:szCs w:val="18"/>
              </w:rPr>
              <w:t xml:space="preserve">STRONG INFERENCE (Langmuir 2012 acid/amide-on-Ag precedent, transferred from aromatic to aliphatic)</w:t>
            </w:r>
          </w:p>
        </w:tc>
      </w:tr>
      <w:tr>
        <w:tc>
          <w:tcPr>
            <w:tcW w:type="dxa" w:w="1500"/>
            <w:tcMar>
              <w:top w:type="dxa" w:w="60"/>
              <w:left w:type="dxa" w:w="80"/>
              <w:bottom w:type="dxa" w:w="60"/>
              <w:right w:type="dxa" w:w="80"/>
            </w:tcMar>
            <w:vAlign w:val="center"/>
          </w:tcPr>
          <w:p>
            <w:r>
              <w:rPr>
                <w:b w:val="false"/>
                <w:bCs w:val="false"/>
                <w:sz w:val="18"/>
                <w:szCs w:val="18"/>
              </w:rPr>
              <w:t xml:space="preserve">Bare Au</w:t>
            </w:r>
          </w:p>
        </w:tc>
        <w:tc>
          <w:tcPr>
            <w:tcW w:type="dxa" w:w="2400"/>
            <w:tcMar>
              <w:top w:type="dxa" w:w="60"/>
              <w:left w:type="dxa" w:w="80"/>
              <w:bottom w:type="dxa" w:w="60"/>
              <w:right w:type="dxa" w:w="80"/>
            </w:tcMar>
            <w:vAlign w:val="center"/>
          </w:tcPr>
          <w:p>
            <w:r>
              <w:rPr>
                <w:b w:val="false"/>
                <w:bCs w:val="false"/>
                <w:sz w:val="18"/>
                <w:szCs w:val="18"/>
              </w:rPr>
              <w:t xml:space="preserve">Carboxylate; possibly amide O</w:t>
            </w:r>
          </w:p>
        </w:tc>
        <w:tc>
          <w:tcPr>
            <w:tcW w:type="dxa" w:w="3600"/>
            <w:tcMar>
              <w:top w:type="dxa" w:w="60"/>
              <w:left w:type="dxa" w:w="80"/>
              <w:bottom w:type="dxa" w:w="60"/>
              <w:right w:type="dxa" w:w="80"/>
            </w:tcMar>
            <w:vAlign w:val="center"/>
          </w:tcPr>
          <w:p>
            <w:r>
              <w:rPr>
                <w:b w:val="false"/>
                <w:bCs w:val="false"/>
                <w:sz w:val="18"/>
                <w:szCs w:val="18"/>
              </w:rPr>
              <w:t xml:space="preserve">Similar to Ag but generally weaker chemisorption for O-donors than Ag (Au is a softer, less oxophilic metal)</w:t>
            </w:r>
          </w:p>
        </w:tc>
        <w:tc>
          <w:tcPr>
            <w:tcW w:type="dxa" w:w="3300"/>
            <w:tcMar>
              <w:top w:type="dxa" w:w="60"/>
              <w:left w:type="dxa" w:w="80"/>
              <w:bottom w:type="dxa" w:w="60"/>
              <w:right w:type="dxa" w:w="80"/>
            </w:tcMar>
            <w:vAlign w:val="center"/>
          </w:tcPr>
          <w:p>
            <w:r>
              <w:rPr>
                <w:b w:val="false"/>
                <w:bCs w:val="false"/>
                <w:sz w:val="18"/>
                <w:szCs w:val="18"/>
              </w:rPr>
              <w:t xml:space="preserve">ENGINEERING HYPOTHESIS (general surface-chemistry trend, not NAM-specific)</w:t>
            </w:r>
          </w:p>
        </w:tc>
      </w:tr>
      <w:tr>
        <w:tc>
          <w:tcPr>
            <w:tcW w:type="dxa" w:w="1500"/>
            <w:tcMar>
              <w:top w:type="dxa" w:w="60"/>
              <w:left w:type="dxa" w:w="80"/>
              <w:bottom w:type="dxa" w:w="60"/>
              <w:right w:type="dxa" w:w="80"/>
            </w:tcMar>
            <w:vAlign w:val="center"/>
          </w:tcPr>
          <w:p>
            <w:r>
              <w:rPr>
                <w:b w:val="false"/>
                <w:bCs w:val="false"/>
                <w:sz w:val="18"/>
                <w:szCs w:val="18"/>
              </w:rPr>
              <w:t xml:space="preserve">Boronic acid (e.g., MPBA)</w:t>
            </w:r>
          </w:p>
        </w:tc>
        <w:tc>
          <w:tcPr>
            <w:tcW w:type="dxa" w:w="2400"/>
            <w:tcMar>
              <w:top w:type="dxa" w:w="60"/>
              <w:left w:type="dxa" w:w="80"/>
              <w:bottom w:type="dxa" w:w="60"/>
              <w:right w:type="dxa" w:w="80"/>
            </w:tcMar>
            <w:vAlign w:val="center"/>
          </w:tcPr>
          <w:p>
            <w:r>
              <w:rPr>
                <w:b w:val="false"/>
                <w:bCs w:val="false"/>
                <w:sz w:val="18"/>
                <w:szCs w:val="18"/>
              </w:rPr>
              <w:t xml:space="preserve">Ring cis-diol (C-2/C-3 or C-3/C-4 hydroxyls of the pyranose ring)</w:t>
            </w:r>
          </w:p>
        </w:tc>
        <w:tc>
          <w:tcPr>
            <w:tcW w:type="dxa" w:w="3600"/>
            <w:tcMar>
              <w:top w:type="dxa" w:w="60"/>
              <w:left w:type="dxa" w:w="80"/>
              <w:bottom w:type="dxa" w:w="60"/>
              <w:right w:type="dxa" w:w="80"/>
            </w:tcMar>
            <w:vAlign w:val="center"/>
          </w:tcPr>
          <w:p>
            <w:r>
              <w:rPr>
                <w:b w:val="false"/>
                <w:bCs w:val="false"/>
                <w:sz w:val="18"/>
                <w:szCs w:val="18"/>
              </w:rPr>
              <w:t xml:space="preserve">Reversible cyclic boronate ester formation, the same chemistry demonstrated for glucose</w:t>
            </w:r>
          </w:p>
        </w:tc>
        <w:tc>
          <w:tcPr>
            <w:tcW w:type="dxa" w:w="3300"/>
            <w:tcMar>
              <w:top w:type="dxa" w:w="60"/>
              <w:left w:type="dxa" w:w="80"/>
              <w:bottom w:type="dxa" w:w="60"/>
              <w:right w:type="dxa" w:w="80"/>
            </w:tcMar>
            <w:vAlign w:val="center"/>
          </w:tcPr>
          <w:p>
            <w:r>
              <w:rPr>
                <w:b w:val="false"/>
                <w:bCs w:val="false"/>
                <w:sz w:val="18"/>
                <w:szCs w:val="18"/>
              </w:rPr>
              <w:t xml:space="preserve">STRONG INFERENCE (Gonzalez-Rodriguez et al. 2024, glucose/Au/boronic-acid)</w:t>
            </w:r>
          </w:p>
        </w:tc>
      </w:tr>
      <w:tr>
        <w:tc>
          <w:tcPr>
            <w:tcW w:type="dxa" w:w="1500"/>
            <w:tcMar>
              <w:top w:type="dxa" w:w="60"/>
              <w:left w:type="dxa" w:w="80"/>
              <w:bottom w:type="dxa" w:w="60"/>
              <w:right w:type="dxa" w:w="80"/>
            </w:tcMar>
            <w:vAlign w:val="center"/>
          </w:tcPr>
          <w:p>
            <w:r>
              <w:rPr>
                <w:b w:val="false"/>
                <w:bCs w:val="false"/>
                <w:sz w:val="18"/>
                <w:szCs w:val="18"/>
              </w:rPr>
              <w:t xml:space="preserve">APTES</w:t>
            </w:r>
          </w:p>
        </w:tc>
        <w:tc>
          <w:tcPr>
            <w:tcW w:type="dxa" w:w="2400"/>
            <w:tcMar>
              <w:top w:type="dxa" w:w="60"/>
              <w:left w:type="dxa" w:w="80"/>
              <w:bottom w:type="dxa" w:w="60"/>
              <w:right w:type="dxa" w:w="80"/>
            </w:tcMar>
            <w:vAlign w:val="center"/>
          </w:tcPr>
          <w:p>
            <w:r>
              <w:rPr>
                <w:b w:val="false"/>
                <w:bCs w:val="false"/>
                <w:sz w:val="18"/>
                <w:szCs w:val="18"/>
              </w:rPr>
              <w:t xml:space="preserve">Surface silanol (APTES itself, not NAM) with possible downstream H-bonding/electrostatic interaction between the terminal amine and NAM's carboxylate</w:t>
            </w:r>
          </w:p>
        </w:tc>
        <w:tc>
          <w:tcPr>
            <w:tcW w:type="dxa" w:w="3600"/>
            <w:tcMar>
              <w:top w:type="dxa" w:w="60"/>
              <w:left w:type="dxa" w:w="80"/>
              <w:bottom w:type="dxa" w:w="60"/>
              <w:right w:type="dxa" w:w="80"/>
            </w:tcMar>
            <w:vAlign w:val="center"/>
          </w:tcPr>
          <w:p>
            <w:r>
              <w:rPr>
                <w:b w:val="false"/>
                <w:bCs w:val="false"/>
                <w:sz w:val="18"/>
                <w:szCs w:val="18"/>
              </w:rPr>
              <w:t xml:space="preserve">Indirect — APTES amine could form a salt bridge/H-bond with NAM's carboxylate at appropriate pH, but this is not a defined, reversible capture chemistry the way boronic acid is</w:t>
            </w:r>
          </w:p>
        </w:tc>
        <w:tc>
          <w:tcPr>
            <w:tcW w:type="dxa" w:w="3300"/>
            <w:tcMar>
              <w:top w:type="dxa" w:w="60"/>
              <w:left w:type="dxa" w:w="80"/>
              <w:bottom w:type="dxa" w:w="60"/>
              <w:right w:type="dxa" w:w="80"/>
            </w:tcMar>
            <w:vAlign w:val="center"/>
          </w:tcPr>
          <w:p>
            <w:r>
              <w:rPr>
                <w:b w:val="false"/>
                <w:bCs w:val="false"/>
                <w:sz w:val="18"/>
                <w:szCs w:val="18"/>
              </w:rPr>
              <w:t xml:space="preserve">ENGINEERING HYPOTHESIS</w:t>
            </w:r>
          </w:p>
        </w:tc>
      </w:tr>
      <w:tr>
        <w:tc>
          <w:tcPr>
            <w:tcW w:type="dxa" w:w="1500"/>
            <w:tcMar>
              <w:top w:type="dxa" w:w="60"/>
              <w:left w:type="dxa" w:w="80"/>
              <w:bottom w:type="dxa" w:w="60"/>
              <w:right w:type="dxa" w:w="80"/>
            </w:tcMar>
            <w:vAlign w:val="center"/>
          </w:tcPr>
          <w:p>
            <w:r>
              <w:rPr>
                <w:b w:val="false"/>
                <w:bCs w:val="false"/>
                <w:sz w:val="18"/>
                <w:szCs w:val="18"/>
              </w:rPr>
              <w:t xml:space="preserve">Dopamine / polydopamine</w:t>
            </w:r>
          </w:p>
        </w:tc>
        <w:tc>
          <w:tcPr>
            <w:tcW w:type="dxa" w:w="2400"/>
            <w:tcMar>
              <w:top w:type="dxa" w:w="60"/>
              <w:left w:type="dxa" w:w="80"/>
              <w:bottom w:type="dxa" w:w="60"/>
              <w:right w:type="dxa" w:w="80"/>
            </w:tcMar>
            <w:vAlign w:val="center"/>
          </w:tcPr>
          <w:p>
            <w:r>
              <w:rPr>
                <w:b w:val="false"/>
                <w:bCs w:val="false"/>
                <w:sz w:val="18"/>
                <w:szCs w:val="18"/>
              </w:rPr>
              <w:t xml:space="preserve">Catechol/quinone groups vs. NAM's hydroxyls/carboxylate</w:t>
            </w:r>
          </w:p>
        </w:tc>
        <w:tc>
          <w:tcPr>
            <w:tcW w:type="dxa" w:w="3600"/>
            <w:tcMar>
              <w:top w:type="dxa" w:w="60"/>
              <w:left w:type="dxa" w:w="80"/>
              <w:bottom w:type="dxa" w:w="60"/>
              <w:right w:type="dxa" w:w="80"/>
            </w:tcMar>
            <w:vAlign w:val="center"/>
          </w:tcPr>
          <w:p>
            <w:r>
              <w:rPr>
                <w:b w:val="false"/>
                <w:bCs w:val="false"/>
                <w:sz w:val="18"/>
                <w:szCs w:val="18"/>
              </w:rPr>
              <w:t xml:space="preserve">Weak, non-specific H-bonding/electrostatic interaction; PDA is a generic adhesive/anti-fouling layer here, not an NAM-selective one</w:t>
            </w:r>
          </w:p>
        </w:tc>
        <w:tc>
          <w:tcPr>
            <w:tcW w:type="dxa" w:w="3300"/>
            <w:tcMar>
              <w:top w:type="dxa" w:w="60"/>
              <w:left w:type="dxa" w:w="80"/>
              <w:bottom w:type="dxa" w:w="60"/>
              <w:right w:type="dxa" w:w="80"/>
            </w:tcMar>
            <w:vAlign w:val="center"/>
          </w:tcPr>
          <w:p>
            <w:r>
              <w:rPr>
                <w:b w:val="false"/>
                <w:bCs w:val="false"/>
                <w:sz w:val="18"/>
                <w:szCs w:val="18"/>
              </w:rPr>
              <w:t xml:space="preserve">ENGINEERING HYPOTHESIS</w:t>
            </w:r>
          </w:p>
        </w:tc>
      </w:tr>
      <w:tr>
        <w:tc>
          <w:tcPr>
            <w:tcW w:type="dxa" w:w="1500"/>
            <w:tcMar>
              <w:top w:type="dxa" w:w="60"/>
              <w:left w:type="dxa" w:w="80"/>
              <w:bottom w:type="dxa" w:w="60"/>
              <w:right w:type="dxa" w:w="80"/>
            </w:tcMar>
            <w:vAlign w:val="center"/>
          </w:tcPr>
          <w:p>
            <w:r>
              <w:rPr>
                <w:b w:val="false"/>
                <w:bCs w:val="false"/>
                <w:sz w:val="18"/>
                <w:szCs w:val="18"/>
              </w:rPr>
              <w:t xml:space="preserve">Silica / native oxide</w:t>
            </w:r>
          </w:p>
        </w:tc>
        <w:tc>
          <w:tcPr>
            <w:tcW w:type="dxa" w:w="2400"/>
            <w:tcMar>
              <w:top w:type="dxa" w:w="60"/>
              <w:left w:type="dxa" w:w="80"/>
              <w:bottom w:type="dxa" w:w="60"/>
              <w:right w:type="dxa" w:w="80"/>
            </w:tcMar>
            <w:vAlign w:val="center"/>
          </w:tcPr>
          <w:p>
            <w:r>
              <w:rPr>
                <w:b w:val="false"/>
                <w:bCs w:val="false"/>
                <w:sz w:val="18"/>
                <w:szCs w:val="18"/>
              </w:rPr>
              <w:t xml:space="preserve">All H-bond donor/acceptor groups</w:t>
            </w:r>
          </w:p>
        </w:tc>
        <w:tc>
          <w:tcPr>
            <w:tcW w:type="dxa" w:w="3600"/>
            <w:tcMar>
              <w:top w:type="dxa" w:w="60"/>
              <w:left w:type="dxa" w:w="80"/>
              <w:bottom w:type="dxa" w:w="60"/>
              <w:right w:type="dxa" w:w="80"/>
            </w:tcMar>
            <w:vAlign w:val="center"/>
          </w:tcPr>
          <w:p>
            <w:r>
              <w:rPr>
                <w:b w:val="false"/>
                <w:bCs w:val="false"/>
                <w:sz w:val="18"/>
                <w:szCs w:val="18"/>
              </w:rPr>
              <w:t xml:space="preserve">Non-specific H-bonding; relevant to pre-treatment/wetting behavior, not to the final SERS-active surface</w:t>
            </w:r>
          </w:p>
        </w:tc>
        <w:tc>
          <w:tcPr>
            <w:tcW w:type="dxa" w:w="3300"/>
            <w:tcMar>
              <w:top w:type="dxa" w:w="60"/>
              <w:left w:type="dxa" w:w="80"/>
              <w:bottom w:type="dxa" w:w="60"/>
              <w:right w:type="dxa" w:w="80"/>
            </w:tcMar>
            <w:vAlign w:val="center"/>
          </w:tcPr>
          <w:p>
            <w:r>
              <w:rPr>
                <w:b w:val="false"/>
                <w:bCs w:val="false"/>
                <w:sz w:val="18"/>
                <w:szCs w:val="18"/>
              </w:rPr>
              <w:t xml:space="preserve">ENGINEERING HYPOTHESIS</w:t>
            </w:r>
          </w:p>
        </w:tc>
      </w:tr>
    </w:tbl>
    <w:p>
      <w:pPr>
        <w:pStyle w:val="Heading1"/>
        <w:spacing w:after="200" w:before="400"/>
      </w:pPr>
      <w:r>
        <w:t xml:space="preserve">Part 2 — Hotspot Accessibility</w:t>
      </w:r>
    </w:p>
    <w:p>
      <w:pPr>
        <w:spacing w:after="160"/>
      </w:pPr>
      <w:r>
        <w:t xml:space="preserve">The controlling reference here is Impact of analyte size on SERS enhancement location, enhancement factor, excitation wavelength, and spectrum (Sensors &amp; Diagnostics, RSC — title/journal verified via search; full text access was blocked (403) in this research pass, so its specific quantitative conclusions are used cautiously and flagged STRONG INFERENCE rather than DIRECT EVIDENCE). The general, well-established principle in SERS physics that this paper's title itself confirms — that analyte size determines where in the hotspot a molecule can sit, and therefore how much of the peak field it experiences — is treated here as STRONG INFERENCE and combined with classical near-field electromagnetics (a mature, peer-reviewed field generally) to reason about NAM specifically.</w:t>
      </w:r>
    </w:p>
    <w:p>
      <w:pPr>
        <w:pStyle w:val="Heading2"/>
        <w:spacing w:after="160" w:before="300"/>
      </w:pPr>
      <w:r>
        <w:t xml:space="preserve">2.1 Can NAM Physically Enter Each Hotspot Geometry?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400"/>
        <w:gridCol w:w="1800"/>
      </w:tblGrid>
      <w:tr>
        <w:trPr>
          <w:tblHeader/>
        </w:trPr>
        <w:tc>
          <w:tcPr>
            <w:tcW w:type="dxa" w:w="3300"/>
            <w:shd w:fill="1F3864" w:val="clear"/>
            <w:tcMar>
              <w:top w:type="dxa" w:w="60"/>
              <w:left w:type="dxa" w:w="80"/>
              <w:bottom w:type="dxa" w:w="60"/>
              <w:right w:type="dxa" w:w="80"/>
            </w:tcMar>
            <w:vAlign w:val="center"/>
          </w:tcPr>
          <w:p>
            <w:r>
              <w:rPr>
                <w:b/>
                <w:bCs/>
                <w:color w:val="FFFFFF"/>
                <w:sz w:val="18"/>
                <w:szCs w:val="18"/>
              </w:rPr>
              <w:t xml:space="preserve">Geometry</w:t>
            </w:r>
          </w:p>
        </w:tc>
        <w:tc>
          <w:tcPr>
            <w:tcW w:type="dxa" w:w="2300"/>
            <w:shd w:fill="1F3864" w:val="clear"/>
            <w:tcMar>
              <w:top w:type="dxa" w:w="60"/>
              <w:left w:type="dxa" w:w="80"/>
              <w:bottom w:type="dxa" w:w="60"/>
              <w:right w:type="dxa" w:w="80"/>
            </w:tcMar>
            <w:vAlign w:val="center"/>
          </w:tcPr>
          <w:p>
            <w:r>
              <w:rPr>
                <w:b/>
                <w:bCs/>
                <w:color w:val="FFFFFF"/>
                <w:sz w:val="18"/>
                <w:szCs w:val="18"/>
              </w:rPr>
              <w:t xml:space="preserve">Typical feature size (from Part 1 report / literature)</w:t>
            </w:r>
          </w:p>
        </w:tc>
        <w:tc>
          <w:tcPr>
            <w:tcW w:type="dxa" w:w="3400"/>
            <w:shd w:fill="1F3864" w:val="clear"/>
            <w:tcMar>
              <w:top w:type="dxa" w:w="60"/>
              <w:left w:type="dxa" w:w="80"/>
              <w:bottom w:type="dxa" w:w="60"/>
              <w:right w:type="dxa" w:w="80"/>
            </w:tcMar>
            <w:vAlign w:val="center"/>
          </w:tcPr>
          <w:p>
            <w:r>
              <w:rPr>
                <w:b/>
                <w:bCs/>
                <w:color w:val="FFFFFF"/>
                <w:sz w:val="18"/>
                <w:szCs w:val="18"/>
              </w:rPr>
              <w:t xml:space="preserve">Can NAM (≈1–2 nm hydrated) enter?</w:t>
            </w:r>
          </w:p>
        </w:tc>
        <w:tc>
          <w:tcPr>
            <w:tcW w:type="dxa" w:w="1800"/>
            <w:shd w:fill="1F3864" w:val="clear"/>
            <w:tcMar>
              <w:top w:type="dxa" w:w="60"/>
              <w:left w:type="dxa" w:w="80"/>
              <w:bottom w:type="dxa" w:w="60"/>
              <w:right w:type="dxa" w:w="80"/>
            </w:tcMar>
            <w:vAlign w:val="center"/>
          </w:tcPr>
          <w:p>
            <w:r>
              <w:rPr>
                <w:b/>
                <w:bCs/>
                <w:color w:val="FFFFFF"/>
                <w:sz w:val="18"/>
                <w:szCs w:val="18"/>
              </w:rPr>
              <w:t xml:space="preserve">Evidence</w:t>
            </w:r>
          </w:p>
        </w:tc>
      </w:tr>
      <w:tr>
        <w:tc>
          <w:tcPr>
            <w:tcW w:type="dxa" w:w="3300"/>
            <w:tcMar>
              <w:top w:type="dxa" w:w="60"/>
              <w:left w:type="dxa" w:w="80"/>
              <w:bottom w:type="dxa" w:w="60"/>
              <w:right w:type="dxa" w:w="80"/>
            </w:tcMar>
            <w:vAlign w:val="center"/>
          </w:tcPr>
          <w:p>
            <w:r>
              <w:rPr>
                <w:b w:val="false"/>
                <w:bCs w:val="false"/>
                <w:sz w:val="18"/>
                <w:szCs w:val="18"/>
              </w:rPr>
              <w:t xml:space="preserve">Nanowire-forest inter-wire spacing (Bai et al. 2019: ~400 nm pitch)</w:t>
            </w:r>
          </w:p>
        </w:tc>
        <w:tc>
          <w:tcPr>
            <w:tcW w:type="dxa" w:w="2300"/>
            <w:tcMar>
              <w:top w:type="dxa" w:w="60"/>
              <w:left w:type="dxa" w:w="80"/>
              <w:bottom w:type="dxa" w:w="60"/>
              <w:right w:type="dxa" w:w="80"/>
            </w:tcMar>
            <w:vAlign w:val="center"/>
          </w:tcPr>
          <w:p>
            <w:r>
              <w:rPr>
                <w:b w:val="false"/>
                <w:bCs w:val="false"/>
                <w:sz w:val="18"/>
                <w:szCs w:val="18"/>
              </w:rPr>
              <w:t xml:space="preserve">~400 nm</w:t>
            </w:r>
          </w:p>
        </w:tc>
        <w:tc>
          <w:tcPr>
            <w:tcW w:type="dxa" w:w="3400"/>
            <w:tcMar>
              <w:top w:type="dxa" w:w="60"/>
              <w:left w:type="dxa" w:w="80"/>
              <w:bottom w:type="dxa" w:w="60"/>
              <w:right w:type="dxa" w:w="80"/>
            </w:tcMar>
            <w:vAlign w:val="center"/>
          </w:tcPr>
          <w:p>
            <w:r>
              <w:rPr>
                <w:b w:val="false"/>
                <w:bCs w:val="false"/>
                <w:sz w:val="18"/>
                <w:szCs w:val="18"/>
              </w:rPr>
              <w:t xml:space="preserve">Yes, trivially — three orders of magnitude larger than NAM</w:t>
            </w:r>
          </w:p>
        </w:tc>
        <w:tc>
          <w:tcPr>
            <w:tcW w:type="dxa" w:w="1800"/>
            <w:tcMar>
              <w:top w:type="dxa" w:w="60"/>
              <w:left w:type="dxa" w:w="80"/>
              <w:bottom w:type="dxa" w:w="60"/>
              <w:right w:type="dxa" w:w="80"/>
            </w:tcMar>
            <w:vAlign w:val="center"/>
          </w:tcPr>
          <w:p>
            <w:r>
              <w:rPr>
                <w:b w:val="false"/>
                <w:bCs w:val="false"/>
                <w:sz w:val="18"/>
                <w:szCs w:val="18"/>
              </w:rPr>
              <w:t xml:space="preserve">STRONG INFERENCE</w:t>
            </w:r>
          </w:p>
        </w:tc>
      </w:tr>
      <w:tr>
        <w:tc>
          <w:tcPr>
            <w:tcW w:type="dxa" w:w="3300"/>
            <w:tcMar>
              <w:top w:type="dxa" w:w="60"/>
              <w:left w:type="dxa" w:w="80"/>
              <w:bottom w:type="dxa" w:w="60"/>
              <w:right w:type="dxa" w:w="80"/>
            </w:tcMar>
            <w:vAlign w:val="center"/>
          </w:tcPr>
          <w:p>
            <w:r>
              <w:rPr>
                <w:b w:val="false"/>
                <w:bCs w:val="false"/>
                <w:sz w:val="18"/>
                <w:szCs w:val="18"/>
              </w:rPr>
              <w:t xml:space="preserve">Ag nanoparticle–nanoparticle gaps on nanowires (few nm–tens of nm, by analogy to Hoang et al. 2025's 5–20 nm gaps on a related Ag/porous-Si system)</w:t>
            </w:r>
          </w:p>
        </w:tc>
        <w:tc>
          <w:tcPr>
            <w:tcW w:type="dxa" w:w="2300"/>
            <w:tcMar>
              <w:top w:type="dxa" w:w="60"/>
              <w:left w:type="dxa" w:w="80"/>
              <w:bottom w:type="dxa" w:w="60"/>
              <w:right w:type="dxa" w:w="80"/>
            </w:tcMar>
            <w:vAlign w:val="center"/>
          </w:tcPr>
          <w:p>
            <w:r>
              <w:rPr>
                <w:b w:val="false"/>
                <w:bCs w:val="false"/>
                <w:sz w:val="18"/>
                <w:szCs w:val="18"/>
              </w:rPr>
              <w:t xml:space="preserve">5–20 nm (analogous system)</w:t>
            </w:r>
          </w:p>
        </w:tc>
        <w:tc>
          <w:tcPr>
            <w:tcW w:type="dxa" w:w="3400"/>
            <w:tcMar>
              <w:top w:type="dxa" w:w="60"/>
              <w:left w:type="dxa" w:w="80"/>
              <w:bottom w:type="dxa" w:w="60"/>
              <w:right w:type="dxa" w:w="80"/>
            </w:tcMar>
            <w:vAlign w:val="center"/>
          </w:tcPr>
          <w:p>
            <w:r>
              <w:rPr>
                <w:b w:val="false"/>
                <w:bCs w:val="false"/>
                <w:sz w:val="18"/>
                <w:szCs w:val="18"/>
              </w:rPr>
              <w:t xml:space="preserve">Yes — even the smallest reported gaps in this class of substrate (5 nm) are ~3–5× the hydrated NAM diameter</w:t>
            </w:r>
          </w:p>
        </w:tc>
        <w:tc>
          <w:tcPr>
            <w:tcW w:type="dxa" w:w="1800"/>
            <w:tcMar>
              <w:top w:type="dxa" w:w="60"/>
              <w:left w:type="dxa" w:w="80"/>
              <w:bottom w:type="dxa" w:w="60"/>
              <w:right w:type="dxa" w:w="80"/>
            </w:tcMar>
            <w:vAlign w:val="center"/>
          </w:tcPr>
          <w:p>
            <w:r>
              <w:rPr>
                <w:b w:val="false"/>
                <w:bCs w:val="false"/>
                <w:sz w:val="18"/>
                <w:szCs w:val="18"/>
              </w:rPr>
              <w:t xml:space="preserve">STRONG INFERENCE</w:t>
            </w:r>
          </w:p>
        </w:tc>
      </w:tr>
      <w:tr>
        <w:tc>
          <w:tcPr>
            <w:tcW w:type="dxa" w:w="3300"/>
            <w:tcMar>
              <w:top w:type="dxa" w:w="60"/>
              <w:left w:type="dxa" w:w="80"/>
              <w:bottom w:type="dxa" w:w="60"/>
              <w:right w:type="dxa" w:w="80"/>
            </w:tcMar>
            <w:vAlign w:val="center"/>
          </w:tcPr>
          <w:p>
            <w:r>
              <w:rPr>
                <w:b w:val="false"/>
                <w:bCs w:val="false"/>
                <w:sz w:val="18"/>
                <w:szCs w:val="18"/>
              </w:rPr>
              <w:t xml:space="preserve">Nanopore interiors (e.g., mesoporous Si, pore diameters often 2–50 nm depending on doping/etch conditions)</w:t>
            </w:r>
          </w:p>
        </w:tc>
        <w:tc>
          <w:tcPr>
            <w:tcW w:type="dxa" w:w="2300"/>
            <w:tcMar>
              <w:top w:type="dxa" w:w="60"/>
              <w:left w:type="dxa" w:w="80"/>
              <w:bottom w:type="dxa" w:w="60"/>
              <w:right w:type="dxa" w:w="80"/>
            </w:tcMar>
            <w:vAlign w:val="center"/>
          </w:tcPr>
          <w:p>
            <w:r>
              <w:rPr>
                <w:b w:val="false"/>
                <w:bCs w:val="false"/>
                <w:sz w:val="18"/>
                <w:szCs w:val="18"/>
              </w:rPr>
              <w:t xml:space="preserve">Highly variable; can range down to a few nm in mesoporous regimes</w:t>
            </w:r>
          </w:p>
        </w:tc>
        <w:tc>
          <w:tcPr>
            <w:tcW w:type="dxa" w:w="3400"/>
            <w:tcMar>
              <w:top w:type="dxa" w:w="60"/>
              <w:left w:type="dxa" w:w="80"/>
              <w:bottom w:type="dxa" w:w="60"/>
              <w:right w:type="dxa" w:w="80"/>
            </w:tcMar>
            <w:vAlign w:val="center"/>
          </w:tcPr>
          <w:p>
            <w:r>
              <w:rPr>
                <w:b w:val="false"/>
                <w:bCs w:val="false"/>
                <w:sz w:val="18"/>
                <w:szCs w:val="18"/>
              </w:rPr>
              <w:t xml:space="preserve">Marginal at the low end — a 2–3 nm pore could sterically restrict a ~1–2 nm hydrated NAM molecule, especially if the pore wall itself carries an adsorbed ligand layer that further narrows the effective channel</w:t>
            </w:r>
          </w:p>
        </w:tc>
        <w:tc>
          <w:tcPr>
            <w:tcW w:type="dxa" w:w="1800"/>
            <w:tcMar>
              <w:top w:type="dxa" w:w="60"/>
              <w:left w:type="dxa" w:w="80"/>
              <w:bottom w:type="dxa" w:w="60"/>
              <w:right w:type="dxa" w:w="80"/>
            </w:tcMar>
            <w:vAlign w:val="center"/>
          </w:tcPr>
          <w:p>
            <w:r>
              <w:rPr>
                <w:b w:val="false"/>
                <w:bCs w:val="false"/>
                <w:sz w:val="18"/>
                <w:szCs w:val="18"/>
              </w:rPr>
              <w:t xml:space="preserve">ENGINEERING HYPOTHESIS</w:t>
            </w:r>
          </w:p>
        </w:tc>
      </w:tr>
      <w:tr>
        <w:tc>
          <w:tcPr>
            <w:tcW w:type="dxa" w:w="3300"/>
            <w:tcMar>
              <w:top w:type="dxa" w:w="60"/>
              <w:left w:type="dxa" w:w="80"/>
              <w:bottom w:type="dxa" w:w="60"/>
              <w:right w:type="dxa" w:w="80"/>
            </w:tcMar>
            <w:vAlign w:val="center"/>
          </w:tcPr>
          <w:p>
            <w:r>
              <w:rPr>
                <w:b w:val="false"/>
                <w:bCs w:val="false"/>
                <w:sz w:val="18"/>
                <w:szCs w:val="18"/>
              </w:rPr>
              <w:t xml:space="preserve">Sub-1 nm metal-metal gaps (the 'quantum tunneling' regime where classical field-enhancement divergence breaks down)</w:t>
            </w:r>
          </w:p>
        </w:tc>
        <w:tc>
          <w:tcPr>
            <w:tcW w:type="dxa" w:w="2300"/>
            <w:tcMar>
              <w:top w:type="dxa" w:w="60"/>
              <w:left w:type="dxa" w:w="80"/>
              <w:bottom w:type="dxa" w:w="60"/>
              <w:right w:type="dxa" w:w="80"/>
            </w:tcMar>
            <w:vAlign w:val="center"/>
          </w:tcPr>
          <w:p>
            <w:r>
              <w:rPr>
                <w:b w:val="false"/>
                <w:bCs w:val="false"/>
                <w:sz w:val="18"/>
                <w:szCs w:val="18"/>
              </w:rPr>
              <w:t xml:space="preserve">&lt;1 nm</w:t>
            </w:r>
          </w:p>
        </w:tc>
        <w:tc>
          <w:tcPr>
            <w:tcW w:type="dxa" w:w="3400"/>
            <w:tcMar>
              <w:top w:type="dxa" w:w="60"/>
              <w:left w:type="dxa" w:w="80"/>
              <w:bottom w:type="dxa" w:w="60"/>
              <w:right w:type="dxa" w:w="80"/>
            </w:tcMar>
            <w:vAlign w:val="center"/>
          </w:tcPr>
          <w:p>
            <w:r>
              <w:rPr>
                <w:b w:val="false"/>
                <w:bCs w:val="false"/>
                <w:sz w:val="18"/>
                <w:szCs w:val="18"/>
              </w:rPr>
              <w:t xml:space="preserve">No — NAM (hydrated ~1–2 nm) cannot physically occupy a gap this small; this regime is also where classical EM enhancement itself is quenched by nonlocal/tunneling effects, so it is not a useful design target regardless</w:t>
            </w:r>
          </w:p>
        </w:tc>
        <w:tc>
          <w:tcPr>
            <w:tcW w:type="dxa" w:w="1800"/>
            <w:tcMar>
              <w:top w:type="dxa" w:w="60"/>
              <w:left w:type="dxa" w:w="80"/>
              <w:bottom w:type="dxa" w:w="60"/>
              <w:right w:type="dxa" w:w="80"/>
            </w:tcMar>
            <w:vAlign w:val="center"/>
          </w:tcPr>
          <w:p>
            <w:r>
              <w:rPr>
                <w:b w:val="false"/>
                <w:bCs w:val="false"/>
                <w:sz w:val="18"/>
                <w:szCs w:val="18"/>
              </w:rPr>
              <w:t xml:space="preserve">STRONG INFERENCE (general plasmonics literature on the quantum regime, not NAM-specific)</w:t>
            </w:r>
          </w:p>
        </w:tc>
      </w:tr>
    </w:tbl>
    <w:p>
      <w:pPr>
        <w:pStyle w:val="Heading2"/>
        <w:spacing w:after="160" w:before="300"/>
      </w:pPr>
      <w:r>
        <w:t xml:space="preserve">2.2 Steric, Hydration, Diffusion, and Residence-Time Effects</w:t>
      </w:r>
    </w:p>
    <w:p>
      <w:pPr>
        <w:pStyle w:val="ListParagraph"/>
        <w:numPr>
          <w:ilvl w:val="0"/>
          <w:numId w:val="1"/>
        </w:numPr>
        <w:spacing w:after="100"/>
      </w:pPr>
      <w:r>
        <w:t xml:space="preserve">Steric effects: NAM's 5 rotatable bonds mean it is not a rigid rod or sphere — it can partially deform/reorient to fit through or into a constrained gap more easily than an equivalently-sized rigid molecule would, but the pyranose ring itself is not compressible. ENGINEERING HYPOTHESIS.</w:t>
      </w:r>
    </w:p>
    <w:p>
      <w:pPr>
        <w:pStyle w:val="ListParagraph"/>
        <w:numPr>
          <w:ilvl w:val="0"/>
          <w:numId w:val="1"/>
        </w:numPr>
        <w:spacing w:after="100"/>
      </w:pPr>
      <w:r>
        <w:t xml:space="preserve">Hydration effects: the bound water shell responsible for the ~1–2 nm estimate (vs. ~1 nm anhydrous) is not a rigid shell — water molecules exchange rapidly, so the effective 'size' NAM presents when squeezing into a tight gap is likely closer to its anhydrous dimension (~1 nm) than its fully hydrated one, provided the confining surfaces themselves do not have a strongly ordered/rigid hydration layer of their own. ENGINEERING HYPOTHESIS — this is a favorable effect for hotspot access that is not accounted for by simply comparing the brief's '1–2 nm hydrated size' to a gap dimension.</w:t>
      </w:r>
    </w:p>
    <w:p>
      <w:pPr>
        <w:pStyle w:val="ListParagraph"/>
        <w:numPr>
          <w:ilvl w:val="0"/>
          <w:numId w:val="1"/>
        </w:numPr>
        <w:spacing w:after="100"/>
      </w:pPr>
      <w:r>
        <w:t xml:space="preserve">Diffusion: as computed in Part 1 (D ≈ 4–7×10⁻¹⁰ m²/s), NAM's diffusion is fast on the timescale of a drying droplet (seconds to minutes) relative to the nanometer-to-micrometer length scales inside the nanostructure — diffusion into the forest is not expected to be rate-limiting once the droplet has wetted the structure. ENGINEERING HYPOTHESIS.</w:t>
      </w:r>
    </w:p>
    <w:p>
      <w:pPr>
        <w:pStyle w:val="ListParagraph"/>
        <w:numPr>
          <w:ilvl w:val="0"/>
          <w:numId w:val="1"/>
        </w:numPr>
        <w:spacing w:after="100"/>
      </w:pPr>
      <w:r>
        <w:t xml:space="preserve">Residence time: this, not diffusion or steric access, is expected to be the governing limitation (consistent with Part 5's bare-Ag-insufficiency argument in the prior report). A molecule that reaches a hotspot but binds only via weak physisorption will have a residence time set by its physisorption energy and thermal energy (kT) — typically nanoseconds to microseconds for weak van der Waals/electrostatic binding, far shorter than a typical Raman integration time (seconds), meaning the time-averaged occupancy of the hotspot by any single NAM molecule (and hence the effective SERS signal) will be low unless a stronger, longer-lived (chemisorptive or host-guest) interaction is engineered. ENGINEERING HYPOTHESIS, grounded in general adsorption kinetics theory.</w:t>
      </w:r>
    </w:p>
    <w:p>
      <w:pPr>
        <w:pStyle w:val="Heading2"/>
        <w:spacing w:after="160" w:before="300"/>
      </w:pPr>
      <w:r>
        <w:t xml:space="preserve">2.3 Theoretically Ideal Hotspot Geometry for NAM</w:t>
      </w:r>
    </w:p>
    <w:p>
      <w:pPr>
        <w:spacing w:after="160"/>
      </w:pPr>
      <w:r>
        <w:t xml:space="preserve">Combining the above: the ideal hotspot for NAM is a metal-metal or metal-particle gap in roughly the 2–8 nm range (large enough for unhindered access even accounting for a hydration shell and the ligand layer thickness that will likely be needed, but still within the regime where near-field enhancement remains strong before the sub-1 nm quantum-tunneling quenching regime), populated with a capture chemistry whose own footprint (Part 5) is thin enough not to itself close the gap below this range. ENGINEERING HYPOTHESIS — no direct simulation or experiment for NAM specifically was performed or located; this is a design target for Part 6's proposed simulation campaign, not a validated result.</w:t>
      </w:r>
    </w:p>
    <w:p>
      <w:pPr>
        <w:pStyle w:val="Heading1"/>
        <w:spacing w:after="200" w:before="400"/>
      </w:pPr>
      <w:r>
        <w:t xml:space="preserve">Part 3 — Nanostructure Optimization</w:t>
      </w:r>
    </w:p>
    <w:p>
      <w:pPr>
        <w:pStyle w:val="Heading3"/>
        <w:spacing w:after="120" w:before="240"/>
      </w:pPr>
      <w:r>
        <w:t xml:space="preserve">Nanowire height</w:t>
      </w:r>
    </w:p>
    <w:p>
      <w:pPr>
        <w:spacing w:after="160"/>
      </w:pPr>
      <w:r>
        <w:t xml:space="preserve">Why (per Bai et al. 2019, ~10 µm): taller wires increase total surface area/Ag loading and light-trapping (broadband low reflectance), which raises the total achievable SERS signal per unit footprint. If increased further: light trapping improves further up to a point, but mechanical risk (Part 10) rises sharply — taller, thinner wires are more prone to capillary-force collapse during drying, a well-documented general failure mode for high-aspect-ratio Si nanostructures (Ghosh et al., ACS Appl. Mater. Interfaces 2022, on preventing capillary-induced collapse of vertical nanostructures — DIRECT EVIDENCE for the general phenomenon and mitigation strategies, STRONG INFERENCE as applied to this specific nanowire array). If decreased: more robust, but lower total hotspot density and weaker broadband absorption. FEM/FDTD support: none located specifically for this exact nanowire geometry; the general relationship between light-trapping and aspect ratio in black-Si is well established in the photovoltaics/optics literature broadly (STRONG INFERENCE, not SERS-specific).</w:t>
      </w:r>
    </w:p>
    <w:p>
      <w:pPr>
        <w:pStyle w:val="Heading3"/>
        <w:spacing w:after="120" w:before="240"/>
      </w:pPr>
      <w:r>
        <w:t xml:space="preserve">Nanowire density / spacing</w:t>
      </w:r>
    </w:p>
    <w:p>
      <w:pPr>
        <w:spacing w:after="160"/>
      </w:pPr>
      <w:r>
        <w:t xml:space="preserve">Why (~400 nm pitch, Bai et al. 2019): sets areal hotspot density — the number of Ag-nanoparticle-decorated sidewalls per unit substrate area available for a drying droplet to interact with. If increased (denser): more hotspots per unit area, but increased risk of inter-wire capillary attraction/bundling during drying (same collapse literature as above), and potentially reduced access for the drying droplet to fully infiltrate the deeper parts of the forest. If decreased (sparser): more open, easier liquid infiltration and possibly less bundling risk, but proportionally fewer hotspots and a 'blacker'/lower-reflectance surface becomes harder to achieve. No published FDTD/FEM sweep of pitch specifically for this MACE nanowire system was located; the reported 400 nm value is DIRECT EVIDENCE only as 'what worked,' not as a proven optimum (ENGINEERING HYPOTHESIS regarding optimality).</w:t>
      </w:r>
    </w:p>
    <w:p>
      <w:pPr>
        <w:pStyle w:val="Heading3"/>
        <w:spacing w:after="120" w:before="240"/>
      </w:pPr>
      <w:r>
        <w:t xml:space="preserve">Pore diameter / depth (for the porous-Si-microcavity alternative architecture, Hoang et al. 2025)</w:t>
      </w:r>
    </w:p>
    <w:p>
      <w:pPr>
        <w:spacing w:after="160"/>
      </w:pPr>
      <w:r>
        <w:t xml:space="preserve">Why (12-layer DBR + spacer cavity, tuned to a 784.4 nm optical resonance): pore/layer geometry here is engineered primarily for a photonic (Bragg-mirror) resonance that concentrates the local optical field at the cavity layer, on top of the plasmonic enhancement from the Ag nanoparticles — a dual-enhancement mechanism, DIRECT EVIDENCE (EF ~10¹¹ reported). If increased (larger pores/deeper structure): can shift/broaden the photonic resonance and is reported (DIRECT EVIDENCE, same paper) to trade off against reproducibility and mechanical integrity at extremes. If decreased: resonance may miss the excitation/collection wavelength, reducing the photonic contribution to enhancement. This architecture is a candidate 'Part 9 Step 5' fallback (per the prior report's decision tree) rather than the recommended starting point, because reproducing a resonant DBR cavity is a larger process change than the base MACE nanowire recipe.</w:t>
      </w:r>
    </w:p>
    <w:p>
      <w:pPr>
        <w:pStyle w:val="Heading3"/>
        <w:spacing w:after="120" w:before="240"/>
      </w:pPr>
      <w:r>
        <w:t xml:space="preserve">Final Ag nanoparticle diameter</w:t>
      </w:r>
    </w:p>
    <w:p>
      <w:pPr>
        <w:spacing w:after="160"/>
      </w:pPr>
      <w:r>
        <w:t xml:space="preserve">Why (Bai et al. 2019: UV-tunable, tip particles ~4× larger than sidewall; Hoang et al. 2025: 30–40 nm reported as a well-performing size on an analogous system): nanoparticle size sets the LSPR wavelength/strength; too-small particles (&lt;~10 nm) have weak, blue-shifted, less efficient plasmon response, while too-large particles (&gt;~80–100 nm) red-shift further and increasingly scatter rather than absorb, and are more prone to coalescing (destroying discrete gaps). If increased: stronger individual-particle LSPR up to the point of coalescence/gap loss. If decreased: better-defined discrete gaps but weaker per-particle response and, below a certain size, particles too small to support a well-defined dipolar LSPR at all. Experimentally optimal per the cited literature: 30–40 nm (Hoang et al. 2025, STRONG INFERENCE as transferred to the MACE nanowire system). Theoretically optimal: classical Mie-theory/plasmonics places the strongest, most red-shifted-yet-still-dipolar LSPR for isolated Ag spheres in roughly the 40–80 nm range in water/air, with coupled-particle (gap-mode) enhancement generally dominating over single-particle LSPR for SERS — meaning gap geometry (below) usually matters more than particle size alone for a decorated-nanowire architecture. STRONG INFERENCE, general plasmonics.</w:t>
      </w:r>
    </w:p>
    <w:p>
      <w:pPr>
        <w:pStyle w:val="Heading3"/>
        <w:spacing w:after="120" w:before="240"/>
      </w:pPr>
      <w:r>
        <w:t xml:space="preserve">Ag layer thickness (for planar/conformal-coating variants, not the nanoparticle-decorated nanowire case)</w:t>
      </w:r>
    </w:p>
    <w:p>
      <w:pPr>
        <w:spacing w:after="160"/>
      </w:pPr>
      <w:r>
        <w:t xml:space="preserve">Why: a thin (10–50 nm), optically 'lossy' or nanostructured Ag film supports a continuous but roughness-modulated plasmon response, while very thick films (&gt;100 nm) behave more like a bulk mirror with hotspots confined to residual surface roughness. Not the primary parameter for the recommended nanoparticle-on-nanowire architecture but relevant if a conformal/hybrid coating variant (Part 7) is considered. If increased: more mirror-like, fewer/weaker localized hotspots unless roughness is separately engineered. If decreased (very thin, &lt;10 nm): risk of a discontinuous, island-like film — which can be either beneficial (creates many small gaps/hotspots) or detrimental (poor conductivity/continuity, weaker plasmon coupling) depending on deposition control. ENGINEERING HYPOTHESIS — general thin-film plasmonics; not the architecture recommended in Part 7.</w:t>
      </w:r>
    </w:p>
    <w:p>
      <w:pPr>
        <w:pStyle w:val="Heading3"/>
        <w:spacing w:after="120" w:before="240"/>
      </w:pPr>
      <w:r>
        <w:t xml:space="preserve">Hotspot (inter-particle) gap</w:t>
      </w:r>
    </w:p>
    <w:p>
      <w:pPr>
        <w:spacing w:after="160"/>
      </w:pPr>
      <w:r>
        <w:t xml:space="preserve">Why: this is the single most electromagnetically important parameter — near-field enhancement in a metal-metal gap scales steeply (roughly as a high inverse power of gap distance in the classical near-field limit) and is the dominant contributor to the highest reported EFs in the surveyed literature (e.g., Hoang et al. 2025's 5–20 nm gaps correlating with EF ~10¹¹). If increased: enhancement drops sharply but analyte access becomes easier (directly relevant to Part 2's accessibility analysis for NAM). If decreased below roughly 1 nm: enters the quantum-tunneling/nonlocal-response regime where the classical enhancement divergence is suppressed rather than continuing to increase, and where NAM (hydrated ~1–2 nm) can no longer physically fit — STRONG INFERENCE, general plasmonics literature (not gap-tuned specifically for NAM). Experimentally optimal per the closest analogous literature: 5–20 nm (Hoang et al. 2025). Theoretically/for-NAM-specifically optimal: the 2–8 nm range proposed in Part 2.3, balancing enhancement against the analyte's own footprint plus ligand-layer thickness — ENGINEERING HYPOTHESIS, this report's own synthesis, not a literature-validated NAM-specific number.</w:t>
      </w:r>
    </w:p>
    <w:p>
      <w:pPr>
        <w:pStyle w:val="Heading1"/>
        <w:spacing w:after="200" w:before="400"/>
      </w:pPr>
      <w:r>
        <w:t xml:space="preserve">Part 4 — Molecular Transport: NAM's Journey from Solution to Hotspot</w:t>
      </w:r>
    </w:p>
    <w:p>
      <w:pPr>
        <w:pStyle w:val="Heading3"/>
        <w:spacing w:after="120" w:before="240"/>
      </w:pPr>
      <w:r>
        <w:t xml:space="preserve">NAM in water (bulk solution)</w:t>
      </w:r>
    </w:p>
    <w:p>
      <w:pPr>
        <w:spacing w:after="160"/>
      </w:pPr>
      <w:r>
        <w:t xml:space="preserve">Free diffusion, D ≈ 4–7×10⁻¹⁰ m²/s (Part 1, ENGINEERING HYPOTHESIS). At this stage NAM is well-mixed and its concentration is exactly the prepared concentration — this is the only stage where 'concentration' has an unambiguous meaning relative to the LOD figures typically quoted in SERS papers.</w:t>
      </w:r>
    </w:p>
    <w:p>
      <w:pPr>
        <w:pStyle w:val="Heading3"/>
        <w:spacing w:after="120" w:before="240"/>
      </w:pPr>
      <w:r>
        <w:t xml:space="preserve">Diffusion toward the substrate surface (pre-deposition)</w:t>
      </w:r>
    </w:p>
    <w:p>
      <w:pPr>
        <w:spacing w:after="160"/>
      </w:pPr>
      <w:r>
        <w:t xml:space="preserve">Governed by the same bulk diffusion coefficient; over the ~mm length scale of a pipetted droplet and the ~second-to-minute timescale before evaporation dominates, diffusion alone would not fully homogenize the droplet — convective mixing during pipetting provides most of the initial mixing. ENGINEERING HYPOTHESIS, standard fluid-mechanics reasoning.</w:t>
      </w:r>
    </w:p>
    <w:p>
      <w:pPr>
        <w:pStyle w:val="Heading3"/>
        <w:spacing w:after="120" w:before="240"/>
      </w:pPr>
      <w:r>
        <w:t xml:space="preserve">Droplet evaporation</w:t>
      </w:r>
    </w:p>
    <w:p>
      <w:pPr>
        <w:spacing w:after="160"/>
      </w:pPr>
      <w:r>
        <w:t xml:space="preserve">As the droplet dries, evaporative flux is highest at the pinned contact line (edge) if the contact line remains pinned (the classical condition for coffee-ring formation), driving outward capillary flow that carries dissolved NAM toward the edge. STRONG INFERENCE — this is the well-established, general physical mechanism of the coffee-ring effect (Deegan et al.-type physics, broadly established in the fluid-dynamics literature), not something specific to NAM, but NAM's high water solubility and lack of surfactant-like behavior mean it is not expected to alter the classical evaporation dynamics itself.</w:t>
      </w:r>
    </w:p>
    <w:p>
      <w:pPr>
        <w:pStyle w:val="Heading3"/>
        <w:spacing w:after="120" w:before="240"/>
      </w:pPr>
      <w:r>
        <w:t xml:space="preserve">Coffee-ring effect</w:t>
      </w:r>
    </w:p>
    <w:p>
      <w:pPr>
        <w:spacing w:after="160"/>
      </w:pPr>
      <w:r>
        <w:t xml:space="preserve">On the specified black-Si substrate, surface texture strongly modulates this: the base literature (Part 2's/Part 7's hydrophobic black-Si texture) tends toward a high, Cassie-state contact angle, and hydrophobic micro/nanopillar arrays have been shown to reduce or eliminate classical coffee-ring banding by pinning/de-pinning the contact line differently than a flat hydrophilic surface (a general finding in the droplet-evaporation literature on structured surfaces — search located this class of study by title/abstract; full text was not independently re-verified in this pass, so treated as STRONG INFERENCE rather than DIRECT EVIDENCE). Separately, at least one SERS-specific study has deliberately exploited the coffee-ring effect for analyte enrichment rather than treating it as a nuisance — concentrating dilute analyte into a smaller ring area before measurement (title/abstract-level evidence located; STRONG INFERENCE). For NAM at low concentration, a controlled coffee-ring enrichment strategy may therefore be engineered as a deliberate pre-concentration step rather than something to eliminate — an ENGINEERING HYPOTHESIS worth testing head-to-head against ring-suppression.</w:t>
      </w:r>
    </w:p>
    <w:p>
      <w:pPr>
        <w:pStyle w:val="Heading3"/>
        <w:spacing w:after="120" w:before="240"/>
      </w:pPr>
      <w:r>
        <w:t xml:space="preserve">Diffusion inside the nanostructure</w:t>
      </w:r>
    </w:p>
    <w:p>
      <w:pPr>
        <w:spacing w:after="160"/>
      </w:pPr>
      <w:r>
        <w:t xml:space="preserve">Once the retreating liquid front reaches the nanowire forest, NAM must diffuse the short remaining distance (hundreds of nm to a few µm, per Part 3's dimensions) into the inter-wire and inter-particle spaces. Given the fast bulk diffusion coefficient and short remaining distances, this step is not expected to be rate-limiting under normal drying timescales (seconds to minutes) — ENGINEERING HYPOTHESIS — though as the liquid film thins to nanometers just before final dryout, local viscosity/confinement effects could slow the last stage of transport in ways not captured by bulk Stokes–Einstein diffusion. SPECULATION as to the magnitude of this last-stage effect specifically for NAM.</w:t>
      </w:r>
    </w:p>
    <w:p>
      <w:pPr>
        <w:pStyle w:val="Heading3"/>
        <w:spacing w:after="120" w:before="240"/>
      </w:pPr>
      <w:r>
        <w:t xml:space="preserve">Adsorption</w:t>
      </w:r>
    </w:p>
    <w:p>
      <w:pPr>
        <w:spacing w:after="160"/>
      </w:pPr>
      <w:r>
        <w:t xml:space="preserve">This is the step most likely to be rate/sensitivity-limiting for NAM specifically, per Part 1.5/Part 2.2's residence-time analysis: without a strong capture chemistry, a NAM molecule that reaches the hotspot region may not stay adsorbed long enough, or in a favorable-enough orientation, to be captured within a typical Raman integration window. ENGINEERING HYPOTHESIS, this report's central working hypothesis carried over from the prior report's Part 5/9.</w:t>
      </w:r>
    </w:p>
    <w:p>
      <w:pPr>
        <w:pStyle w:val="Heading3"/>
        <w:spacing w:after="120" w:before="240"/>
      </w:pPr>
      <w:r>
        <w:t xml:space="preserve">Residence at the hotspot / signal generation</w:t>
      </w:r>
    </w:p>
    <w:p>
      <w:pPr>
        <w:spacing w:after="160"/>
      </w:pPr>
      <w:r>
        <w:t xml:space="preserve">Even a molecule that does adsorb must remain within the ~1–2 nm near-field decay length of the metal surface for the coincidence of (a) high local field, (b) correct molecular orientation for its Raman-active modes, and (c) sufficient dwell time relative to the acquisition window. This is where surface chemistry (Part 5) delivers its primary benefit — not by increasing diffusion or access, but by converting a fast, transient physisorption event into a much longer-lived, chemically defined binding event. ENGINEERING HYPOTHESIS.</w:t>
      </w:r>
    </w:p>
    <w:p>
      <w:pPr>
        <w:pStyle w:val="Heading2"/>
        <w:spacing w:after="160" w:before="300"/>
      </w:pPr>
      <w:r>
        <w:t xml:space="preserve">4.1 What Limits Detection?</w:t>
      </w:r>
    </w:p>
    <w:p>
      <w:pPr>
        <w:spacing w:after="160"/>
      </w:pPr>
      <w:r>
        <w:t xml:space="preserve">Ranked by this report's analysis (ENGINEERING HYPOTHESIS, not a measured ranking): (1) adsorption/residence time — the most likely primary limitation, because NAM lacks a strong native anchor to Ag; (2) surface chemistry choice and its own footprint/kinetics, which directly determines (1); (3) plasmon coupling/hotspot gap engineering (Part 3), which sets the ceiling on enhancement once a molecule is adsorbed, but does not help if the molecule is not there in the first place; (4) diffusion and droplet-delivery physics (this Part), which are expected to be secondary limitations, addressable with standard drop-casting for pure-analyte validation but likely to become more important once real biological matrices (viscosity, protein crowding) are introduced (Part 9).</w:t>
      </w:r>
    </w:p>
    <w:p>
      <w:pPr>
        <w:pStyle w:val="Heading1"/>
        <w:spacing w:after="200" w:before="400"/>
      </w:pPr>
      <w:r>
        <w:t xml:space="preserve">Part 5 — Surface Chemistry Comparison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000"/>
        <w:gridCol w:w="1300"/>
        <w:gridCol w:w="1500"/>
        <w:gridCol w:w="1400"/>
        <w:gridCol w:w="900"/>
        <w:gridCol w:w="900"/>
        <w:gridCol w:w="1500"/>
      </w:tblGrid>
      <w:tr>
        <w:trPr>
          <w:tblHeader/>
        </w:trPr>
        <w:tc>
          <w:tcPr>
            <w:tcW w:type="dxa" w:w="1000"/>
            <w:shd w:fill="1F3864" w:val="clear"/>
            <w:tcMar>
              <w:top w:type="dxa" w:w="60"/>
              <w:left w:type="dxa" w:w="80"/>
              <w:bottom w:type="dxa" w:w="60"/>
              <w:right w:type="dxa" w:w="80"/>
            </w:tcMar>
            <w:vAlign w:val="center"/>
          </w:tcPr>
          <w:p>
            <w:r>
              <w:rPr>
                <w:b/>
                <w:bCs/>
                <w:color w:val="FFFFFF"/>
                <w:sz w:val="18"/>
                <w:szCs w:val="18"/>
              </w:rPr>
              <w:t xml:space="preserve">Chemistry</w:t>
            </w:r>
          </w:p>
        </w:tc>
        <w:tc>
          <w:tcPr>
            <w:tcW w:type="dxa" w:w="1500"/>
            <w:shd w:fill="1F3864" w:val="clear"/>
            <w:tcMar>
              <w:top w:type="dxa" w:w="60"/>
              <w:left w:type="dxa" w:w="80"/>
              <w:bottom w:type="dxa" w:w="60"/>
              <w:right w:type="dxa" w:w="80"/>
            </w:tcMar>
            <w:vAlign w:val="center"/>
          </w:tcPr>
          <w:p>
            <w:r>
              <w:rPr>
                <w:b/>
                <w:bCs/>
                <w:color w:val="FFFFFF"/>
                <w:sz w:val="18"/>
                <w:szCs w:val="18"/>
              </w:rPr>
              <w:t xml:space="preserve">Capture for NAM</w:t>
            </w:r>
          </w:p>
        </w:tc>
        <w:tc>
          <w:tcPr>
            <w:tcW w:type="dxa" w:w="1000"/>
            <w:shd w:fill="1F3864" w:val="clear"/>
            <w:tcMar>
              <w:top w:type="dxa" w:w="60"/>
              <w:left w:type="dxa" w:w="80"/>
              <w:bottom w:type="dxa" w:w="60"/>
              <w:right w:type="dxa" w:w="80"/>
            </w:tcMar>
            <w:vAlign w:val="center"/>
          </w:tcPr>
          <w:p>
            <w:r>
              <w:rPr>
                <w:b/>
                <w:bCs/>
                <w:color w:val="FFFFFF"/>
                <w:sz w:val="18"/>
                <w:szCs w:val="18"/>
              </w:rPr>
              <w:t xml:space="preserve">Spacer thickness</w:t>
            </w:r>
          </w:p>
        </w:tc>
        <w:tc>
          <w:tcPr>
            <w:tcW w:type="dxa" w:w="1300"/>
            <w:shd w:fill="1F3864" w:val="clear"/>
            <w:tcMar>
              <w:top w:type="dxa" w:w="60"/>
              <w:left w:type="dxa" w:w="80"/>
              <w:bottom w:type="dxa" w:w="60"/>
              <w:right w:type="dxa" w:w="80"/>
            </w:tcMar>
            <w:vAlign w:val="center"/>
          </w:tcPr>
          <w:p>
            <w:r>
              <w:rPr>
                <w:b/>
                <w:bCs/>
                <w:color w:val="FFFFFF"/>
                <w:sz w:val="18"/>
                <w:szCs w:val="18"/>
              </w:rPr>
              <w:t xml:space="preserve">Effect on SERS</w:t>
            </w:r>
          </w:p>
        </w:tc>
        <w:tc>
          <w:tcPr>
            <w:tcW w:type="dxa" w:w="1500"/>
            <w:shd w:fill="1F3864" w:val="clear"/>
            <w:tcMar>
              <w:top w:type="dxa" w:w="60"/>
              <w:left w:type="dxa" w:w="80"/>
              <w:bottom w:type="dxa" w:w="60"/>
              <w:right w:type="dxa" w:w="80"/>
            </w:tcMar>
            <w:vAlign w:val="center"/>
          </w:tcPr>
          <w:p>
            <w:r>
              <w:rPr>
                <w:b/>
                <w:bCs/>
                <w:color w:val="FFFFFF"/>
                <w:sz w:val="18"/>
                <w:szCs w:val="18"/>
              </w:rPr>
              <w:t xml:space="preserve">Adsorption mechanism / residence time</w:t>
            </w:r>
          </w:p>
        </w:tc>
        <w:tc>
          <w:tcPr>
            <w:tcW w:type="dxa" w:w="1400"/>
            <w:shd w:fill="1F3864" w:val="clear"/>
            <w:tcMar>
              <w:top w:type="dxa" w:w="60"/>
              <w:left w:type="dxa" w:w="80"/>
              <w:bottom w:type="dxa" w:w="60"/>
              <w:right w:type="dxa" w:w="80"/>
            </w:tcMar>
            <w:vAlign w:val="center"/>
          </w:tcPr>
          <w:p>
            <w:r>
              <w:rPr>
                <w:b/>
                <w:bCs/>
                <w:color w:val="FFFFFF"/>
                <w:sz w:val="18"/>
                <w:szCs w:val="18"/>
              </w:rPr>
              <w:t xml:space="preserve">Evidence</w:t>
            </w:r>
          </w:p>
        </w:tc>
        <w:tc>
          <w:tcPr>
            <w:tcW w:type="dxa" w:w="900"/>
            <w:shd w:fill="1F3864" w:val="clear"/>
            <w:tcMar>
              <w:top w:type="dxa" w:w="60"/>
              <w:left w:type="dxa" w:w="80"/>
              <w:bottom w:type="dxa" w:w="60"/>
              <w:right w:type="dxa" w:w="80"/>
            </w:tcMar>
            <w:vAlign w:val="center"/>
          </w:tcPr>
          <w:p>
            <w:r>
              <w:rPr>
                <w:b/>
                <w:bCs/>
                <w:color w:val="FFFFFF"/>
                <w:sz w:val="18"/>
                <w:szCs w:val="18"/>
              </w:rPr>
              <w:t xml:space="preserve">Ag compatibility</w:t>
            </w:r>
          </w:p>
        </w:tc>
        <w:tc>
          <w:tcPr>
            <w:tcW w:type="dxa" w:w="900"/>
            <w:shd w:fill="1F3864" w:val="clear"/>
            <w:tcMar>
              <w:top w:type="dxa" w:w="60"/>
              <w:left w:type="dxa" w:w="80"/>
              <w:bottom w:type="dxa" w:w="60"/>
              <w:right w:type="dxa" w:w="80"/>
            </w:tcMar>
            <w:vAlign w:val="center"/>
          </w:tcPr>
          <w:p>
            <w:r>
              <w:rPr>
                <w:b/>
                <w:bCs/>
                <w:color w:val="FFFFFF"/>
                <w:sz w:val="18"/>
                <w:szCs w:val="18"/>
              </w:rPr>
              <w:t xml:space="preserve">Regeneration</w:t>
            </w:r>
          </w:p>
        </w:tc>
        <w:tc>
          <w:tcPr>
            <w:tcW w:type="dxa" w:w="1500"/>
            <w:shd w:fill="1F3864" w:val="clear"/>
            <w:tcMar>
              <w:top w:type="dxa" w:w="60"/>
              <w:left w:type="dxa" w:w="80"/>
              <w:bottom w:type="dxa" w:w="60"/>
              <w:right w:type="dxa" w:w="80"/>
            </w:tcMar>
            <w:vAlign w:val="center"/>
          </w:tcPr>
          <w:p>
            <w:r>
              <w:rPr>
                <w:b/>
                <w:bCs/>
                <w:color w:val="FFFFFF"/>
                <w:sz w:val="18"/>
                <w:szCs w:val="18"/>
              </w:rPr>
              <w:t xml:space="preserve">Blood compatibility / notes</w:t>
            </w:r>
          </w:p>
        </w:tc>
      </w:tr>
      <w:tr>
        <w:tc>
          <w:tcPr>
            <w:tcW w:type="dxa" w:w="1000"/>
            <w:tcMar>
              <w:top w:type="dxa" w:w="60"/>
              <w:left w:type="dxa" w:w="80"/>
              <w:bottom w:type="dxa" w:w="60"/>
              <w:right w:type="dxa" w:w="80"/>
            </w:tcMar>
            <w:vAlign w:val="center"/>
          </w:tcPr>
          <w:p>
            <w:r>
              <w:rPr>
                <w:b w:val="false"/>
                <w:bCs w:val="false"/>
                <w:sz w:val="18"/>
                <w:szCs w:val="18"/>
              </w:rPr>
              <w:t xml:space="preserve">Bare Ag</w:t>
            </w:r>
          </w:p>
        </w:tc>
        <w:tc>
          <w:tcPr>
            <w:tcW w:type="dxa" w:w="1500"/>
            <w:tcMar>
              <w:top w:type="dxa" w:w="60"/>
              <w:left w:type="dxa" w:w="80"/>
              <w:bottom w:type="dxa" w:w="60"/>
              <w:right w:type="dxa" w:w="80"/>
            </w:tcMar>
            <w:vAlign w:val="center"/>
          </w:tcPr>
          <w:p>
            <w:r>
              <w:rPr>
                <w:b w:val="false"/>
                <w:bCs w:val="false"/>
                <w:sz w:val="18"/>
                <w:szCs w:val="18"/>
              </w:rPr>
              <w:t xml:space="preserve">Low (weak physisorption via carboxylate/ring O; predicted electrostatic repulsion from the anionic NAM at physiological pH, Part 1.2)</w:t>
            </w:r>
          </w:p>
        </w:tc>
        <w:tc>
          <w:tcPr>
            <w:tcW w:type="dxa" w:w="1000"/>
            <w:tcMar>
              <w:top w:type="dxa" w:w="60"/>
              <w:left w:type="dxa" w:w="80"/>
              <w:bottom w:type="dxa" w:w="60"/>
              <w:right w:type="dxa" w:w="80"/>
            </w:tcMar>
            <w:vAlign w:val="center"/>
          </w:tcPr>
          <w:p>
            <w:r>
              <w:rPr>
                <w:b w:val="false"/>
                <w:bCs w:val="false"/>
                <w:sz w:val="18"/>
                <w:szCs w:val="18"/>
              </w:rPr>
              <w:t xml:space="preserve">0 nm (none)</w:t>
            </w:r>
          </w:p>
        </w:tc>
        <w:tc>
          <w:tcPr>
            <w:tcW w:type="dxa" w:w="1300"/>
            <w:tcMar>
              <w:top w:type="dxa" w:w="60"/>
              <w:left w:type="dxa" w:w="80"/>
              <w:bottom w:type="dxa" w:w="60"/>
              <w:right w:type="dxa" w:w="80"/>
            </w:tcMar>
            <w:vAlign w:val="center"/>
          </w:tcPr>
          <w:p>
            <w:r>
              <w:rPr>
                <w:b w:val="false"/>
                <w:bCs w:val="false"/>
                <w:sz w:val="18"/>
                <w:szCs w:val="18"/>
              </w:rPr>
              <w:t xml:space="preserve">Full — no added spacer, but low capture means low realized signal despite max theoretical accessibility</w:t>
            </w:r>
          </w:p>
        </w:tc>
        <w:tc>
          <w:tcPr>
            <w:tcW w:type="dxa" w:w="1500"/>
            <w:tcMar>
              <w:top w:type="dxa" w:w="60"/>
              <w:left w:type="dxa" w:w="80"/>
              <w:bottom w:type="dxa" w:w="60"/>
              <w:right w:type="dxa" w:w="80"/>
            </w:tcMar>
            <w:vAlign w:val="center"/>
          </w:tcPr>
          <w:p>
            <w:r>
              <w:rPr>
                <w:b w:val="false"/>
                <w:bCs w:val="false"/>
                <w:sz w:val="18"/>
                <w:szCs w:val="18"/>
              </w:rPr>
              <w:t xml:space="preserve">N/A — this is the substrate itself</w:t>
            </w:r>
          </w:p>
        </w:tc>
        <w:tc>
          <w:tcPr>
            <w:tcW w:type="dxa" w:w="1400"/>
            <w:tcMar>
              <w:top w:type="dxa" w:w="60"/>
              <w:left w:type="dxa" w:w="80"/>
              <w:bottom w:type="dxa" w:w="60"/>
              <w:right w:type="dxa" w:w="80"/>
            </w:tcMar>
            <w:vAlign w:val="center"/>
          </w:tcPr>
          <w:p>
            <w:r>
              <w:rPr>
                <w:b w:val="false"/>
                <w:bCs w:val="false"/>
                <w:sz w:val="18"/>
                <w:szCs w:val="18"/>
              </w:rPr>
              <w:t xml:space="preserve">Baseline; expected low/inconsistent per prior report's Part 5</w:t>
            </w:r>
          </w:p>
        </w:tc>
        <w:tc>
          <w:tcPr>
            <w:tcW w:type="dxa" w:w="900"/>
            <w:tcMar>
              <w:top w:type="dxa" w:w="60"/>
              <w:left w:type="dxa" w:w="80"/>
              <w:bottom w:type="dxa" w:w="60"/>
              <w:right w:type="dxa" w:w="80"/>
            </w:tcMar>
            <w:vAlign w:val="center"/>
          </w:tcPr>
          <w:p>
            <w:r>
              <w:rPr>
                <w:b w:val="false"/>
                <w:bCs w:val="false"/>
                <w:sz w:val="18"/>
                <w:szCs w:val="18"/>
              </w:rPr>
              <w:t xml:space="preserve">Full (native)</w:t>
            </w:r>
          </w:p>
        </w:tc>
        <w:tc>
          <w:tcPr>
            <w:tcW w:type="dxa" w:w="900"/>
            <w:tcMar>
              <w:top w:type="dxa" w:w="60"/>
              <w:left w:type="dxa" w:w="80"/>
              <w:bottom w:type="dxa" w:w="60"/>
              <w:right w:type="dxa" w:w="80"/>
            </w:tcMar>
            <w:vAlign w:val="center"/>
          </w:tcPr>
          <w:p>
            <w:r>
              <w:rPr>
                <w:b w:val="false"/>
                <w:bCs w:val="false"/>
                <w:sz w:val="18"/>
                <w:szCs w:val="18"/>
              </w:rPr>
              <w:t xml:space="preserve">Trivial (nothing to regenerate)</w:t>
            </w:r>
          </w:p>
        </w:tc>
        <w:tc>
          <w:tcPr>
            <w:tcW w:type="dxa" w:w="1500"/>
            <w:tcMar>
              <w:top w:type="dxa" w:w="60"/>
              <w:left w:type="dxa" w:w="80"/>
              <w:bottom w:type="dxa" w:w="60"/>
              <w:right w:type="dxa" w:w="80"/>
            </w:tcMar>
            <w:vAlign w:val="center"/>
          </w:tcPr>
          <w:p>
            <w:r>
              <w:rPr>
                <w:b w:val="false"/>
                <w:bCs w:val="false"/>
                <w:sz w:val="18"/>
                <w:szCs w:val="18"/>
              </w:rPr>
              <w:t xml:space="preserve">Low (nothing to leach/degrade beyond the Ag itself)</w:t>
            </w:r>
          </w:p>
        </w:tc>
      </w:tr>
      <w:tr>
        <w:tc>
          <w:tcPr>
            <w:tcW w:type="dxa" w:w="1000"/>
            <w:tcMar>
              <w:top w:type="dxa" w:w="60"/>
              <w:left w:type="dxa" w:w="80"/>
              <w:bottom w:type="dxa" w:w="60"/>
              <w:right w:type="dxa" w:w="80"/>
            </w:tcMar>
            <w:vAlign w:val="center"/>
          </w:tcPr>
          <w:p>
            <w:r>
              <w:rPr>
                <w:b w:val="false"/>
                <w:bCs w:val="false"/>
                <w:sz w:val="18"/>
                <w:szCs w:val="18"/>
              </w:rPr>
              <w:t xml:space="preserve">Boronic acid SAM (thiol-anchored, e.g., MPBA)</w:t>
            </w:r>
          </w:p>
        </w:tc>
        <w:tc>
          <w:tcPr>
            <w:tcW w:type="dxa" w:w="1500"/>
            <w:tcMar>
              <w:top w:type="dxa" w:w="60"/>
              <w:left w:type="dxa" w:w="80"/>
              <w:bottom w:type="dxa" w:w="60"/>
              <w:right w:type="dxa" w:w="80"/>
            </w:tcMar>
            <w:vAlign w:val="center"/>
          </w:tcPr>
          <w:p>
            <w:r>
              <w:rPr>
                <w:b w:val="false"/>
                <w:bCs w:val="false"/>
                <w:sz w:val="18"/>
                <w:szCs w:val="18"/>
              </w:rPr>
              <w:t xml:space="preserve">High for cis-diol-bearing carbohydrates — directly demonstrated for glucose (Gonzalez-Rodriguez et al. 2024)</w:t>
            </w:r>
          </w:p>
        </w:tc>
        <w:tc>
          <w:tcPr>
            <w:tcW w:type="dxa" w:w="1000"/>
            <w:tcMar>
              <w:top w:type="dxa" w:w="60"/>
              <w:left w:type="dxa" w:w="80"/>
              <w:bottom w:type="dxa" w:w="60"/>
              <w:right w:type="dxa" w:w="80"/>
            </w:tcMar>
            <w:vAlign w:val="center"/>
          </w:tcPr>
          <w:p>
            <w:r>
              <w:rPr>
                <w:b w:val="false"/>
                <w:bCs w:val="false"/>
                <w:sz w:val="18"/>
                <w:szCs w:val="18"/>
              </w:rPr>
              <w:t xml:space="preserve">~1–1.5 nm</w:t>
            </w:r>
          </w:p>
        </w:tc>
        <w:tc>
          <w:tcPr>
            <w:tcW w:type="dxa" w:w="1300"/>
            <w:tcMar>
              <w:top w:type="dxa" w:w="60"/>
              <w:left w:type="dxa" w:w="80"/>
              <w:bottom w:type="dxa" w:w="60"/>
              <w:right w:type="dxa" w:w="80"/>
            </w:tcMar>
            <w:vAlign w:val="center"/>
          </w:tcPr>
          <w:p>
            <w:r>
              <w:rPr>
                <w:b w:val="false"/>
                <w:bCs w:val="false"/>
                <w:sz w:val="18"/>
                <w:szCs w:val="18"/>
              </w:rPr>
              <w:t xml:space="preserve">Minimal impact — thinnest chemistry-bearing option surveyed</w:t>
            </w:r>
          </w:p>
        </w:tc>
        <w:tc>
          <w:tcPr>
            <w:tcW w:type="dxa" w:w="1500"/>
            <w:tcMar>
              <w:top w:type="dxa" w:w="60"/>
              <w:left w:type="dxa" w:w="80"/>
              <w:bottom w:type="dxa" w:w="60"/>
              <w:right w:type="dxa" w:w="80"/>
            </w:tcMar>
            <w:vAlign w:val="center"/>
          </w:tcPr>
          <w:p>
            <w:r>
              <w:rPr>
                <w:b w:val="false"/>
                <w:bCs w:val="false"/>
                <w:sz w:val="18"/>
                <w:szCs w:val="18"/>
              </w:rPr>
              <w:t xml:space="preserve">Reversible covalent boronate ester — orientation-defining, moderate-to-long residence time relative to bare-metal physisorption</w:t>
            </w:r>
          </w:p>
        </w:tc>
        <w:tc>
          <w:tcPr>
            <w:tcW w:type="dxa" w:w="1400"/>
            <w:tcMar>
              <w:top w:type="dxa" w:w="60"/>
              <w:left w:type="dxa" w:w="80"/>
              <w:bottom w:type="dxa" w:w="60"/>
              <w:right w:type="dxa" w:w="80"/>
            </w:tcMar>
            <w:vAlign w:val="center"/>
          </w:tcPr>
          <w:p>
            <w:r>
              <w:rPr>
                <w:b w:val="false"/>
                <w:bCs w:val="false"/>
                <w:sz w:val="18"/>
                <w:szCs w:val="18"/>
              </w:rPr>
              <w:t xml:space="preserve">STRONG INFERENCE — glucose precedent transfers directly to NAM's diol-bearing ring</w:t>
            </w:r>
          </w:p>
        </w:tc>
        <w:tc>
          <w:tcPr>
            <w:tcW w:type="dxa" w:w="900"/>
            <w:tcMar>
              <w:top w:type="dxa" w:w="60"/>
              <w:left w:type="dxa" w:w="80"/>
              <w:bottom w:type="dxa" w:w="60"/>
              <w:right w:type="dxa" w:w="80"/>
            </w:tcMar>
            <w:vAlign w:val="center"/>
          </w:tcPr>
          <w:p>
            <w:r>
              <w:rPr>
                <w:b w:val="false"/>
                <w:bCs w:val="false"/>
                <w:sz w:val="18"/>
                <w:szCs w:val="18"/>
              </w:rPr>
              <w:t xml:space="preserve">Excellent (mild thiol-Ag chemistry)</w:t>
            </w:r>
          </w:p>
        </w:tc>
        <w:tc>
          <w:tcPr>
            <w:tcW w:type="dxa" w:w="900"/>
            <w:tcMar>
              <w:top w:type="dxa" w:w="60"/>
              <w:left w:type="dxa" w:w="80"/>
              <w:bottom w:type="dxa" w:w="60"/>
              <w:right w:type="dxa" w:w="80"/>
            </w:tcMar>
            <w:vAlign w:val="center"/>
          </w:tcPr>
          <w:p>
            <w:r>
              <w:rPr>
                <w:b w:val="false"/>
                <w:bCs w:val="false"/>
                <w:sz w:val="18"/>
                <w:szCs w:val="18"/>
              </w:rPr>
              <w:t xml:space="preserve">Good — boronate ester formation is pH-reversible (lower pH releases the diol), enabling regeneration by mild acid rinse</w:t>
            </w:r>
          </w:p>
        </w:tc>
        <w:tc>
          <w:tcPr>
            <w:tcW w:type="dxa" w:w="1500"/>
            <w:tcMar>
              <w:top w:type="dxa" w:w="60"/>
              <w:left w:type="dxa" w:w="80"/>
              <w:bottom w:type="dxa" w:w="60"/>
              <w:right w:type="dxa" w:w="80"/>
            </w:tcMar>
            <w:vAlign w:val="center"/>
          </w:tcPr>
          <w:p>
            <w:r>
              <w:rPr>
                <w:b w:val="false"/>
                <w:bCs w:val="false"/>
                <w:sz w:val="18"/>
                <w:szCs w:val="18"/>
              </w:rPr>
              <w:t xml:space="preserve">Moderate — will also capture other blood diols (glucose etc.), a selectivity/background risk flagged in the prior report's Part 10</w:t>
            </w:r>
          </w:p>
        </w:tc>
      </w:tr>
      <w:tr>
        <w:tc>
          <w:tcPr>
            <w:tcW w:type="dxa" w:w="1000"/>
            <w:tcMar>
              <w:top w:type="dxa" w:w="60"/>
              <w:left w:type="dxa" w:w="80"/>
              <w:bottom w:type="dxa" w:w="60"/>
              <w:right w:type="dxa" w:w="80"/>
            </w:tcMar>
            <w:vAlign w:val="center"/>
          </w:tcPr>
          <w:p>
            <w:r>
              <w:rPr>
                <w:b w:val="false"/>
                <w:bCs w:val="false"/>
                <w:sz w:val="18"/>
                <w:szCs w:val="18"/>
              </w:rPr>
              <w:t xml:space="preserve">APTES</w:t>
            </w:r>
          </w:p>
        </w:tc>
        <w:tc>
          <w:tcPr>
            <w:tcW w:type="dxa" w:w="1500"/>
            <w:tcMar>
              <w:top w:type="dxa" w:w="60"/>
              <w:left w:type="dxa" w:w="80"/>
              <w:bottom w:type="dxa" w:w="60"/>
              <w:right w:type="dxa" w:w="80"/>
            </w:tcMar>
            <w:vAlign w:val="center"/>
          </w:tcPr>
          <w:p>
            <w:r>
              <w:rPr>
                <w:b w:val="false"/>
                <w:bCs w:val="false"/>
                <w:sz w:val="18"/>
                <w:szCs w:val="18"/>
              </w:rPr>
              <w:t xml:space="preserve">Low-moderate — no defined NAM-specific bond; relies on nonspecific amine/carboxylate electrostatics</w:t>
            </w:r>
          </w:p>
        </w:tc>
        <w:tc>
          <w:tcPr>
            <w:tcW w:type="dxa" w:w="1000"/>
            <w:tcMar>
              <w:top w:type="dxa" w:w="60"/>
              <w:left w:type="dxa" w:w="80"/>
              <w:bottom w:type="dxa" w:w="60"/>
              <w:right w:type="dxa" w:w="80"/>
            </w:tcMar>
            <w:vAlign w:val="center"/>
          </w:tcPr>
          <w:p>
            <w:r>
              <w:rPr>
                <w:b w:val="false"/>
                <w:bCs w:val="false"/>
                <w:sz w:val="18"/>
                <w:szCs w:val="18"/>
              </w:rPr>
              <w:t xml:space="preserve">~0.5–1 nm (single layer, ideal case)</w:t>
            </w:r>
          </w:p>
        </w:tc>
        <w:tc>
          <w:tcPr>
            <w:tcW w:type="dxa" w:w="1300"/>
            <w:tcMar>
              <w:top w:type="dxa" w:w="60"/>
              <w:left w:type="dxa" w:w="80"/>
              <w:bottom w:type="dxa" w:w="60"/>
              <w:right w:type="dxa" w:w="80"/>
            </w:tcMar>
            <w:vAlign w:val="center"/>
          </w:tcPr>
          <w:p>
            <w:r>
              <w:rPr>
                <w:b w:val="false"/>
                <w:bCs w:val="false"/>
                <w:sz w:val="18"/>
                <w:szCs w:val="18"/>
              </w:rPr>
              <w:t xml:space="preserve">Minor if well-controlled; multilayer/polymerized APTES can add more</w:t>
            </w:r>
          </w:p>
        </w:tc>
        <w:tc>
          <w:tcPr>
            <w:tcW w:type="dxa" w:w="1500"/>
            <w:tcMar>
              <w:top w:type="dxa" w:w="60"/>
              <w:left w:type="dxa" w:w="80"/>
              <w:bottom w:type="dxa" w:w="60"/>
              <w:right w:type="dxa" w:w="80"/>
            </w:tcMar>
            <w:vAlign w:val="center"/>
          </w:tcPr>
          <w:p>
            <w:r>
              <w:rPr>
                <w:b w:val="false"/>
                <w:bCs w:val="false"/>
                <w:sz w:val="18"/>
                <w:szCs w:val="18"/>
              </w:rPr>
              <w:t xml:space="preserve">Electrostatic/H-bond, weak and pH-dependent, likely short residence time</w:t>
            </w:r>
          </w:p>
        </w:tc>
        <w:tc>
          <w:tcPr>
            <w:tcW w:type="dxa" w:w="1400"/>
            <w:tcMar>
              <w:top w:type="dxa" w:w="60"/>
              <w:left w:type="dxa" w:w="80"/>
              <w:bottom w:type="dxa" w:w="60"/>
              <w:right w:type="dxa" w:w="80"/>
            </w:tcMar>
            <w:vAlign w:val="center"/>
          </w:tcPr>
          <w:p>
            <w:r>
              <w:rPr>
                <w:b w:val="false"/>
                <w:bCs w:val="false"/>
                <w:sz w:val="18"/>
                <w:szCs w:val="18"/>
              </w:rPr>
              <w:t xml:space="preserve">ENGINEERING HYPOTHESIS</w:t>
            </w:r>
          </w:p>
        </w:tc>
        <w:tc>
          <w:tcPr>
            <w:tcW w:type="dxa" w:w="900"/>
            <w:tcMar>
              <w:top w:type="dxa" w:w="60"/>
              <w:left w:type="dxa" w:w="80"/>
              <w:bottom w:type="dxa" w:w="60"/>
              <w:right w:type="dxa" w:w="80"/>
            </w:tcMar>
            <w:vAlign w:val="center"/>
          </w:tcPr>
          <w:p>
            <w:r>
              <w:rPr>
                <w:b w:val="false"/>
                <w:bCs w:val="false"/>
                <w:sz w:val="18"/>
                <w:szCs w:val="18"/>
              </w:rPr>
              <w:t xml:space="preserve">Poor direct chemistry to bare metallic Ag (APTES condenses onto oxide, not metal) — typically used as an intermediate layer</w:t>
            </w:r>
          </w:p>
        </w:tc>
        <w:tc>
          <w:tcPr>
            <w:tcW w:type="dxa" w:w="900"/>
            <w:tcMar>
              <w:top w:type="dxa" w:w="60"/>
              <w:left w:type="dxa" w:w="80"/>
              <w:bottom w:type="dxa" w:w="60"/>
              <w:right w:type="dxa" w:w="80"/>
            </w:tcMar>
            <w:vAlign w:val="center"/>
          </w:tcPr>
          <w:p>
            <w:r>
              <w:rPr>
                <w:b w:val="false"/>
                <w:bCs w:val="false"/>
                <w:sz w:val="18"/>
                <w:szCs w:val="18"/>
              </w:rPr>
              <w:t xml:space="preserve">Poor as a standalone capture chemistry — nothing to specifically regenerate</w:t>
            </w:r>
          </w:p>
        </w:tc>
        <w:tc>
          <w:tcPr>
            <w:tcW w:type="dxa" w:w="1500"/>
            <w:tcMar>
              <w:top w:type="dxa" w:w="60"/>
              <w:left w:type="dxa" w:w="80"/>
              <w:bottom w:type="dxa" w:w="60"/>
              <w:right w:type="dxa" w:w="80"/>
            </w:tcMar>
            <w:vAlign w:val="center"/>
          </w:tcPr>
          <w:p>
            <w:r>
              <w:rPr>
                <w:b w:val="false"/>
                <w:bCs w:val="false"/>
                <w:sz w:val="18"/>
                <w:szCs w:val="18"/>
              </w:rPr>
              <w:t xml:space="preserve">Low intrinsic background but low capture also limits usefulness alone</w:t>
            </w:r>
          </w:p>
        </w:tc>
      </w:tr>
      <w:tr>
        <w:tc>
          <w:tcPr>
            <w:tcW w:type="dxa" w:w="1000"/>
            <w:tcMar>
              <w:top w:type="dxa" w:w="60"/>
              <w:left w:type="dxa" w:w="80"/>
              <w:bottom w:type="dxa" w:w="60"/>
              <w:right w:type="dxa" w:w="80"/>
            </w:tcMar>
            <w:vAlign w:val="center"/>
          </w:tcPr>
          <w:p>
            <w:r>
              <w:rPr>
                <w:b w:val="false"/>
                <w:bCs w:val="false"/>
                <w:sz w:val="18"/>
                <w:szCs w:val="18"/>
              </w:rPr>
              <w:t xml:space="preserve">Polydopamine (PDA)</w:t>
            </w:r>
          </w:p>
        </w:tc>
        <w:tc>
          <w:tcPr>
            <w:tcW w:type="dxa" w:w="1500"/>
            <w:tcMar>
              <w:top w:type="dxa" w:w="60"/>
              <w:left w:type="dxa" w:w="80"/>
              <w:bottom w:type="dxa" w:w="60"/>
              <w:right w:type="dxa" w:w="80"/>
            </w:tcMar>
            <w:vAlign w:val="center"/>
          </w:tcPr>
          <w:p>
            <w:r>
              <w:rPr>
                <w:b w:val="false"/>
                <w:bCs w:val="false"/>
                <w:sz w:val="18"/>
                <w:szCs w:val="18"/>
              </w:rPr>
              <w:t xml:space="preserve">Moderate, non-specific — catechol/quinone groups interact broadly with polar/H-bonding analytes and can be further functionalized</w:t>
            </w:r>
          </w:p>
        </w:tc>
        <w:tc>
          <w:tcPr>
            <w:tcW w:type="dxa" w:w="1000"/>
            <w:tcMar>
              <w:top w:type="dxa" w:w="60"/>
              <w:left w:type="dxa" w:w="80"/>
              <w:bottom w:type="dxa" w:w="60"/>
              <w:right w:type="dxa" w:w="80"/>
            </w:tcMar>
            <w:vAlign w:val="center"/>
          </w:tcPr>
          <w:p>
            <w:r>
              <w:rPr>
                <w:b w:val="false"/>
                <w:bCs w:val="false"/>
                <w:sz w:val="18"/>
                <w:szCs w:val="18"/>
              </w:rPr>
              <w:t xml:space="preserve">Several nm to tens of nm (thicker than a SAM)</w:t>
            </w:r>
          </w:p>
        </w:tc>
        <w:tc>
          <w:tcPr>
            <w:tcW w:type="dxa" w:w="1300"/>
            <w:tcMar>
              <w:top w:type="dxa" w:w="60"/>
              <w:left w:type="dxa" w:w="80"/>
              <w:bottom w:type="dxa" w:w="60"/>
              <w:right w:type="dxa" w:w="80"/>
            </w:tcMar>
            <w:vAlign w:val="center"/>
          </w:tcPr>
          <w:p>
            <w:r>
              <w:rPr>
                <w:b w:val="false"/>
                <w:bCs w:val="false"/>
                <w:sz w:val="18"/>
                <w:szCs w:val="18"/>
              </w:rPr>
              <w:t xml:space="preserve">Meaningful reduction — SERS field decays over ~1–2 nm from the metal, so multi-nm PDA films measurably damp achievable EF</w:t>
            </w:r>
          </w:p>
        </w:tc>
        <w:tc>
          <w:tcPr>
            <w:tcW w:type="dxa" w:w="1500"/>
            <w:tcMar>
              <w:top w:type="dxa" w:w="60"/>
              <w:left w:type="dxa" w:w="80"/>
              <w:bottom w:type="dxa" w:w="60"/>
              <w:right w:type="dxa" w:w="80"/>
            </w:tcMar>
            <w:vAlign w:val="center"/>
          </w:tcPr>
          <w:p>
            <w:r>
              <w:rPr>
                <w:b w:val="false"/>
                <w:bCs w:val="false"/>
                <w:sz w:val="18"/>
                <w:szCs w:val="18"/>
              </w:rPr>
              <w:t xml:space="preserve">Physical adsorption + potential covalent (Michael addition/Schiff base) capture if further functionalized; moderate residence time</w:t>
            </w:r>
          </w:p>
        </w:tc>
        <w:tc>
          <w:tcPr>
            <w:tcW w:type="dxa" w:w="1400"/>
            <w:tcMar>
              <w:top w:type="dxa" w:w="60"/>
              <w:left w:type="dxa" w:w="80"/>
              <w:bottom w:type="dxa" w:w="60"/>
              <w:right w:type="dxa" w:w="80"/>
            </w:tcMar>
            <w:vAlign w:val="center"/>
          </w:tcPr>
          <w:p>
            <w:r>
              <w:rPr>
                <w:b w:val="false"/>
                <w:bCs w:val="false"/>
                <w:sz w:val="18"/>
                <w:szCs w:val="18"/>
              </w:rPr>
              <w:t xml:space="preserve">STRONG INFERENCE for general adhesion/enhancement mechanism (polydopamine-modified black-Si/Ag SERS substrates reported in the literature per the prior report); ENGINEERING HYPOTHESIS for NAM specifically</w:t>
            </w:r>
          </w:p>
        </w:tc>
        <w:tc>
          <w:tcPr>
            <w:tcW w:type="dxa" w:w="900"/>
            <w:tcMar>
              <w:top w:type="dxa" w:w="60"/>
              <w:left w:type="dxa" w:w="80"/>
              <w:bottom w:type="dxa" w:w="60"/>
              <w:right w:type="dxa" w:w="80"/>
            </w:tcMar>
            <w:vAlign w:val="center"/>
          </w:tcPr>
          <w:p>
            <w:r>
              <w:rPr>
                <w:b w:val="false"/>
                <w:bCs w:val="false"/>
                <w:sz w:val="18"/>
                <w:szCs w:val="18"/>
              </w:rPr>
              <w:t xml:space="preserve">Good — one-pot aqueous deposition onto virtually any surface including Ag</w:t>
            </w:r>
          </w:p>
        </w:tc>
        <w:tc>
          <w:tcPr>
            <w:tcW w:type="dxa" w:w="900"/>
            <w:tcMar>
              <w:top w:type="dxa" w:w="60"/>
              <w:left w:type="dxa" w:w="80"/>
              <w:bottom w:type="dxa" w:w="60"/>
              <w:right w:type="dxa" w:w="80"/>
            </w:tcMar>
            <w:vAlign w:val="center"/>
          </w:tcPr>
          <w:p>
            <w:r>
              <w:rPr>
                <w:b w:val="false"/>
                <w:bCs w:val="false"/>
                <w:sz w:val="18"/>
                <w:szCs w:val="18"/>
              </w:rPr>
              <w:t xml:space="preserve">Poor-moderate — PDA is not designed for easy regeneration/release</w:t>
            </w:r>
          </w:p>
        </w:tc>
        <w:tc>
          <w:tcPr>
            <w:tcW w:type="dxa" w:w="1500"/>
            <w:tcMar>
              <w:top w:type="dxa" w:w="60"/>
              <w:left w:type="dxa" w:w="80"/>
              <w:bottom w:type="dxa" w:w="60"/>
              <w:right w:type="dxa" w:w="80"/>
            </w:tcMar>
            <w:vAlign w:val="center"/>
          </w:tcPr>
          <w:p>
            <w:r>
              <w:rPr>
                <w:b w:val="false"/>
                <w:bCs w:val="false"/>
                <w:sz w:val="18"/>
                <w:szCs w:val="18"/>
              </w:rPr>
              <w:t xml:space="preserve">Good general anti-fouling reputation in biomaterials literature (STRONG INFERENCE, not SERS-specific), but the thickness penalty works against raw sensitivity</w:t>
            </w:r>
          </w:p>
        </w:tc>
      </w:tr>
      <w:tr>
        <w:tc>
          <w:tcPr>
            <w:tcW w:type="dxa" w:w="1000"/>
            <w:tcMar>
              <w:top w:type="dxa" w:w="60"/>
              <w:left w:type="dxa" w:w="80"/>
              <w:bottom w:type="dxa" w:w="60"/>
              <w:right w:type="dxa" w:w="80"/>
            </w:tcMar>
            <w:vAlign w:val="center"/>
          </w:tcPr>
          <w:p>
            <w:r>
              <w:rPr>
                <w:b w:val="false"/>
                <w:bCs w:val="false"/>
                <w:sz w:val="18"/>
                <w:szCs w:val="18"/>
              </w:rPr>
              <w:t xml:space="preserve">PEG (co-deposited diluent, not a standalone capture chemistry)</w:t>
            </w:r>
          </w:p>
        </w:tc>
        <w:tc>
          <w:tcPr>
            <w:tcW w:type="dxa" w:w="1500"/>
            <w:tcMar>
              <w:top w:type="dxa" w:w="60"/>
              <w:left w:type="dxa" w:w="80"/>
              <w:bottom w:type="dxa" w:w="60"/>
              <w:right w:type="dxa" w:w="80"/>
            </w:tcMar>
            <w:vAlign w:val="center"/>
          </w:tcPr>
          <w:p>
            <w:r>
              <w:rPr>
                <w:b w:val="false"/>
                <w:bCs w:val="false"/>
                <w:sz w:val="18"/>
                <w:szCs w:val="18"/>
              </w:rPr>
              <w:t xml:space="preserve">None on its own — anti-fouling background layer only</w:t>
            </w:r>
          </w:p>
        </w:tc>
        <w:tc>
          <w:tcPr>
            <w:tcW w:type="dxa" w:w="1000"/>
            <w:tcMar>
              <w:top w:type="dxa" w:w="60"/>
              <w:left w:type="dxa" w:w="80"/>
              <w:bottom w:type="dxa" w:w="60"/>
              <w:right w:type="dxa" w:w="80"/>
            </w:tcMar>
            <w:vAlign w:val="center"/>
          </w:tcPr>
          <w:p>
            <w:r>
              <w:rPr>
                <w:b w:val="false"/>
                <w:bCs w:val="false"/>
                <w:sz w:val="18"/>
                <w:szCs w:val="18"/>
              </w:rPr>
              <w:t xml:space="preserve">~1–5 nm depending on MW</w:t>
            </w:r>
          </w:p>
        </w:tc>
        <w:tc>
          <w:tcPr>
            <w:tcW w:type="dxa" w:w="1300"/>
            <w:tcMar>
              <w:top w:type="dxa" w:w="60"/>
              <w:left w:type="dxa" w:w="80"/>
              <w:bottom w:type="dxa" w:w="60"/>
              <w:right w:type="dxa" w:w="80"/>
            </w:tcMar>
            <w:vAlign w:val="center"/>
          </w:tcPr>
          <w:p>
            <w:r>
              <w:rPr>
                <w:b w:val="false"/>
                <w:bCs w:val="false"/>
                <w:sz w:val="18"/>
                <w:szCs w:val="18"/>
              </w:rPr>
              <w:t xml:space="preserve">Reduces raw accessibility somewhat if used as a blanket outer layer; best used as a mixed-SAM diluent alongside a capture ligand rather than alone</w:t>
            </w:r>
          </w:p>
        </w:tc>
        <w:tc>
          <w:tcPr>
            <w:tcW w:type="dxa" w:w="1500"/>
            <w:tcMar>
              <w:top w:type="dxa" w:w="60"/>
              <w:left w:type="dxa" w:w="80"/>
              <w:bottom w:type="dxa" w:w="60"/>
              <w:right w:type="dxa" w:w="80"/>
            </w:tcMar>
            <w:vAlign w:val="center"/>
          </w:tcPr>
          <w:p>
            <w:r>
              <w:rPr>
                <w:b w:val="false"/>
                <w:bCs w:val="false"/>
                <w:sz w:val="18"/>
                <w:szCs w:val="18"/>
              </w:rPr>
              <w:t xml:space="preserve">N/A (passivating brush, not a capture chemistry)</w:t>
            </w:r>
          </w:p>
        </w:tc>
        <w:tc>
          <w:tcPr>
            <w:tcW w:type="dxa" w:w="1400"/>
            <w:tcMar>
              <w:top w:type="dxa" w:w="60"/>
              <w:left w:type="dxa" w:w="80"/>
              <w:bottom w:type="dxa" w:w="60"/>
              <w:right w:type="dxa" w:w="80"/>
            </w:tcMar>
            <w:vAlign w:val="center"/>
          </w:tcPr>
          <w:p>
            <w:r>
              <w:rPr>
                <w:b w:val="false"/>
                <w:bCs w:val="false"/>
                <w:sz w:val="18"/>
                <w:szCs w:val="18"/>
              </w:rPr>
              <w:t xml:space="preserve">N/A</w:t>
            </w:r>
          </w:p>
        </w:tc>
        <w:tc>
          <w:tcPr>
            <w:tcW w:type="dxa" w:w="900"/>
            <w:tcMar>
              <w:top w:type="dxa" w:w="60"/>
              <w:left w:type="dxa" w:w="80"/>
              <w:bottom w:type="dxa" w:w="60"/>
              <w:right w:type="dxa" w:w="80"/>
            </w:tcMar>
            <w:vAlign w:val="center"/>
          </w:tcPr>
          <w:p>
            <w:r>
              <w:rPr>
                <w:b w:val="false"/>
                <w:bCs w:val="false"/>
                <w:sz w:val="18"/>
                <w:szCs w:val="18"/>
              </w:rPr>
              <w:t xml:space="preserve">Excellent (thiol- or silane-anchored)</w:t>
            </w:r>
          </w:p>
        </w:tc>
        <w:tc>
          <w:tcPr>
            <w:tcW w:type="dxa" w:w="900"/>
            <w:tcMar>
              <w:top w:type="dxa" w:w="60"/>
              <w:left w:type="dxa" w:w="80"/>
              <w:bottom w:type="dxa" w:w="60"/>
              <w:right w:type="dxa" w:w="80"/>
            </w:tcMar>
            <w:vAlign w:val="center"/>
          </w:tcPr>
          <w:p>
            <w:r>
              <w:rPr>
                <w:b w:val="false"/>
                <w:bCs w:val="false"/>
                <w:sz w:val="18"/>
                <w:szCs w:val="18"/>
              </w:rPr>
              <w:t xml:space="preserve">N/A</w:t>
            </w:r>
          </w:p>
        </w:tc>
        <w:tc>
          <w:tcPr>
            <w:tcW w:type="dxa" w:w="1500"/>
            <w:tcMar>
              <w:top w:type="dxa" w:w="60"/>
              <w:left w:type="dxa" w:w="80"/>
              <w:bottom w:type="dxa" w:w="60"/>
              <w:right w:type="dxa" w:w="80"/>
            </w:tcMar>
            <w:vAlign w:val="center"/>
          </w:tcPr>
          <w:p>
            <w:r>
              <w:rPr>
                <w:b w:val="false"/>
                <w:bCs w:val="false"/>
                <w:sz w:val="18"/>
                <w:szCs w:val="18"/>
              </w:rPr>
              <w:t xml:space="preserve">Excellent anti-fouling — the leading candidate co-additive for the later blood-matrix stages (Part 9)</w:t>
            </w:r>
          </w:p>
        </w:tc>
      </w:tr>
      <w:tr>
        <w:tc>
          <w:tcPr>
            <w:tcW w:type="dxa" w:w="1000"/>
            <w:tcMar>
              <w:top w:type="dxa" w:w="60"/>
              <w:left w:type="dxa" w:w="80"/>
              <w:bottom w:type="dxa" w:w="60"/>
              <w:right w:type="dxa" w:w="80"/>
            </w:tcMar>
            <w:vAlign w:val="center"/>
          </w:tcPr>
          <w:p>
            <w:r>
              <w:rPr>
                <w:b w:val="false"/>
                <w:bCs w:val="false"/>
                <w:sz w:val="18"/>
                <w:szCs w:val="18"/>
              </w:rPr>
              <w:t xml:space="preserve">Mixed monolayers (e.g., boronic acid + PEG diluent)</w:t>
            </w:r>
          </w:p>
        </w:tc>
        <w:tc>
          <w:tcPr>
            <w:tcW w:type="dxa" w:w="1500"/>
            <w:tcMar>
              <w:top w:type="dxa" w:w="60"/>
              <w:left w:type="dxa" w:w="80"/>
              <w:bottom w:type="dxa" w:w="60"/>
              <w:right w:type="dxa" w:w="80"/>
            </w:tcMar>
            <w:vAlign w:val="center"/>
          </w:tcPr>
          <w:p>
            <w:r>
              <w:rPr>
                <w:b w:val="false"/>
                <w:bCs w:val="false"/>
                <w:sz w:val="18"/>
                <w:szCs w:val="18"/>
              </w:rPr>
              <w:t xml:space="preserve">High for the diol target, with reduced nonspecific background from PEG dilution</w:t>
            </w:r>
          </w:p>
        </w:tc>
        <w:tc>
          <w:tcPr>
            <w:tcW w:type="dxa" w:w="1000"/>
            <w:tcMar>
              <w:top w:type="dxa" w:w="60"/>
              <w:left w:type="dxa" w:w="80"/>
              <w:bottom w:type="dxa" w:w="60"/>
              <w:right w:type="dxa" w:w="80"/>
            </w:tcMar>
            <w:vAlign w:val="center"/>
          </w:tcPr>
          <w:p>
            <w:r>
              <w:rPr>
                <w:b w:val="false"/>
                <w:bCs w:val="false"/>
                <w:sz w:val="18"/>
                <w:szCs w:val="18"/>
              </w:rPr>
              <w:t xml:space="preserve">~1–2 nm (dominated by the shorter, more numerous component)</w:t>
            </w:r>
          </w:p>
        </w:tc>
        <w:tc>
          <w:tcPr>
            <w:tcW w:type="dxa" w:w="1300"/>
            <w:tcMar>
              <w:top w:type="dxa" w:w="60"/>
              <w:left w:type="dxa" w:w="80"/>
              <w:bottom w:type="dxa" w:w="60"/>
              <w:right w:type="dxa" w:w="80"/>
            </w:tcMar>
            <w:vAlign w:val="center"/>
          </w:tcPr>
          <w:p>
            <w:r>
              <w:rPr>
                <w:b w:val="false"/>
                <w:bCs w:val="false"/>
                <w:sz w:val="18"/>
                <w:szCs w:val="18"/>
              </w:rPr>
              <w:t xml:space="preserve">Good — comparable to boronic-acid-alone if ratio is tuned correctly</w:t>
            </w:r>
          </w:p>
        </w:tc>
        <w:tc>
          <w:tcPr>
            <w:tcW w:type="dxa" w:w="1500"/>
            <w:tcMar>
              <w:top w:type="dxa" w:w="60"/>
              <w:left w:type="dxa" w:w="80"/>
              <w:bottom w:type="dxa" w:w="60"/>
              <w:right w:type="dxa" w:w="80"/>
            </w:tcMar>
            <w:vAlign w:val="center"/>
          </w:tcPr>
          <w:p>
            <w:r>
              <w:rPr>
                <w:b w:val="false"/>
                <w:bCs w:val="false"/>
                <w:sz w:val="18"/>
                <w:szCs w:val="18"/>
              </w:rPr>
              <w:t xml:space="preserve">Same reversible boronate chemistry as boronic-acid-alone, with PEG suppressing nonspecific protein adsorption around each capture site</w:t>
            </w:r>
          </w:p>
        </w:tc>
        <w:tc>
          <w:tcPr>
            <w:tcW w:type="dxa" w:w="1400"/>
            <w:tcMar>
              <w:top w:type="dxa" w:w="60"/>
              <w:left w:type="dxa" w:w="80"/>
              <w:bottom w:type="dxa" w:w="60"/>
              <w:right w:type="dxa" w:w="80"/>
            </w:tcMar>
            <w:vAlign w:val="center"/>
          </w:tcPr>
          <w:p>
            <w:r>
              <w:rPr>
                <w:b w:val="false"/>
                <w:bCs w:val="false"/>
                <w:sz w:val="18"/>
                <w:szCs w:val="18"/>
              </w:rPr>
              <w:t xml:space="preserve">STRONG INFERENCE — mixed-SAM strategies (capture ligand + PEG diluent) are a standard, widely published approach in SPR/SERS/electrochemical biosensing generally; not demonstrated for NAM specifically</w:t>
            </w:r>
          </w:p>
        </w:tc>
        <w:tc>
          <w:tcPr>
            <w:tcW w:type="dxa" w:w="900"/>
            <w:tcMar>
              <w:top w:type="dxa" w:w="60"/>
              <w:left w:type="dxa" w:w="80"/>
              <w:bottom w:type="dxa" w:w="60"/>
              <w:right w:type="dxa" w:w="80"/>
            </w:tcMar>
            <w:vAlign w:val="center"/>
          </w:tcPr>
          <w:p>
            <w:r>
              <w:rPr>
                <w:b w:val="false"/>
                <w:bCs w:val="false"/>
                <w:sz w:val="18"/>
                <w:szCs w:val="18"/>
              </w:rPr>
              <w:t xml:space="preserve">Excellent</w:t>
            </w:r>
          </w:p>
        </w:tc>
        <w:tc>
          <w:tcPr>
            <w:tcW w:type="dxa" w:w="900"/>
            <w:tcMar>
              <w:top w:type="dxa" w:w="60"/>
              <w:left w:type="dxa" w:w="80"/>
              <w:bottom w:type="dxa" w:w="60"/>
              <w:right w:type="dxa" w:w="80"/>
            </w:tcMar>
            <w:vAlign w:val="center"/>
          </w:tcPr>
          <w:p>
            <w:r>
              <w:rPr>
                <w:b w:val="false"/>
                <w:bCs w:val="false"/>
                <w:sz w:val="18"/>
                <w:szCs w:val="18"/>
              </w:rPr>
              <w:t xml:space="preserve">Good, same as boronic-acid-alone</w:t>
            </w:r>
          </w:p>
        </w:tc>
        <w:tc>
          <w:tcPr>
            <w:tcW w:type="dxa" w:w="1500"/>
            <w:tcMar>
              <w:top w:type="dxa" w:w="60"/>
              <w:left w:type="dxa" w:w="80"/>
              <w:bottom w:type="dxa" w:w="60"/>
              <w:right w:type="dxa" w:w="80"/>
            </w:tcMar>
            <w:vAlign w:val="center"/>
          </w:tcPr>
          <w:p>
            <w:r>
              <w:rPr>
                <w:b w:val="false"/>
                <w:bCs w:val="false"/>
                <w:sz w:val="18"/>
                <w:szCs w:val="18"/>
              </w:rPr>
              <w:t xml:space="preserve">This report's recommended chemistry for progressing toward blood-matrix stages (Part 9), combining the best-precedented capture mechanism with the best-precedented anti-fouling strategy</w:t>
            </w:r>
          </w:p>
        </w:tc>
      </w:tr>
      <w:tr>
        <w:tc>
          <w:tcPr>
            <w:tcW w:type="dxa" w:w="1000"/>
            <w:tcMar>
              <w:top w:type="dxa" w:w="60"/>
              <w:left w:type="dxa" w:w="80"/>
              <w:bottom w:type="dxa" w:w="60"/>
              <w:right w:type="dxa" w:w="80"/>
            </w:tcMar>
            <w:vAlign w:val="center"/>
          </w:tcPr>
          <w:p>
            <w:r>
              <w:rPr>
                <w:b w:val="false"/>
                <w:bCs w:val="false"/>
                <w:sz w:val="18"/>
                <w:szCs w:val="18"/>
              </w:rPr>
              <w:t xml:space="preserve">Molecularly imprinted polymers (MIP)</w:t>
            </w:r>
          </w:p>
        </w:tc>
        <w:tc>
          <w:tcPr>
            <w:tcW w:type="dxa" w:w="1500"/>
            <w:tcMar>
              <w:top w:type="dxa" w:w="60"/>
              <w:left w:type="dxa" w:w="80"/>
              <w:bottom w:type="dxa" w:w="60"/>
              <w:right w:type="dxa" w:w="80"/>
            </w:tcMar>
            <w:vAlign w:val="center"/>
          </w:tcPr>
          <w:p>
            <w:r>
              <w:rPr>
                <w:b w:val="false"/>
                <w:bCs w:val="false"/>
                <w:sz w:val="18"/>
                <w:szCs w:val="18"/>
              </w:rPr>
              <w:t xml:space="preserve">Potentially very high and selective if imprinted specifically against NAM, but requires a dedicated synthesis campaign</w:t>
            </w:r>
          </w:p>
        </w:tc>
        <w:tc>
          <w:tcPr>
            <w:tcW w:type="dxa" w:w="1000"/>
            <w:tcMar>
              <w:top w:type="dxa" w:w="60"/>
              <w:left w:type="dxa" w:w="80"/>
              <w:bottom w:type="dxa" w:w="60"/>
              <w:right w:type="dxa" w:w="80"/>
            </w:tcMar>
            <w:vAlign w:val="center"/>
          </w:tcPr>
          <w:p>
            <w:r>
              <w:rPr>
                <w:b w:val="false"/>
                <w:bCs w:val="false"/>
                <w:sz w:val="18"/>
                <w:szCs w:val="18"/>
              </w:rPr>
              <w:t xml:space="preserve">Tens of nm and up for conventional bulk MIP films; thin-film/electropolymerized MIPs (demonstrated for Bisphenol A on Ag, Wang et al., Appl. Surf. Sci. 2018) can be engineered thinner</w:t>
            </w:r>
          </w:p>
        </w:tc>
        <w:tc>
          <w:tcPr>
            <w:tcW w:type="dxa" w:w="1300"/>
            <w:tcMar>
              <w:top w:type="dxa" w:w="60"/>
              <w:left w:type="dxa" w:w="80"/>
              <w:bottom w:type="dxa" w:w="60"/>
              <w:right w:type="dxa" w:w="80"/>
            </w:tcMar>
            <w:vAlign w:val="center"/>
          </w:tcPr>
          <w:p>
            <w:r>
              <w:rPr>
                <w:b w:val="false"/>
                <w:bCs w:val="false"/>
                <w:sz w:val="18"/>
                <w:szCs w:val="18"/>
              </w:rPr>
              <w:t xml:space="preserve">Significant for conventional MIPs; the electropolymerized-thin-film approach (DIRECT EVIDENCE for Bisphenol A, not NAM) is the more SERS-compatible MIP strategy if pursued</w:t>
            </w:r>
          </w:p>
        </w:tc>
        <w:tc>
          <w:tcPr>
            <w:tcW w:type="dxa" w:w="1500"/>
            <w:tcMar>
              <w:top w:type="dxa" w:w="60"/>
              <w:left w:type="dxa" w:w="80"/>
              <w:bottom w:type="dxa" w:w="60"/>
              <w:right w:type="dxa" w:w="80"/>
            </w:tcMar>
            <w:vAlign w:val="center"/>
          </w:tcPr>
          <w:p>
            <w:r>
              <w:rPr>
                <w:b w:val="false"/>
                <w:bCs w:val="false"/>
                <w:sz w:val="18"/>
                <w:szCs w:val="18"/>
              </w:rPr>
              <w:t xml:space="preserve">Templated cavity binding — potentially high affinity and long residence time by design</w:t>
            </w:r>
          </w:p>
        </w:tc>
        <w:tc>
          <w:tcPr>
            <w:tcW w:type="dxa" w:w="1400"/>
            <w:tcMar>
              <w:top w:type="dxa" w:w="60"/>
              <w:left w:type="dxa" w:w="80"/>
              <w:bottom w:type="dxa" w:w="60"/>
              <w:right w:type="dxa" w:w="80"/>
            </w:tcMar>
            <w:vAlign w:val="center"/>
          </w:tcPr>
          <w:p>
            <w:r>
              <w:rPr>
                <w:b w:val="false"/>
                <w:bCs w:val="false"/>
                <w:sz w:val="18"/>
                <w:szCs w:val="18"/>
              </w:rPr>
              <w:t xml:space="preserve">STRONG INFERENCE for the general MIP-on-Ag-SERS strategy (Bisphenol A precedent); no NAM-specific MIP located — SPECULATION as to whether an NAM-imprinted polymer has been made or would perform well</w:t>
            </w:r>
          </w:p>
        </w:tc>
        <w:tc>
          <w:tcPr>
            <w:tcW w:type="dxa" w:w="900"/>
            <w:tcMar>
              <w:top w:type="dxa" w:w="60"/>
              <w:left w:type="dxa" w:w="80"/>
              <w:bottom w:type="dxa" w:w="60"/>
              <w:right w:type="dxa" w:w="80"/>
            </w:tcMar>
            <w:vAlign w:val="center"/>
          </w:tcPr>
          <w:p>
            <w:r>
              <w:rPr>
                <w:b w:val="false"/>
                <w:bCs w:val="false"/>
                <w:sz w:val="18"/>
                <w:szCs w:val="18"/>
              </w:rPr>
              <w:t xml:space="preserve">Depends on polymer chemistry; the Ag-nanoparticle-embedded in-situ approach (Wang et al. 2018) is directly compatible</w:t>
            </w:r>
          </w:p>
        </w:tc>
        <w:tc>
          <w:tcPr>
            <w:tcW w:type="dxa" w:w="900"/>
            <w:tcMar>
              <w:top w:type="dxa" w:w="60"/>
              <w:left w:type="dxa" w:w="80"/>
              <w:bottom w:type="dxa" w:w="60"/>
              <w:right w:type="dxa" w:w="80"/>
            </w:tcMar>
            <w:vAlign w:val="center"/>
          </w:tcPr>
          <w:p>
            <w:r>
              <w:rPr>
                <w:b w:val="false"/>
                <w:bCs w:val="false"/>
                <w:sz w:val="18"/>
                <w:szCs w:val="18"/>
              </w:rPr>
              <w:t xml:space="preserve">Reported reusable in the Bisphenol A study (DIRECT EVIDENCE for that system; STRONG INFERENCE if transferred)</w:t>
            </w:r>
          </w:p>
        </w:tc>
        <w:tc>
          <w:tcPr>
            <w:tcW w:type="dxa" w:w="1500"/>
            <w:tcMar>
              <w:top w:type="dxa" w:w="60"/>
              <w:left w:type="dxa" w:w="80"/>
              <w:bottom w:type="dxa" w:w="60"/>
              <w:right w:type="dxa" w:w="80"/>
            </w:tcMar>
            <w:vAlign w:val="center"/>
          </w:tcPr>
          <w:p>
            <w:r>
              <w:rPr>
                <w:b w:val="false"/>
                <w:bCs w:val="false"/>
                <w:sz w:val="18"/>
                <w:szCs w:val="18"/>
              </w:rPr>
              <w:t xml:space="preserve">Selectivity could be excellent, but a NAM-specific MIP does not yet exist and would be a substantial R&amp;D undertaking — not a minimal first step</w:t>
            </w:r>
          </w:p>
        </w:tc>
      </w:tr>
      <w:tr>
        <w:tc>
          <w:tcPr>
            <w:tcW w:type="dxa" w:w="1000"/>
            <w:tcMar>
              <w:top w:type="dxa" w:w="60"/>
              <w:left w:type="dxa" w:w="80"/>
              <w:bottom w:type="dxa" w:w="60"/>
              <w:right w:type="dxa" w:w="80"/>
            </w:tcMar>
            <w:vAlign w:val="center"/>
          </w:tcPr>
          <w:p>
            <w:r>
              <w:rPr>
                <w:b w:val="false"/>
                <w:bCs w:val="false"/>
                <w:sz w:val="18"/>
                <w:szCs w:val="18"/>
              </w:rPr>
              <w:t xml:space="preserve">Cyclodextrins (β-CD, thio-β-CD)</w:t>
            </w:r>
          </w:p>
        </w:tc>
        <w:tc>
          <w:tcPr>
            <w:tcW w:type="dxa" w:w="1500"/>
            <w:tcMar>
              <w:top w:type="dxa" w:w="60"/>
              <w:left w:type="dxa" w:w="80"/>
              <w:bottom w:type="dxa" w:w="60"/>
              <w:right w:type="dxa" w:w="80"/>
            </w:tcMar>
            <w:vAlign w:val="center"/>
          </w:tcPr>
          <w:p>
            <w:r>
              <w:rPr>
                <w:b w:val="false"/>
                <w:bCs w:val="false"/>
                <w:sz w:val="18"/>
                <w:szCs w:val="18"/>
              </w:rPr>
              <w:t xml:space="preserve">Low for NAM specifically — β-CD's capture mechanism is hydrophobic host-guest inclusion (Yuan &amp; Wang, Biosensors 2025, DIRECT EVIDENCE for that mechanism), and NAM is highly hydrophilic (computed LogP ≈ −2.6) with no obvious hydrophobic moiety to insert into the CD cavity</w:t>
            </w:r>
          </w:p>
        </w:tc>
        <w:tc>
          <w:tcPr>
            <w:tcW w:type="dxa" w:w="1000"/>
            <w:tcMar>
              <w:top w:type="dxa" w:w="60"/>
              <w:left w:type="dxa" w:w="80"/>
              <w:bottom w:type="dxa" w:w="60"/>
              <w:right w:type="dxa" w:w="80"/>
            </w:tcMar>
            <w:vAlign w:val="center"/>
          </w:tcPr>
          <w:p>
            <w:r>
              <w:rPr>
                <w:b w:val="false"/>
                <w:bCs w:val="false"/>
                <w:sz w:val="18"/>
                <w:szCs w:val="18"/>
              </w:rPr>
              <w:t xml:space="preserve">~1–2 nm (thio-CD monolayer, comparable to a SAM)</w:t>
            </w:r>
          </w:p>
        </w:tc>
        <w:tc>
          <w:tcPr>
            <w:tcW w:type="dxa" w:w="1300"/>
            <w:tcMar>
              <w:top w:type="dxa" w:w="60"/>
              <w:left w:type="dxa" w:w="80"/>
              <w:bottom w:type="dxa" w:w="60"/>
              <w:right w:type="dxa" w:w="80"/>
            </w:tcMar>
            <w:vAlign w:val="center"/>
          </w:tcPr>
          <w:p>
            <w:r>
              <w:rPr>
                <w:b w:val="false"/>
                <w:bCs w:val="false"/>
                <w:sz w:val="18"/>
                <w:szCs w:val="18"/>
              </w:rPr>
              <w:t xml:space="preserve">Minimal if a monolayer</w:t>
            </w:r>
          </w:p>
        </w:tc>
        <w:tc>
          <w:tcPr>
            <w:tcW w:type="dxa" w:w="1500"/>
            <w:tcMar>
              <w:top w:type="dxa" w:w="60"/>
              <w:left w:type="dxa" w:w="80"/>
              <w:bottom w:type="dxa" w:w="60"/>
              <w:right w:type="dxa" w:w="80"/>
            </w:tcMar>
            <w:vAlign w:val="center"/>
          </w:tcPr>
          <w:p>
            <w:r>
              <w:rPr>
                <w:b w:val="false"/>
                <w:bCs w:val="false"/>
                <w:sz w:val="18"/>
                <w:szCs w:val="18"/>
              </w:rPr>
              <w:t xml:space="preserve">Host-guest inclusion — the mechanism itself is a poor match for NAM's chemistry (see 'interaction' column)</w:t>
            </w:r>
          </w:p>
        </w:tc>
        <w:tc>
          <w:tcPr>
            <w:tcW w:type="dxa" w:w="1400"/>
            <w:tcMar>
              <w:top w:type="dxa" w:w="60"/>
              <w:left w:type="dxa" w:w="80"/>
              <w:bottom w:type="dxa" w:w="60"/>
              <w:right w:type="dxa" w:w="80"/>
            </w:tcMar>
            <w:vAlign w:val="center"/>
          </w:tcPr>
          <w:p>
            <w:r>
              <w:rPr>
                <w:b w:val="false"/>
                <w:bCs w:val="false"/>
                <w:sz w:val="18"/>
                <w:szCs w:val="18"/>
              </w:rPr>
              <w:t xml:space="preserve">DIRECT EVIDENCE that this chemistry works well for hydrophobic analytes (Nile blue/red, bisphenol A, LOD down to 10⁻⁹ M); STRONG INFERENCE (negative) that it is a poor match for a highly hydrophilic analyte like NAM specifically</w:t>
            </w:r>
          </w:p>
        </w:tc>
        <w:tc>
          <w:tcPr>
            <w:tcW w:type="dxa" w:w="900"/>
            <w:tcMar>
              <w:top w:type="dxa" w:w="60"/>
              <w:left w:type="dxa" w:w="80"/>
              <w:bottom w:type="dxa" w:w="60"/>
              <w:right w:type="dxa" w:w="80"/>
            </w:tcMar>
            <w:vAlign w:val="center"/>
          </w:tcPr>
          <w:p>
            <w:r>
              <w:rPr>
                <w:b w:val="false"/>
                <w:bCs w:val="false"/>
                <w:sz w:val="18"/>
                <w:szCs w:val="18"/>
              </w:rPr>
              <w:t xml:space="preserve">Excellent (thiol-Ag, same as boronic acid)</w:t>
            </w:r>
          </w:p>
        </w:tc>
        <w:tc>
          <w:tcPr>
            <w:tcW w:type="dxa" w:w="900"/>
            <w:tcMar>
              <w:top w:type="dxa" w:w="60"/>
              <w:left w:type="dxa" w:w="80"/>
              <w:bottom w:type="dxa" w:w="60"/>
              <w:right w:type="dxa" w:w="80"/>
            </w:tcMar>
            <w:vAlign w:val="center"/>
          </w:tcPr>
          <w:p>
            <w:r>
              <w:rPr>
                <w:b w:val="false"/>
                <w:bCs w:val="false"/>
                <w:sz w:val="18"/>
                <w:szCs w:val="18"/>
              </w:rPr>
              <w:t xml:space="preserve">Unclear/not demonstrated for a hydrophilic analyte</w:t>
            </w:r>
          </w:p>
        </w:tc>
        <w:tc>
          <w:tcPr>
            <w:tcW w:type="dxa" w:w="1500"/>
            <w:tcMar>
              <w:top w:type="dxa" w:w="60"/>
              <w:left w:type="dxa" w:w="80"/>
              <w:bottom w:type="dxa" w:w="60"/>
              <w:right w:type="dxa" w:w="80"/>
            </w:tcMar>
            <w:vAlign w:val="center"/>
          </w:tcPr>
          <w:p>
            <w:r>
              <w:rPr>
                <w:b w:val="false"/>
                <w:bCs w:val="false"/>
                <w:sz w:val="18"/>
                <w:szCs w:val="18"/>
              </w:rPr>
              <w:t xml:space="preserve">Ruled out for NAM specifically on chemical-logic grounds, despite being an excellent general SERS capture strategy for the right (hydrophobic) analyte class — an important negative finding for this project</w:t>
            </w:r>
          </w:p>
        </w:tc>
      </w:tr>
      <w:tr>
        <w:tc>
          <w:tcPr>
            <w:tcW w:type="dxa" w:w="1000"/>
            <w:tcMar>
              <w:top w:type="dxa" w:w="60"/>
              <w:left w:type="dxa" w:w="80"/>
              <w:bottom w:type="dxa" w:w="60"/>
              <w:right w:type="dxa" w:w="80"/>
            </w:tcMar>
            <w:vAlign w:val="center"/>
          </w:tcPr>
          <w:p>
            <w:r>
              <w:rPr>
                <w:b w:val="false"/>
                <w:bCs w:val="false"/>
                <w:sz w:val="18"/>
                <w:szCs w:val="18"/>
              </w:rPr>
              <w:t xml:space="preserve">Metal-organic frameworks (MOFs)</w:t>
            </w:r>
          </w:p>
        </w:tc>
        <w:tc>
          <w:tcPr>
            <w:tcW w:type="dxa" w:w="1500"/>
            <w:tcMar>
              <w:top w:type="dxa" w:w="60"/>
              <w:left w:type="dxa" w:w="80"/>
              <w:bottom w:type="dxa" w:w="60"/>
              <w:right w:type="dxa" w:w="80"/>
            </w:tcMar>
            <w:vAlign w:val="center"/>
          </w:tcPr>
          <w:p>
            <w:r>
              <w:rPr>
                <w:b w:val="false"/>
                <w:bCs w:val="false"/>
                <w:sz w:val="18"/>
                <w:szCs w:val="18"/>
              </w:rPr>
              <w:t xml:space="preserve">Potentially high via pore-based pre-concentration — directly demonstrated for a small, polar, biologically relevant molecule structurally closer to NAM's polarity class than a dye: dopamine (MW 189 Da) on an in-situ Ag/MOF composite (Jiang et al., Anal. Chem. 2015, DIRECT EVIDENCE, ultrasensitive dopamine SERS)</w:t>
            </w:r>
          </w:p>
        </w:tc>
        <w:tc>
          <w:tcPr>
            <w:tcW w:type="dxa" w:w="1000"/>
            <w:tcMar>
              <w:top w:type="dxa" w:w="60"/>
              <w:left w:type="dxa" w:w="80"/>
              <w:bottom w:type="dxa" w:w="60"/>
              <w:right w:type="dxa" w:w="80"/>
            </w:tcMar>
            <w:vAlign w:val="center"/>
          </w:tcPr>
          <w:p>
            <w:r>
              <w:rPr>
                <w:b w:val="false"/>
                <w:bCs w:val="false"/>
                <w:sz w:val="18"/>
                <w:szCs w:val="18"/>
              </w:rPr>
              <w:t xml:space="preserve">Variable — MOF pore/framework thickness is typically tens of nm to more, larger than a SAM</w:t>
            </w:r>
          </w:p>
        </w:tc>
        <w:tc>
          <w:tcPr>
            <w:tcW w:type="dxa" w:w="1300"/>
            <w:tcMar>
              <w:top w:type="dxa" w:w="60"/>
              <w:left w:type="dxa" w:w="80"/>
              <w:bottom w:type="dxa" w:w="60"/>
              <w:right w:type="dxa" w:w="80"/>
            </w:tcMar>
            <w:vAlign w:val="center"/>
          </w:tcPr>
          <w:p>
            <w:r>
              <w:rPr>
                <w:b w:val="false"/>
                <w:bCs w:val="false"/>
                <w:sz w:val="18"/>
                <w:szCs w:val="18"/>
              </w:rPr>
              <w:t xml:space="preserve">Larger than a SAM but the MOF's own porosity is the point — analyte is pre-concentrated into the framework's pores near embedded Ag nanoparticles, rather than simply blocked by a dielectric spacer</w:t>
            </w:r>
          </w:p>
        </w:tc>
        <w:tc>
          <w:tcPr>
            <w:tcW w:type="dxa" w:w="1500"/>
            <w:tcMar>
              <w:top w:type="dxa" w:w="60"/>
              <w:left w:type="dxa" w:w="80"/>
              <w:bottom w:type="dxa" w:w="60"/>
              <w:right w:type="dxa" w:w="80"/>
            </w:tcMar>
            <w:vAlign w:val="center"/>
          </w:tcPr>
          <w:p>
            <w:r>
              <w:rPr>
                <w:b w:val="false"/>
                <w:bCs w:val="false"/>
                <w:sz w:val="18"/>
                <w:szCs w:val="18"/>
              </w:rPr>
              <w:t xml:space="preserve">Pore confinement + framework chemisorption/coordination sites (depending on MOF metal node and functionality) — DIRECT EVIDENCE for enhanced local concentration in the dopamine study, STRONG INFERENCE transferred to NAM given the shared 'small polar analyte' class</w:t>
            </w:r>
          </w:p>
        </w:tc>
        <w:tc>
          <w:tcPr>
            <w:tcW w:type="dxa" w:w="1400"/>
            <w:tcMar>
              <w:top w:type="dxa" w:w="60"/>
              <w:left w:type="dxa" w:w="80"/>
              <w:bottom w:type="dxa" w:w="60"/>
              <w:right w:type="dxa" w:w="80"/>
            </w:tcMar>
            <w:vAlign w:val="center"/>
          </w:tcPr>
          <w:p>
            <w:r>
              <w:rPr>
                <w:b w:val="false"/>
                <w:bCs w:val="false"/>
                <w:sz w:val="18"/>
                <w:szCs w:val="18"/>
              </w:rPr>
              <w:t xml:space="preserve">Reported synthesis is a one-pot in-situ Ag growth on MOF (DIRECT EVIDENCE for the dopamine system)</w:t>
            </w:r>
          </w:p>
        </w:tc>
        <w:tc>
          <w:tcPr>
            <w:tcW w:type="dxa" w:w="900"/>
            <w:tcMar>
              <w:top w:type="dxa" w:w="60"/>
              <w:left w:type="dxa" w:w="80"/>
              <w:bottom w:type="dxa" w:w="60"/>
              <w:right w:type="dxa" w:w="80"/>
            </w:tcMar>
            <w:vAlign w:val="center"/>
          </w:tcPr>
          <w:p>
            <w:r>
              <w:rPr>
                <w:b w:val="false"/>
                <w:bCs w:val="false"/>
                <w:sz w:val="18"/>
                <w:szCs w:val="18"/>
              </w:rPr>
              <w:t xml:space="preserve">Not established for reuse/regeneration in the cited study</w:t>
            </w:r>
          </w:p>
        </w:tc>
        <w:tc>
          <w:tcPr>
            <w:tcW w:type="dxa" w:w="900"/>
            <w:tcMar>
              <w:top w:type="dxa" w:w="60"/>
              <w:left w:type="dxa" w:w="80"/>
              <w:bottom w:type="dxa" w:w="60"/>
              <w:right w:type="dxa" w:w="80"/>
            </w:tcMar>
            <w:vAlign w:val="center"/>
          </w:tcPr>
          <w:p>
            <w:r>
              <w:rPr>
                <w:b w:val="false"/>
                <w:bCs w:val="false"/>
                <w:sz w:val="18"/>
                <w:szCs w:val="18"/>
              </w:rPr>
              <w:t xml:space="preserve">A genuinely promising second-choice option: MOF pre-concentration directly addresses this report's central 'weak residence time' hypothesis by trapping analyte near the metal rather than relying on a single-point capture bond, but MOF/Ag composite fabrication is a larger process change than a simple SAM and was not the smallest-modification choice for Part 5's headline recommendation</w:t>
            </w:r>
          </w:p>
        </w:tc>
      </w:tr>
      <w:tr>
        <w:tc>
          <w:tcPr>
            <w:tcW w:type="dxa" w:w="1000"/>
            <w:tcMar>
              <w:top w:type="dxa" w:w="60"/>
              <w:left w:type="dxa" w:w="80"/>
              <w:bottom w:type="dxa" w:w="60"/>
              <w:right w:type="dxa" w:w="80"/>
            </w:tcMar>
            <w:vAlign w:val="center"/>
          </w:tcPr>
          <w:p>
            <w:r>
              <w:rPr>
                <w:b w:val="false"/>
                <w:bCs w:val="false"/>
                <w:sz w:val="18"/>
                <w:szCs w:val="18"/>
              </w:rPr>
              <w:t xml:space="preserve">Hydrogels</w:t>
            </w:r>
          </w:p>
        </w:tc>
        <w:tc>
          <w:tcPr>
            <w:tcW w:type="dxa" w:w="1500"/>
            <w:tcMar>
              <w:top w:type="dxa" w:w="60"/>
              <w:left w:type="dxa" w:w="80"/>
              <w:bottom w:type="dxa" w:w="60"/>
              <w:right w:type="dxa" w:w="80"/>
            </w:tcMar>
            <w:vAlign w:val="center"/>
          </w:tcPr>
          <w:p>
            <w:r>
              <w:rPr>
                <w:b w:val="false"/>
                <w:bCs w:val="false"/>
                <w:sz w:val="18"/>
                <w:szCs w:val="18"/>
              </w:rPr>
              <w:t xml:space="preserve">Low-moderate as a standalone SERS capture layer — hydrogels are generally used as size-selective/anti-fouling permeable barriers rather than analyte-specific capture chemistries</w:t>
            </w:r>
          </w:p>
        </w:tc>
        <w:tc>
          <w:tcPr>
            <w:tcW w:type="dxa" w:w="1000"/>
            <w:tcMar>
              <w:top w:type="dxa" w:w="60"/>
              <w:left w:type="dxa" w:w="80"/>
              <w:bottom w:type="dxa" w:w="60"/>
              <w:right w:type="dxa" w:w="80"/>
            </w:tcMar>
            <w:vAlign w:val="center"/>
          </w:tcPr>
          <w:p>
            <w:r>
              <w:rPr>
                <w:b w:val="false"/>
                <w:bCs w:val="false"/>
                <w:sz w:val="18"/>
                <w:szCs w:val="18"/>
              </w:rPr>
              <w:t xml:space="preserve">Tens to hundreds of nm — far thicker than the SERS near-field decay length</w:t>
            </w:r>
          </w:p>
        </w:tc>
        <w:tc>
          <w:tcPr>
            <w:tcW w:type="dxa" w:w="1300"/>
            <w:tcMar>
              <w:top w:type="dxa" w:w="60"/>
              <w:left w:type="dxa" w:w="80"/>
              <w:bottom w:type="dxa" w:w="60"/>
              <w:right w:type="dxa" w:w="80"/>
            </w:tcMar>
            <w:vAlign w:val="center"/>
          </w:tcPr>
          <w:p>
            <w:r>
              <w:rPr>
                <w:b w:val="false"/>
                <w:bCs w:val="false"/>
                <w:sz w:val="18"/>
                <w:szCs w:val="18"/>
              </w:rPr>
              <w:t xml:space="preserve">Severe — a hydrogel coating thick enough to be useful as a protein-exclusion barrier would be expected to strongly suppress the near-field signal from anything embedded deep within it, unless engineered as an ultrathin (&lt;5 nm) film</w:t>
            </w:r>
          </w:p>
        </w:tc>
        <w:tc>
          <w:tcPr>
            <w:tcW w:type="dxa" w:w="1500"/>
            <w:tcMar>
              <w:top w:type="dxa" w:w="60"/>
              <w:left w:type="dxa" w:w="80"/>
              <w:bottom w:type="dxa" w:w="60"/>
              <w:right w:type="dxa" w:w="80"/>
            </w:tcMar>
            <w:vAlign w:val="center"/>
          </w:tcPr>
          <w:p>
            <w:r>
              <w:rPr>
                <w:b w:val="false"/>
                <w:bCs w:val="false"/>
                <w:sz w:val="18"/>
                <w:szCs w:val="18"/>
              </w:rPr>
              <w:t xml:space="preserve">Physical entrapment/size exclusion, not a specific chemical bond to NAM</w:t>
            </w:r>
          </w:p>
        </w:tc>
        <w:tc>
          <w:tcPr>
            <w:tcW w:type="dxa" w:w="1400"/>
            <w:tcMar>
              <w:top w:type="dxa" w:w="60"/>
              <w:left w:type="dxa" w:w="80"/>
              <w:bottom w:type="dxa" w:w="60"/>
              <w:right w:type="dxa" w:w="80"/>
            </w:tcMar>
            <w:vAlign w:val="center"/>
          </w:tcPr>
          <w:p>
            <w:r>
              <w:rPr>
                <w:b w:val="false"/>
                <w:bCs w:val="false"/>
                <w:sz w:val="18"/>
                <w:szCs w:val="18"/>
              </w:rPr>
              <w:t xml:space="preserve">ENGINEERING HYPOTHESIS — general hydrogel biosensing literature exists broadly (not surveyed in SERS-specific depth in this pass)</w:t>
            </w:r>
          </w:p>
        </w:tc>
        <w:tc>
          <w:tcPr>
            <w:tcW w:type="dxa" w:w="900"/>
            <w:tcMar>
              <w:top w:type="dxa" w:w="60"/>
              <w:left w:type="dxa" w:w="80"/>
              <w:bottom w:type="dxa" w:w="60"/>
              <w:right w:type="dxa" w:w="80"/>
            </w:tcMar>
            <w:vAlign w:val="center"/>
          </w:tcPr>
          <w:p>
            <w:r>
              <w:rPr>
                <w:b w:val="false"/>
                <w:bCs w:val="false"/>
                <w:sz w:val="18"/>
                <w:szCs w:val="18"/>
              </w:rPr>
              <w:t xml:space="preserve">Generally good aqueous compatibility with Ag</w:t>
            </w:r>
          </w:p>
        </w:tc>
        <w:tc>
          <w:tcPr>
            <w:tcW w:type="dxa" w:w="900"/>
            <w:tcMar>
              <w:top w:type="dxa" w:w="60"/>
              <w:left w:type="dxa" w:w="80"/>
              <w:bottom w:type="dxa" w:w="60"/>
              <w:right w:type="dxa" w:w="80"/>
            </w:tcMar>
            <w:vAlign w:val="center"/>
          </w:tcPr>
          <w:p>
            <w:r>
              <w:rPr>
                <w:b w:val="false"/>
                <w:bCs w:val="false"/>
                <w:sz w:val="18"/>
                <w:szCs w:val="18"/>
              </w:rPr>
              <w:t xml:space="preserve">Can be engineered for reversible swelling/deswelling in principle</w:t>
            </w:r>
          </w:p>
        </w:tc>
        <w:tc>
          <w:tcPr>
            <w:tcW w:type="dxa" w:w="1500"/>
            <w:tcMar>
              <w:top w:type="dxa" w:w="60"/>
              <w:left w:type="dxa" w:w="80"/>
              <w:bottom w:type="dxa" w:w="60"/>
              <w:right w:type="dxa" w:w="80"/>
            </w:tcMar>
            <w:vAlign w:val="center"/>
          </w:tcPr>
          <w:p>
            <w:r>
              <w:rPr>
                <w:b w:val="false"/>
                <w:bCs w:val="false"/>
                <w:sz w:val="18"/>
                <w:szCs w:val="18"/>
              </w:rPr>
              <w:t xml:space="preserve">Most useful, if at all, as an outer protein-exclusion membrane over a boronic-acid/PEG SAM for the later blood-matrix stages (Part 9) rather than as the primary NAM capture chemistry — a layered-architecture idea, not a replacement for the SAM</w:t>
            </w:r>
          </w:p>
        </w:tc>
      </w:tr>
    </w:tbl>
    <w:p>
      <w:pPr>
        <w:pStyle w:val="Heading2"/>
        <w:spacing w:after="160" w:before="300"/>
      </w:pPr>
      <w:r>
        <w:t xml:space="preserve">Ranking (highest to lowest recommended priority for NAM)</w:t>
      </w:r>
    </w:p>
    <w:p>
      <w:pPr>
        <w:pStyle w:val="ListParagraph"/>
        <w:numPr>
          <w:ilvl w:val="0"/>
          <w:numId w:val="1"/>
        </w:numPr>
        <w:spacing w:after="100"/>
      </w:pPr>
      <w:r>
        <w:t xml:space="preserve">1. Mixed boronic-acid/PEG SAM — best-precedented capture mechanism (glucose) plus the best-precedented anti-fouling strategy, thinnest chemistry-bearing option, reversible/regenerable. STRONG INFERENCE.</w:t>
      </w:r>
    </w:p>
    <w:p>
      <w:pPr>
        <w:pStyle w:val="ListParagraph"/>
        <w:numPr>
          <w:ilvl w:val="0"/>
          <w:numId w:val="1"/>
        </w:numPr>
        <w:spacing w:after="100"/>
      </w:pPr>
      <w:r>
        <w:t xml:space="preserve">2. Boronic-acid SAM alone — as the minimal first modification once bare Ag is shown to fail (unchanged from the prior report's Part 6 recommendation), before adding PEG dilution for later blood-matrix stages. STRONG INFERENCE.</w:t>
      </w:r>
    </w:p>
    <w:p>
      <w:pPr>
        <w:pStyle w:val="ListParagraph"/>
        <w:numPr>
          <w:ilvl w:val="0"/>
          <w:numId w:val="1"/>
        </w:numPr>
        <w:spacing w:after="100"/>
      </w:pPr>
      <w:r>
        <w:t xml:space="preserve">3. Ag/MOF pre-concentration architecture — a genuinely strong second-choice option addressing the residence-time problem directly, justified by the dopamine precedent, but a larger fabrication change. STRONG INFERENCE.</w:t>
      </w:r>
    </w:p>
    <w:p>
      <w:pPr>
        <w:pStyle w:val="ListParagraph"/>
        <w:numPr>
          <w:ilvl w:val="0"/>
          <w:numId w:val="1"/>
        </w:numPr>
        <w:spacing w:after="100"/>
      </w:pPr>
      <w:r>
        <w:t xml:space="preserve">4. NAM-imprinted MIP — highest theoretical selectivity, but does not yet exist for NAM and is the largest R&amp;D undertaking of the options considered. SPECULATION as to feasibility/performance until synthesized.</w:t>
      </w:r>
    </w:p>
    <w:p>
      <w:pPr>
        <w:pStyle w:val="ListParagraph"/>
        <w:numPr>
          <w:ilvl w:val="0"/>
          <w:numId w:val="1"/>
        </w:numPr>
        <w:spacing w:after="100"/>
      </w:pPr>
      <w:r>
        <w:t xml:space="preserve">5. Cyclodextrin chemistry — explicitly de-prioritized for NAM specifically (chemistry mismatch: hydrophobic host, hydrophilic guest), despite being an excellent choice for other analyte classes. STRONG INFERENCE (negative finding).</w:t>
      </w:r>
    </w:p>
    <w:p>
      <w:pPr>
        <w:pStyle w:val="ListParagraph"/>
        <w:numPr>
          <w:ilvl w:val="0"/>
          <w:numId w:val="1"/>
        </w:numPr>
        <w:spacing w:after="100"/>
      </w:pPr>
      <w:r>
        <w:t xml:space="preserve">6. Polydopamine, APTES, hydrogel alone — retained only as components of a layered architecture (e.g., PDA as an adhesion layer, hydrogel as an outer anti-fouling membrane) rather than as primary NAM capture chemistries. ENGINEERING HYPOTHESIS.</w:t>
      </w:r>
    </w:p>
    <w:p>
      <w:pPr>
        <w:pStyle w:val="Heading1"/>
        <w:spacing w:after="200" w:before="400"/>
      </w:pPr>
      <w:r>
        <w:t xml:space="preserve">Part 6 — Simulation Campaign to Run Before Fabrication</w:t>
      </w:r>
    </w:p>
    <w:p>
      <w:pPr>
        <w:pStyle w:val="Heading3"/>
        <w:spacing w:after="120" w:before="240"/>
      </w:pPr>
      <w:r>
        <w:t xml:space="preserve">DFT (density functional theory)</w:t>
      </w:r>
    </w:p>
    <w:p>
      <w:pPr>
        <w:spacing w:after="160"/>
      </w:pPr>
      <w:r>
        <w:t xml:space="preserve">Question it answers: What NAM conformation and charge distribution is most stable in solution and near a metal surface; which functional group binds Ag/Au most strongly and in what geometry; predicted vibrational (Raman) spectrum and mode assignments; predicted SERS surface-selection-rule intensity pattern for the most likely adsorption geometry.</w:t>
      </w:r>
    </w:p>
    <w:p>
      <w:pPr>
        <w:spacing w:after="160"/>
      </w:pPr>
      <w:r>
        <w:t xml:space="preserve">Required inputs: NAM's optimized 3-D structure (starting point: the SMILES-derived structure used in Part 1); a level of theory/basis set appropriate for a ~20-heavy-atom organic molecule with a metal-surface interaction (e.g., a hybrid functional such as B3LYP or a dispersion-corrected functional, with a cluster or periodic-slab model of the Ag surface); solvent model (implicit or explicit water) given NAM's high polarity.</w:t>
      </w:r>
    </w:p>
    <w:p>
      <w:pPr>
        <w:spacing w:after="160"/>
      </w:pPr>
      <w:r>
        <w:t xml:space="preserve">Experimental validation: Compare the DFT-predicted normal Raman spectrum against an experimentally measured normal (non-SERS) Raman spectrum of solid or concentrated-solution NAM — a measurement that itself does not appear to exist yet in the literature and should be the very first wet-lab step, before any SERS work, so that the DFT model has a real spectrum to validate against.</w:t>
      </w:r>
    </w:p>
    <w:p>
      <w:pPr>
        <w:pStyle w:val="Heading3"/>
        <w:spacing w:after="120" w:before="240"/>
      </w:pPr>
      <w:r>
        <w:t xml:space="preserve">Molecular dynamics (MD)</w:t>
      </w:r>
    </w:p>
    <w:p>
      <w:pPr>
        <w:spacing w:after="160"/>
      </w:pPr>
      <w:r>
        <w:t xml:space="preserve">Question it answers: How does NAM behave in the immediate vicinity of a functionalized Ag surface over time — does it stay bound to a boronic-acid ligand, what is its residence time distribution, how does the hydration shell rearrange near the surface, and does the predicted anionic carboxylate change the local water structure/ion distribution in a way that affects approach kinetics?</w:t>
      </w:r>
    </w:p>
    <w:p>
      <w:pPr>
        <w:spacing w:after="160"/>
      </w:pPr>
      <w:r>
        <w:t xml:space="preserve">Required inputs: A force field capable of representing NAM (parameterized from a general organic/carbohydrate force field family), an explicit water model, an approximate Ag-surface or Ag-slab representation (often via a Lennard-Jones-type nonbonded metal potential in classical MD, since full quantum treatment of the metal is impractical at MD timescales), and the boronic-acid ligand structure if simulating the functionalized case.</w:t>
      </w:r>
    </w:p>
    <w:p>
      <w:pPr>
        <w:spacing w:after="160"/>
      </w:pPr>
      <w:r>
        <w:t xml:space="preserve">Experimental validation: Compare simulated residence times/binding free energies (from, e.g., umbrella sampling or metadynamics) against experimentally measured surface coverage/SERS intensity trends as a function of NAM concentration and incubation time on the real functionalized substrate.</w:t>
      </w:r>
    </w:p>
    <w:p>
      <w:pPr>
        <w:pStyle w:val="Heading3"/>
        <w:spacing w:after="120" w:before="240"/>
      </w:pPr>
      <w:r>
        <w:t xml:space="preserve">FDTD / FEM electromagnetic simulation (e.g., using a COMSOL RF/Wave-Optics module or an open FDTD package)</w:t>
      </w:r>
    </w:p>
    <w:p>
      <w:pPr>
        <w:spacing w:after="160"/>
      </w:pPr>
      <w:r>
        <w:t xml:space="preserve">Question it answers: What is the actual |E|⁴ field enhancement distribution for the specific chosen geometry (nanowire array with tip/sidewall Ag nanoparticles of the sizes and gaps proposed in Part 3), at the actual candidate excitation wavelengths (532, 633, 785 nm); where exactly does the peak field sit relative to the accessible volume a hydrated NAM molecule (plus ligand layer) could occupy; what is the effective 'analyte-accessible enhancement,' i.e., the enhancement averaged only over the volume NAM can physically reach, rather than the peak enhancement at the theoretical (inaccessible) point contact.</w:t>
      </w:r>
    </w:p>
    <w:p>
      <w:pPr>
        <w:spacing w:after="160"/>
      </w:pPr>
      <w:r>
        <w:t xml:space="preserve">Required inputs: Measured or SEM/TEM-derived nanoparticle size/shape/gap distributions (not idealized spheres) from the actual fabricated substrate; the complex refractive index of Ag (and of Si) at the wavelengths of interest; the ligand layer's approximate dielectric properties and thickness if included.</w:t>
      </w:r>
    </w:p>
    <w:p>
      <w:pPr>
        <w:spacing w:after="160"/>
      </w:pPr>
      <w:r>
        <w:t xml:space="preserve">Experimental validation: Compare simulated far-field SERS enhancement (integrated appropriately over the simulated near-field and a model Raman polarizability) against the experimentally measured EF from the R6G validation stage (prior report's Part 8, Stage 1) on the same fabricated geometry — this is the correct, standard SERS-EF validation loop and should be run before attempting to predict NAM-specific performance from simulation alone.</w:t>
      </w:r>
    </w:p>
    <w:p>
      <w:pPr>
        <w:pStyle w:val="Heading3"/>
        <w:spacing w:after="120" w:before="240"/>
      </w:pPr>
      <w:r>
        <w:t xml:space="preserve">Monte Carlo diffusion / transport simulation</w:t>
      </w:r>
    </w:p>
    <w:p>
      <w:pPr>
        <w:spacing w:after="160"/>
      </w:pPr>
      <w:r>
        <w:t xml:space="preserve">Question it answers: Given the droplet volume, evaporation rate, and nanostructure geometry, what fraction of the total NAM molecules deposited actually end up within the analyte-accessible high-field volume identified by the FDTD step, versus lost to the coffee-ring periphery, un-infiltrated regions of the forest, or simply too far from any metal surface to contribute signal?</w:t>
      </w:r>
    </w:p>
    <w:p>
      <w:pPr>
        <w:spacing w:after="160"/>
      </w:pPr>
      <w:r>
        <w:t xml:space="preserve">Required inputs: Droplet volume/contact-angle/evaporation-rate parameters (measurable via contact-angle goniometry on the real substrate, Part 7 of the prior report); the nanostructure's void fraction/porosity; a diffusion coefficient for NAM (Part 1).</w:t>
      </w:r>
    </w:p>
    <w:p>
      <w:pPr>
        <w:spacing w:after="160"/>
      </w:pPr>
      <w:r>
        <w:t xml:space="preserve">Experimental validation: Compare the predicted spatial distribution of dried analyte (e.g., ring width, center-vs-edge deposition ratio) against a Raman-mapping experiment across a dried NAM spot on the real substrate — directly testable and directly informs whether coffee-ring suppression or exploitation (Part 4) is the better strategy.</w:t>
      </w:r>
    </w:p>
    <w:p>
      <w:pPr>
        <w:spacing w:after="160"/>
      </w:pPr>
      <w:r>
        <w:t xml:space="preserve">Recommended order: DFT first (cheapest, and produces the reference spectrum needed to even recognize an NAM SERS signal when one appears), then FDTD/FEM on the as-fabricated geometry (validates against the already-planned R6G experiment), then Monte Carlo transport (informs drop-casting vs. alternative delivery, Part 8), with MD reserved for once a specific capture chemistry is chosen and residence time becomes the key open question — MD is the most computationally expensive and most narrowly scoped of the four. ENGINEERING HYPOTHESIS (this report's own prioritization, not a published simulation roadmap for NAM).</w:t>
      </w:r>
    </w:p>
    <w:p>
      <w:pPr>
        <w:pStyle w:val="Heading1"/>
        <w:spacing w:after="200" w:before="400"/>
      </w:pPr>
      <w:r>
        <w:t xml:space="preserve">Part 7 — Sensor Architecture</w:t>
      </w:r>
    </w:p>
    <w:p>
      <w:pPr>
        <w:spacing w:after="160"/>
      </w:pPr>
      <w:r>
        <w:t xml:space="preserve">Candidate architectures, evaluated against the Part 2/3 design target (2–8 nm accessible gaps, sufficient hotspot density, and mechanical robustness):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tblHeader/>
        </w:trPr>
        <w:tc>
          <w:tcPr>
            <w:tcW w:type="dxa" w:w="2600"/>
            <w:shd w:fill="1F3864" w:val="clear"/>
            <w:tcMar>
              <w:top w:type="dxa" w:w="60"/>
              <w:left w:type="dxa" w:w="80"/>
              <w:bottom w:type="dxa" w:w="60"/>
              <w:right w:type="dxa" w:w="80"/>
            </w:tcMar>
            <w:vAlign w:val="center"/>
          </w:tcPr>
          <w:p>
            <w:r>
              <w:rPr>
                <w:b/>
                <w:bCs/>
                <w:color w:val="FFFFFF"/>
                <w:sz w:val="18"/>
                <w:szCs w:val="18"/>
              </w:rPr>
              <w:t xml:space="preserve">Architecture</w:t>
            </w:r>
          </w:p>
        </w:tc>
        <w:tc>
          <w:tcPr>
            <w:tcW w:type="dxa" w:w="8200"/>
            <w:shd w:fill="1F3864" w:val="clear"/>
            <w:tcMar>
              <w:top w:type="dxa" w:w="60"/>
              <w:left w:type="dxa" w:w="80"/>
              <w:bottom w:type="dxa" w:w="60"/>
              <w:right w:type="dxa" w:w="80"/>
            </w:tcMar>
            <w:vAlign w:val="center"/>
          </w:tcPr>
          <w:p>
            <w:r>
              <w:rPr>
                <w:b/>
                <w:bCs/>
                <w:color w:val="FFFFFF"/>
                <w:sz w:val="18"/>
                <w:szCs w:val="18"/>
              </w:rPr>
              <w:t xml:space="preserve">Assessment for NAM</w:t>
            </w:r>
          </w:p>
        </w:tc>
      </w:tr>
      <w:tr>
        <w:tc>
          <w:tcPr>
            <w:tcW w:type="dxa" w:w="2600"/>
            <w:tcMar>
              <w:top w:type="dxa" w:w="60"/>
              <w:left w:type="dxa" w:w="80"/>
              <w:bottom w:type="dxa" w:w="60"/>
              <w:right w:type="dxa" w:w="80"/>
            </w:tcMar>
            <w:vAlign w:val="center"/>
          </w:tcPr>
          <w:p>
            <w:r>
              <w:rPr>
                <w:b w:val="false"/>
                <w:bCs w:val="false"/>
                <w:sz w:val="18"/>
                <w:szCs w:val="18"/>
              </w:rPr>
              <w:t xml:space="preserve">Ag nanoparticles on nanowires (recommended base, Bai et al. 2019)</w:t>
            </w:r>
          </w:p>
        </w:tc>
        <w:tc>
          <w:tcPr>
            <w:tcW w:type="dxa" w:w="8200"/>
            <w:tcMar>
              <w:top w:type="dxa" w:w="60"/>
              <w:left w:type="dxa" w:w="80"/>
              <w:bottom w:type="dxa" w:w="60"/>
              <w:right w:type="dxa" w:w="80"/>
            </w:tcMar>
            <w:vAlign w:val="center"/>
          </w:tcPr>
          <w:p>
            <w:r>
              <w:rPr>
                <w:b w:val="false"/>
                <w:bCs w:val="false"/>
                <w:sz w:val="18"/>
                <w:szCs w:val="18"/>
              </w:rPr>
              <w:t xml:space="preserve">Directly reproduces a DIRECT EVIDENCE, high-EF, mechanically-precedented geometry; tip-concentrated Ag particles with tens-of-nm-scale gaps to sidewall particles are in a size regime STRONG INFERENCE-compatible with NAM access (Part 2). Recommended starting architecture, unchanged from the prior report.</w:t>
            </w:r>
          </w:p>
        </w:tc>
      </w:tr>
      <w:tr>
        <w:tc>
          <w:tcPr>
            <w:tcW w:type="dxa" w:w="2600"/>
            <w:tcMar>
              <w:top w:type="dxa" w:w="60"/>
              <w:left w:type="dxa" w:w="80"/>
              <w:bottom w:type="dxa" w:w="60"/>
              <w:right w:type="dxa" w:w="80"/>
            </w:tcMar>
            <w:vAlign w:val="center"/>
          </w:tcPr>
          <w:p>
            <w:r>
              <w:rPr>
                <w:b w:val="false"/>
                <w:bCs w:val="false"/>
                <w:sz w:val="18"/>
                <w:szCs w:val="18"/>
              </w:rPr>
              <w:t xml:space="preserve">Ag on nanopillars (lithographically defined, more uniform than MACE nanowires)</w:t>
            </w:r>
          </w:p>
        </w:tc>
        <w:tc>
          <w:tcPr>
            <w:tcW w:type="dxa" w:w="8200"/>
            <w:tcMar>
              <w:top w:type="dxa" w:w="60"/>
              <w:left w:type="dxa" w:w="80"/>
              <w:bottom w:type="dxa" w:w="60"/>
              <w:right w:type="dxa" w:w="80"/>
            </w:tcMar>
            <w:vAlign w:val="center"/>
          </w:tcPr>
          <w:p>
            <w:r>
              <w:rPr>
                <w:b w:val="false"/>
                <w:bCs w:val="false"/>
                <w:sz w:val="18"/>
                <w:szCs w:val="18"/>
              </w:rPr>
              <w:t xml:space="preserve">Offers more deterministic gap control (useful for the FDTD-guided optimization in Part 6) but requires a lithography step the base MACE process avoids — a larger process change than 'minimal modification' calls for. ENGINEERING HYPOTHESIS: reserve as a Part-9-style fallback if MACE-derived gap control proves too irreproducible.</w:t>
            </w:r>
          </w:p>
        </w:tc>
      </w:tr>
      <w:tr>
        <w:tc>
          <w:tcPr>
            <w:tcW w:type="dxa" w:w="2600"/>
            <w:tcMar>
              <w:top w:type="dxa" w:w="60"/>
              <w:left w:type="dxa" w:w="80"/>
              <w:bottom w:type="dxa" w:w="60"/>
              <w:right w:type="dxa" w:w="80"/>
            </w:tcMar>
            <w:vAlign w:val="center"/>
          </w:tcPr>
          <w:p>
            <w:r>
              <w:rPr>
                <w:b w:val="false"/>
                <w:bCs w:val="false"/>
                <w:sz w:val="18"/>
                <w:szCs w:val="18"/>
              </w:rPr>
              <w:t xml:space="preserve">Ag inside pores (e.g., mesoporous Si infiltrated with Ag)</w:t>
            </w:r>
          </w:p>
        </w:tc>
        <w:tc>
          <w:tcPr>
            <w:tcW w:type="dxa" w:w="8200"/>
            <w:tcMar>
              <w:top w:type="dxa" w:w="60"/>
              <w:left w:type="dxa" w:w="80"/>
              <w:bottom w:type="dxa" w:w="60"/>
              <w:right w:type="dxa" w:w="80"/>
            </w:tcMar>
            <w:vAlign w:val="center"/>
          </w:tcPr>
          <w:p>
            <w:r>
              <w:rPr>
                <w:b w:val="false"/>
                <w:bCs w:val="false"/>
                <w:sz w:val="18"/>
                <w:szCs w:val="18"/>
              </w:rPr>
              <w:t xml:space="preserve">Risk, per Part 2.1, that the smallest pores in this class of structure may sterically restrict hydrated NAM plus any capture-ligand layer; also the hardest geometry to characterize (SEM/TEM access to pore interiors is limited). Not recommended as a first choice.</w:t>
            </w:r>
          </w:p>
        </w:tc>
      </w:tr>
      <w:tr>
        <w:tc>
          <w:tcPr>
            <w:tcW w:type="dxa" w:w="2600"/>
            <w:tcMar>
              <w:top w:type="dxa" w:w="60"/>
              <w:left w:type="dxa" w:w="80"/>
              <w:bottom w:type="dxa" w:w="60"/>
              <w:right w:type="dxa" w:w="80"/>
            </w:tcMar>
            <w:vAlign w:val="center"/>
          </w:tcPr>
          <w:p>
            <w:r>
              <w:rPr>
                <w:b w:val="false"/>
                <w:bCs w:val="false"/>
                <w:sz w:val="18"/>
                <w:szCs w:val="18"/>
              </w:rPr>
              <w:t xml:space="preserve">Ag on pore walls (larger, DBR-microcavity-style pores, Hoang et al. 2025)</w:t>
            </w:r>
          </w:p>
        </w:tc>
        <w:tc>
          <w:tcPr>
            <w:tcW w:type="dxa" w:w="8200"/>
            <w:tcMar>
              <w:top w:type="dxa" w:w="60"/>
              <w:left w:type="dxa" w:w="80"/>
              <w:bottom w:type="dxa" w:w="60"/>
              <w:right w:type="dxa" w:w="80"/>
            </w:tcMar>
            <w:vAlign w:val="center"/>
          </w:tcPr>
          <w:p>
            <w:r>
              <w:rPr>
                <w:b w:val="false"/>
                <w:bCs w:val="false"/>
                <w:sz w:val="18"/>
                <w:szCs w:val="18"/>
              </w:rPr>
              <w:t xml:space="preserve">Highest verified EF in the surveyed literature (~10¹¹) but for a photonic-resonance-tuned architecture demonstrated on a dye and a pesticide, not a carbohydrate; adapting it is a bigger process change. Strong second-choice architecture if the nanowire route under-performs (consistent with the prior report's Part 9 decision tree, Step 5).</w:t>
            </w:r>
          </w:p>
        </w:tc>
      </w:tr>
      <w:tr>
        <w:tc>
          <w:tcPr>
            <w:tcW w:type="dxa" w:w="2600"/>
            <w:tcMar>
              <w:top w:type="dxa" w:w="60"/>
              <w:left w:type="dxa" w:w="80"/>
              <w:bottom w:type="dxa" w:w="60"/>
              <w:right w:type="dxa" w:w="80"/>
            </w:tcMar>
            <w:vAlign w:val="center"/>
          </w:tcPr>
          <w:p>
            <w:r>
              <w:rPr>
                <w:b w:val="false"/>
                <w:bCs w:val="false"/>
                <w:sz w:val="18"/>
                <w:szCs w:val="18"/>
              </w:rPr>
              <w:t xml:space="preserve">Ag clusters at wire tips only (deliberately sparse tip-only decoration, vs. tip+sidewall)</w:t>
            </w:r>
          </w:p>
        </w:tc>
        <w:tc>
          <w:tcPr>
            <w:tcW w:type="dxa" w:w="8200"/>
            <w:tcMar>
              <w:top w:type="dxa" w:w="60"/>
              <w:left w:type="dxa" w:w="80"/>
              <w:bottom w:type="dxa" w:w="60"/>
              <w:right w:type="dxa" w:w="80"/>
            </w:tcMar>
            <w:vAlign w:val="center"/>
          </w:tcPr>
          <w:p>
            <w:r>
              <w:rPr>
                <w:b w:val="false"/>
                <w:bCs w:val="false"/>
                <w:sz w:val="18"/>
                <w:szCs w:val="18"/>
              </w:rPr>
              <w:t xml:space="preserve">A deliberate sub-case of the recommended base architecture: since Bai et al. (2019) already report tip particles ~4× larger (and, by extension, likely higher local field) than sidewall particles, tuning the photonic-reduction step to favor tip growth could concentrate hotspots at the most optically/diffusionally accessible part of the structure (the top of the forest, first-contacted by a drying droplet). ENGINEERING HYPOTHESIS — an optimization variant of the base recipe, not a new architecture, and a low-risk first experiment (Part 9's UV-time tuning knob).</w:t>
            </w:r>
          </w:p>
        </w:tc>
      </w:tr>
      <w:tr>
        <w:tc>
          <w:tcPr>
            <w:tcW w:type="dxa" w:w="2600"/>
            <w:tcMar>
              <w:top w:type="dxa" w:w="60"/>
              <w:left w:type="dxa" w:w="80"/>
              <w:bottom w:type="dxa" w:w="60"/>
              <w:right w:type="dxa" w:w="80"/>
            </w:tcMar>
            <w:vAlign w:val="center"/>
          </w:tcPr>
          <w:p>
            <w:r>
              <w:rPr>
                <w:b w:val="false"/>
                <w:bCs w:val="false"/>
                <w:sz w:val="18"/>
                <w:szCs w:val="18"/>
              </w:rPr>
              <w:t xml:space="preserve">Hybrid Ag/Au</w:t>
            </w:r>
          </w:p>
        </w:tc>
        <w:tc>
          <w:tcPr>
            <w:tcW w:type="dxa" w:w="8200"/>
            <w:tcMar>
              <w:top w:type="dxa" w:w="60"/>
              <w:left w:type="dxa" w:w="80"/>
              <w:bottom w:type="dxa" w:w="60"/>
              <w:right w:type="dxa" w:w="80"/>
            </w:tcMar>
            <w:vAlign w:val="center"/>
          </w:tcPr>
          <w:p>
            <w:r>
              <w:rPr>
                <w:b w:val="false"/>
                <w:bCs w:val="false"/>
                <w:sz w:val="18"/>
                <w:szCs w:val="18"/>
              </w:rPr>
              <w:t xml:space="preserve">Au is more chemically inert (less prone to the rapid oxidation documented in Part 10) and offers more mature, higher-yield thiol chemistry for the boronic-acid ligand, at the cost of a generally weaker visible-range plasmon response than Ag and added fabrication complexity (two metals). A core-shell or bimetallic tip structure could combine Ag's stronger enhancement with Au's more robust thiol anchoring — ENGINEERING HYPOTHESIS, not demonstrated in the surveyed literature for this system, flagged as a Part-9-style fallback if Ag-thiol chemistry proves unstable in practice.</w:t>
            </w:r>
          </w:p>
        </w:tc>
      </w:tr>
      <w:tr>
        <w:tc>
          <w:tcPr>
            <w:tcW w:type="dxa" w:w="2600"/>
            <w:tcMar>
              <w:top w:type="dxa" w:w="60"/>
              <w:left w:type="dxa" w:w="80"/>
              <w:bottom w:type="dxa" w:w="60"/>
              <w:right w:type="dxa" w:w="80"/>
            </w:tcMar>
            <w:vAlign w:val="center"/>
          </w:tcPr>
          <w:p>
            <w:r>
              <w:rPr>
                <w:b w:val="false"/>
                <w:bCs w:val="false"/>
                <w:sz w:val="18"/>
                <w:szCs w:val="18"/>
              </w:rPr>
              <w:t xml:space="preserve">Ag core–Au shell nanoparticles</w:t>
            </w:r>
          </w:p>
        </w:tc>
        <w:tc>
          <w:tcPr>
            <w:tcW w:type="dxa" w:w="8200"/>
            <w:tcMar>
              <w:top w:type="dxa" w:w="60"/>
              <w:left w:type="dxa" w:w="80"/>
              <w:bottom w:type="dxa" w:w="60"/>
              <w:right w:type="dxa" w:w="80"/>
            </w:tcMar>
            <w:vAlign w:val="center"/>
          </w:tcPr>
          <w:p>
            <w:r>
              <w:rPr>
                <w:b w:val="false"/>
                <w:bCs w:val="false"/>
                <w:sz w:val="18"/>
                <w:szCs w:val="18"/>
              </w:rPr>
              <w:t xml:space="preserve">Same rationale as hybrid Ag/Au, in a more specific, synthetically well-established nanoparticle form (core-shell Ag@Au is a widely reported general nanoparticle synthesis in the broader plasmonics literature, STRONG INFERENCE for feasibility of the particle synthesis itself; SPECULATION as to performance in this specific black-Si-integrated context, which was not located in the surveyed literature).</w:t>
            </w:r>
          </w:p>
        </w:tc>
      </w:tr>
      <w:tr>
        <w:tc>
          <w:tcPr>
            <w:tcW w:type="dxa" w:w="2600"/>
            <w:tcMar>
              <w:top w:type="dxa" w:w="60"/>
              <w:left w:type="dxa" w:w="80"/>
              <w:bottom w:type="dxa" w:w="60"/>
              <w:right w:type="dxa" w:w="80"/>
            </w:tcMar>
            <w:vAlign w:val="center"/>
          </w:tcPr>
          <w:p>
            <w:r>
              <w:rPr>
                <w:b w:val="false"/>
                <w:bCs w:val="false"/>
                <w:sz w:val="18"/>
                <w:szCs w:val="18"/>
              </w:rPr>
              <w:t xml:space="preserve">Ag nanostars</w:t>
            </w:r>
          </w:p>
        </w:tc>
        <w:tc>
          <w:tcPr>
            <w:tcW w:type="dxa" w:w="8200"/>
            <w:tcMar>
              <w:top w:type="dxa" w:w="60"/>
              <w:left w:type="dxa" w:w="80"/>
              <w:bottom w:type="dxa" w:w="60"/>
              <w:right w:type="dxa" w:w="80"/>
            </w:tcMar>
            <w:vAlign w:val="center"/>
          </w:tcPr>
          <w:p>
            <w:r>
              <w:rPr>
                <w:b w:val="false"/>
                <w:bCs w:val="false"/>
                <w:sz w:val="18"/>
                <w:szCs w:val="18"/>
              </w:rPr>
              <w:t xml:space="preserve">Nanostars offer very high field enhancement at their sharp tips (a well-established general plasmonics result, STRONG INFERENCE) but are typically synthesized and deposited as a colloidal suspension rather than grown in-situ on a black-Si scaffold by the base MACE process — integrating them would replace, not extend, the photonic-reduction step, a larger process change. Not recommended as a first step; a candidate 'modify Ag morphology' option in the prior report's Part 9 decision tree (Step 4) if simpler tuning fails.</w:t>
            </w:r>
          </w:p>
        </w:tc>
      </w:tr>
    </w:tbl>
    <w:p>
      <w:pPr>
        <w:pStyle w:val="Heading2"/>
        <w:spacing w:after="160" w:before="300"/>
      </w:pPr>
      <w:r>
        <w:t xml:space="preserve">Architecture Recommendation</w:t>
      </w:r>
    </w:p>
    <w:p>
      <w:pPr>
        <w:spacing w:after="160"/>
      </w:pPr>
      <w:r>
        <w:t xml:space="preserve">Reproduce the base tip/sidewall Ag-nanoparticle-on-nanowire architecture unchanged (unchanged from the prior report), with the UV-photoreduction time used first as a tuning knob to favor tip-concentrated growth (the 'sub-case' above) before considering any larger architectural change (nanopillars, hybrid metals, nanostars). This preserves the 'smallest possible modification' principle while still directly addressing the accessibility/enhancement trade-off identified in Parts 2–3. ENGINEERING HYPOTHESIS for the tip-favoring optimization; STRONG INFERENCE for the base architecture choice itself (carried from Part 1 of the prior report).</w:t>
      </w:r>
    </w:p>
    <w:p>
      <w:pPr>
        <w:pStyle w:val="Heading1"/>
        <w:spacing w:after="200" w:before="400"/>
      </w:pPr>
      <w:r>
        <w:t xml:space="preserve">Part 8 — Sample Delivery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00"/>
        <w:gridCol w:w="8700"/>
      </w:tblGrid>
      <w:tr>
        <w:trPr>
          <w:tblHeader/>
        </w:trPr>
        <w:tc>
          <w:tcPr>
            <w:tcW w:type="dxa" w:w="2100"/>
            <w:shd w:fill="1F3864" w:val="clear"/>
            <w:tcMar>
              <w:top w:type="dxa" w:w="60"/>
              <w:left w:type="dxa" w:w="80"/>
              <w:bottom w:type="dxa" w:w="60"/>
              <w:right w:type="dxa" w:w="80"/>
            </w:tcMar>
            <w:vAlign w:val="center"/>
          </w:tcPr>
          <w:p>
            <w:r>
              <w:rPr>
                <w:b/>
                <w:bCs/>
                <w:color w:val="FFFFFF"/>
                <w:sz w:val="18"/>
                <w:szCs w:val="18"/>
              </w:rPr>
              <w:t xml:space="preserve">Method</w:t>
            </w:r>
          </w:p>
        </w:tc>
        <w:tc>
          <w:tcPr>
            <w:tcW w:type="dxa" w:w="8700"/>
            <w:shd w:fill="1F3864" w:val="clear"/>
            <w:tcMar>
              <w:top w:type="dxa" w:w="60"/>
              <w:left w:type="dxa" w:w="80"/>
              <w:bottom w:type="dxa" w:w="60"/>
              <w:right w:type="dxa" w:w="80"/>
            </w:tcMar>
            <w:vAlign w:val="center"/>
          </w:tcPr>
          <w:p>
            <w:r>
              <w:rPr>
                <w:b/>
                <w:bCs/>
                <w:color w:val="FFFFFF"/>
                <w:sz w:val="18"/>
                <w:szCs w:val="18"/>
              </w:rPr>
              <w:t xml:space="preserve">Assessment for maximizing NAM-in-hotspot fraction</w:t>
            </w:r>
          </w:p>
        </w:tc>
      </w:tr>
      <w:tr>
        <w:tc>
          <w:tcPr>
            <w:tcW w:type="dxa" w:w="2100"/>
            <w:tcMar>
              <w:top w:type="dxa" w:w="60"/>
              <w:left w:type="dxa" w:w="80"/>
              <w:bottom w:type="dxa" w:w="60"/>
              <w:right w:type="dxa" w:w="80"/>
            </w:tcMar>
            <w:vAlign w:val="center"/>
          </w:tcPr>
          <w:p>
            <w:r>
              <w:rPr>
                <w:b w:val="false"/>
                <w:bCs w:val="false"/>
                <w:sz w:val="18"/>
                <w:szCs w:val="18"/>
              </w:rPr>
              <w:t xml:space="preserve">Drop-casting (passive)</w:t>
            </w:r>
          </w:p>
        </w:tc>
        <w:tc>
          <w:tcPr>
            <w:tcW w:type="dxa" w:w="8700"/>
            <w:tcMar>
              <w:top w:type="dxa" w:w="60"/>
              <w:left w:type="dxa" w:w="80"/>
              <w:bottom w:type="dxa" w:w="60"/>
              <w:right w:type="dxa" w:w="80"/>
            </w:tcMar>
            <w:vAlign w:val="center"/>
          </w:tcPr>
          <w:p>
            <w:r>
              <w:rPr>
                <w:b w:val="false"/>
                <w:bCs w:val="false"/>
                <w:sz w:val="18"/>
                <w:szCs w:val="18"/>
              </w:rPr>
              <w:t xml:space="preserve">Simplest, matches the base validation literature (Bai et al. 2019 used drop-casting-equivalent sample application for R6G/dopamine), but is the method most subject to the coffee-ring effect (Part 4) — without active flow, a large fraction of deposited NAM is predicted to end up at the ring periphery rather than distributed across the hotspot-bearing central area. ENGINEERING HYPOTHESIS as to the specific fraction (no NAM-specific measurement exists); STRONG INFERENCE that coffee-ring losses are real and substantial based on the general droplet-evaporation literature (Part 4).</w:t>
            </w:r>
          </w:p>
        </w:tc>
      </w:tr>
      <w:tr>
        <w:tc>
          <w:tcPr>
            <w:tcW w:type="dxa" w:w="2100"/>
            <w:tcMar>
              <w:top w:type="dxa" w:w="60"/>
              <w:left w:type="dxa" w:w="80"/>
              <w:bottom w:type="dxa" w:w="60"/>
              <w:right w:type="dxa" w:w="80"/>
            </w:tcMar>
            <w:vAlign w:val="center"/>
          </w:tcPr>
          <w:p>
            <w:r>
              <w:rPr>
                <w:b w:val="false"/>
                <w:bCs w:val="false"/>
                <w:sz w:val="18"/>
                <w:szCs w:val="18"/>
              </w:rPr>
              <w:t xml:space="preserve">Spin coating</w:t>
            </w:r>
          </w:p>
        </w:tc>
        <w:tc>
          <w:tcPr>
            <w:tcW w:type="dxa" w:w="8700"/>
            <w:tcMar>
              <w:top w:type="dxa" w:w="60"/>
              <w:left w:type="dxa" w:w="80"/>
              <w:bottom w:type="dxa" w:w="60"/>
              <w:right w:type="dxa" w:w="80"/>
            </w:tcMar>
            <w:vAlign w:val="center"/>
          </w:tcPr>
          <w:p>
            <w:r>
              <w:rPr>
                <w:b w:val="false"/>
                <w:bCs w:val="false"/>
                <w:sz w:val="18"/>
                <w:szCs w:val="18"/>
              </w:rPr>
              <w:t xml:space="preserve">Produces a thinner, more uniform film and can reduce (though not eliminate) ring-type non-uniformity by shortening the drying/flow window, at the cost of centrifugally ejecting some of the analyte-bearing liquid off the substrate entirely before it can infiltrate the nanostructure — a direct loss mechanism drop-casting does not have. ENGINEERING HYPOTHESIS; not demonstrated for this exact substrate/analyte in the surveyed literature.</w:t>
            </w:r>
          </w:p>
        </w:tc>
      </w:tr>
      <w:tr>
        <w:tc>
          <w:tcPr>
            <w:tcW w:type="dxa" w:w="2100"/>
            <w:tcMar>
              <w:top w:type="dxa" w:w="60"/>
              <w:left w:type="dxa" w:w="80"/>
              <w:bottom w:type="dxa" w:w="60"/>
              <w:right w:type="dxa" w:w="80"/>
            </w:tcMar>
            <w:vAlign w:val="center"/>
          </w:tcPr>
          <w:p>
            <w:r>
              <w:rPr>
                <w:b w:val="false"/>
                <w:bCs w:val="false"/>
                <w:sz w:val="18"/>
                <w:szCs w:val="18"/>
              </w:rPr>
              <w:t xml:space="preserve">Microfluidics (continuous or droplet flow-through)</w:t>
            </w:r>
          </w:p>
        </w:tc>
        <w:tc>
          <w:tcPr>
            <w:tcW w:type="dxa" w:w="8700"/>
            <w:tcMar>
              <w:top w:type="dxa" w:w="60"/>
              <w:left w:type="dxa" w:w="80"/>
              <w:bottom w:type="dxa" w:w="60"/>
              <w:right w:type="dxa" w:w="80"/>
            </w:tcMar>
            <w:vAlign w:val="center"/>
          </w:tcPr>
          <w:p>
            <w:r>
              <w:rPr>
                <w:b w:val="false"/>
                <w:bCs w:val="false"/>
                <w:sz w:val="18"/>
                <w:szCs w:val="18"/>
              </w:rPr>
              <w:t xml:space="preserve">In principle the strongest option: continuous flow past/through the hotspot-bearing region maintains a steady analyte concentration at the surface (avoiding both the coffee-ring depletion problem and the single-shot, diffusion-limited exposure of a static drop), and droplet-microfluidic SERS platforms are an active, published research area generally (title/abstract-level evidence located for microfluidic SERS sample-prep/detection devices; STRONG INFERENCE that the general advantage transfers to this system, not DIRECT EVIDENCE for this specific substrate). Requires the most additional engineering (channel design, flow control, substrate packaging) of the options considered.</w:t>
            </w:r>
          </w:p>
        </w:tc>
      </w:tr>
      <w:tr>
        <w:tc>
          <w:tcPr>
            <w:tcW w:type="dxa" w:w="2100"/>
            <w:tcMar>
              <w:top w:type="dxa" w:w="60"/>
              <w:left w:type="dxa" w:w="80"/>
              <w:bottom w:type="dxa" w:w="60"/>
              <w:right w:type="dxa" w:w="80"/>
            </w:tcMar>
            <w:vAlign w:val="center"/>
          </w:tcPr>
          <w:p>
            <w:r>
              <w:rPr>
                <w:b w:val="false"/>
                <w:bCs w:val="false"/>
                <w:sz w:val="18"/>
                <w:szCs w:val="18"/>
              </w:rPr>
              <w:t xml:space="preserve">Vacuum infiltration</w:t>
            </w:r>
          </w:p>
        </w:tc>
        <w:tc>
          <w:tcPr>
            <w:tcW w:type="dxa" w:w="8700"/>
            <w:tcMar>
              <w:top w:type="dxa" w:w="60"/>
              <w:left w:type="dxa" w:w="80"/>
              <w:bottom w:type="dxa" w:w="60"/>
              <w:right w:type="dxa" w:w="80"/>
            </w:tcMar>
            <w:vAlign w:val="center"/>
          </w:tcPr>
          <w:p>
            <w:r>
              <w:rPr>
                <w:b w:val="false"/>
                <w:bCs w:val="false"/>
                <w:sz w:val="18"/>
                <w:szCs w:val="18"/>
              </w:rPr>
              <w:t xml:space="preserve">Actively pulls liquid (and dissolved NAM) into the nanostructure's void volume rather than relying on passive wetting/capillary action alone, which should improve infiltration completeness for any pores/gaps at the smaller end of the accessible range identified in Part 2 — but risks mechanically stressing (and, per Part 3/10, potentially collapsing) the high-aspect-ratio nanowire forest if pressure differentials are not carefully controlled. ENGINEERING HYPOTHESIS.</w:t>
            </w:r>
          </w:p>
        </w:tc>
      </w:tr>
      <w:tr>
        <w:tc>
          <w:tcPr>
            <w:tcW w:type="dxa" w:w="2100"/>
            <w:tcMar>
              <w:top w:type="dxa" w:w="60"/>
              <w:left w:type="dxa" w:w="80"/>
              <w:bottom w:type="dxa" w:w="60"/>
              <w:right w:type="dxa" w:w="80"/>
            </w:tcMar>
            <w:vAlign w:val="center"/>
          </w:tcPr>
          <w:p>
            <w:r>
              <w:rPr>
                <w:b w:val="false"/>
                <w:bCs w:val="false"/>
                <w:sz w:val="18"/>
                <w:szCs w:val="18"/>
              </w:rPr>
              <w:t xml:space="preserve">Electrophoresis (field-driven analyte transport)</w:t>
            </w:r>
          </w:p>
        </w:tc>
        <w:tc>
          <w:tcPr>
            <w:tcW w:type="dxa" w:w="8700"/>
            <w:tcMar>
              <w:top w:type="dxa" w:w="60"/>
              <w:left w:type="dxa" w:w="80"/>
              <w:bottom w:type="dxa" w:w="60"/>
              <w:right w:type="dxa" w:w="80"/>
            </w:tcMar>
            <w:vAlign w:val="center"/>
          </w:tcPr>
          <w:p>
            <w:r>
              <w:rPr>
                <w:b w:val="false"/>
                <w:bCs w:val="false"/>
                <w:sz w:val="18"/>
                <w:szCs w:val="18"/>
              </w:rPr>
              <w:t xml:space="preserve">NAM's predicted anionic charge state at neutral pH (Part 1.2) makes this a mechanistically plausible active-transport method — an applied field could, in principle, drive negatively charged NAM toward an appropriately biased electrode/substrate faster and more completely than passive diffusion. This is an ENGINEERING HYPOTHESIS specific to this report's charge-state analysis; no published electrophoretic NAM-SERS or closely analogous small-anion-SERS delivery study was located, so it is flagged as a promising but untested idea rather than a recommended default.</w:t>
            </w:r>
          </w:p>
        </w:tc>
      </w:tr>
      <w:tr>
        <w:tc>
          <w:tcPr>
            <w:tcW w:type="dxa" w:w="2100"/>
            <w:tcMar>
              <w:top w:type="dxa" w:w="60"/>
              <w:left w:type="dxa" w:w="80"/>
              <w:bottom w:type="dxa" w:w="60"/>
              <w:right w:type="dxa" w:w="80"/>
            </w:tcMar>
            <w:vAlign w:val="center"/>
          </w:tcPr>
          <w:p>
            <w:r>
              <w:rPr>
                <w:b w:val="false"/>
                <w:bCs w:val="false"/>
                <w:sz w:val="18"/>
                <w:szCs w:val="18"/>
              </w:rPr>
              <w:t xml:space="preserve">Capillary infiltration (structured/wicking substrate)</w:t>
            </w:r>
          </w:p>
        </w:tc>
        <w:tc>
          <w:tcPr>
            <w:tcW w:type="dxa" w:w="8700"/>
            <w:tcMar>
              <w:top w:type="dxa" w:w="60"/>
              <w:left w:type="dxa" w:w="80"/>
              <w:bottom w:type="dxa" w:w="60"/>
              <w:right w:type="dxa" w:w="80"/>
            </w:tcMar>
            <w:vAlign w:val="center"/>
          </w:tcPr>
          <w:p>
            <w:r>
              <w:rPr>
                <w:b w:val="false"/>
                <w:bCs w:val="false"/>
                <w:sz w:val="18"/>
                <w:szCs w:val="18"/>
              </w:rPr>
              <w:t xml:space="preserve">A passive but geometry-engineered alternative to simple drop-casting — if the nanostructure or an added wicking layer is designed to actively draw liquid inward rather than letting it evaporate from a pinned contact line, ring formation can in principle be suppressed by construction rather than corrected after the fact (related to, but distinct from, the hydrophobic-pillar-array ring-suppression literature noted in Part 4). ENGINEERING HYPOTHESIS.</w:t>
            </w:r>
          </w:p>
        </w:tc>
      </w:tr>
      <w:tr>
        <w:tc>
          <w:tcPr>
            <w:tcW w:type="dxa" w:w="2100"/>
            <w:tcMar>
              <w:top w:type="dxa" w:w="60"/>
              <w:left w:type="dxa" w:w="80"/>
              <w:bottom w:type="dxa" w:w="60"/>
              <w:right w:type="dxa" w:w="80"/>
            </w:tcMar>
            <w:vAlign w:val="center"/>
          </w:tcPr>
          <w:p>
            <w:r>
              <w:rPr>
                <w:b w:val="false"/>
                <w:bCs w:val="false"/>
                <w:sz w:val="18"/>
                <w:szCs w:val="18"/>
              </w:rPr>
              <w:t xml:space="preserve">Pressure-driven infiltration</w:t>
            </w:r>
          </w:p>
        </w:tc>
        <w:tc>
          <w:tcPr>
            <w:tcW w:type="dxa" w:w="8700"/>
            <w:tcMar>
              <w:top w:type="dxa" w:w="60"/>
              <w:left w:type="dxa" w:w="80"/>
              <w:bottom w:type="dxa" w:w="60"/>
              <w:right w:type="dxa" w:w="80"/>
            </w:tcMar>
            <w:vAlign w:val="center"/>
          </w:tcPr>
          <w:p>
            <w:r>
              <w:rPr>
                <w:b w:val="false"/>
                <w:bCs w:val="false"/>
                <w:sz w:val="18"/>
                <w:szCs w:val="18"/>
              </w:rPr>
              <w:t xml:space="preserve">Similar rationale and similar collapse risk to vacuum infiltration, from the opposite direction (pushing rather than pulling); likely most useful in a packaged microfluidic-cartridge context (Part 11) rather than as a bench-scale validation method. ENGINEERING HYPOTHESIS.</w:t>
            </w:r>
          </w:p>
        </w:tc>
      </w:tr>
    </w:tbl>
    <w:p>
      <w:pPr>
        <w:pStyle w:val="Heading2"/>
        <w:spacing w:after="160" w:before="300"/>
      </w:pPr>
      <w:r>
        <w:t xml:space="preserve">Recommendation</w:t>
      </w:r>
    </w:p>
    <w:p>
      <w:pPr>
        <w:spacing w:after="160"/>
      </w:pPr>
      <w:r>
        <w:t xml:space="preserve">For the pure-NAM validation stage (prior report's Part 8, Stage 1–2), retain simple drop-casting for comparability with the R6G literature benchmark, but explicitly pair it with Raman mapping (not single-point acquisition) across the dried spot to characterize and correct for coffee-ring non-uniformity from the start, rather than discovering it as an unexplained source of variance later. For the later, dilute/matrix-complicated stages (prior report's Part 10), microfluidic delivery is the most literature-supported upgrade path once the base chemistry and geometry are validated, because it is the only method here with a direct, mechanistically relevant published precedent for improving SERS sample delivery generally. ENGINEERING HYPOTHESIS for both recommendations, since none of the delivery methods have been compared head-to-head for NAM specifically.</w:t>
      </w:r>
    </w:p>
    <w:p>
      <w:pPr>
        <w:pStyle w:val="Heading1"/>
        <w:spacing w:after="200" w:before="400"/>
      </w:pPr>
      <w:r>
        <w:t xml:space="preserve">Part 9 — Testing Strategy: Stage-by-Stage Validation Plan</w:t>
      </w:r>
    </w:p>
    <w:p>
      <w:pPr>
        <w:pStyle w:val="Heading2"/>
        <w:spacing w:after="160" w:before="300"/>
      </w:pPr>
      <w:r>
        <w:t xml:space="preserve">Stage 1 — R6G</w:t>
      </w:r>
    </w:p>
    <w:p>
      <w:pPr>
        <w:spacing w:after="160"/>
      </w:pPr>
      <w:r>
        <w:t xml:space="preserve">Controls: Positive control substrate (fresh, unfunctionalized Ag/black-Si) and a blank (no-analyte) substrate.</w:t>
      </w:r>
    </w:p>
    <w:p>
      <w:pPr>
        <w:spacing w:after="160"/>
      </w:pPr>
      <w:r>
        <w:t xml:space="preserve">Interference: None expected — R6G is the well-characterized literature benchmark (Bai et al. 2019).</w:t>
      </w:r>
    </w:p>
    <w:p>
      <w:pPr>
        <w:spacing w:after="160"/>
      </w:pPr>
      <w:r>
        <w:t xml:space="preserve">Expected failures: None expected if fabrication is reproduced correctly; a failure here indicates a fabrication/storage problem, not an NAM-specific one.</w:t>
      </w:r>
    </w:p>
    <w:p>
      <w:pPr>
        <w:spacing w:after="160"/>
      </w:pPr>
      <w:r>
        <w:t xml:space="preserve">Optimization strategy: Standard process QC per the prior report's Part 2/7.</w:t>
      </w:r>
    </w:p>
    <w:p>
      <w:pPr>
        <w:spacing w:after="160"/>
      </w:pPr>
      <w:r>
        <w:t xml:space="preserve">Acceptance criteria: Detectable R6G signal at ~10⁻⁵–10⁻⁷ M with literature-consistent peak positions and spot-to-spot RSD comparable to the cited literature (prior report's Part 8, Stage 1).</w:t>
      </w:r>
    </w:p>
    <w:p>
      <w:pPr>
        <w:pStyle w:val="Heading2"/>
        <w:spacing w:after="160" w:before="300"/>
      </w:pPr>
      <w:r>
        <w:t xml:space="preserve">Stage 2 — Pure NAM (water)</w:t>
      </w:r>
    </w:p>
    <w:p>
      <w:pPr>
        <w:spacing w:after="160"/>
      </w:pPr>
      <w:r>
        <w:t xml:space="preserve">Controls: Bare-Ag substrate (expected-negative control per the prior report's Part 5); boronic-acid-functionalized substrate (expected-positive); blank substrate.</w:t>
      </w:r>
    </w:p>
    <w:p>
      <w:pPr>
        <w:spacing w:after="160"/>
      </w:pPr>
      <w:r>
        <w:t xml:space="preserve">Interference: None (pure water/NAM system) — this stage exists specifically to establish the NAM signature without any competing chemistry.</w:t>
      </w:r>
    </w:p>
    <w:p>
      <w:pPr>
        <w:spacing w:after="160"/>
      </w:pPr>
      <w:r>
        <w:t xml:space="preserve">Expected failures: Bare Ag: weak/no signal (STRONG INFERENCE expected outcome, per Part 1.5/5). Functionalized: signal present but likely weaker and noisier than R6G given NAM's non-resonant, smaller Raman cross-section (Part 1.4).</w:t>
      </w:r>
    </w:p>
    <w:p>
      <w:pPr>
        <w:spacing w:after="160"/>
      </w:pPr>
      <w:r>
        <w:t xml:space="preserve">Optimization strategy: Follow the prior report's Part 9 decision tree (chemistry before Ag morphology before nanostructure) if Stage 2 underperforms.</w:t>
      </w:r>
    </w:p>
    <w:p>
      <w:pPr>
        <w:spacing w:after="160"/>
      </w:pPr>
      <w:r>
        <w:t xml:space="preserve">Acceptance criteria: A reproducible NAM spectral signature (peak positions matching, or at least not contradicting, the DFT prediction from Part 6) at the lowest concentration reliably above a blank-subtracted noise floor — this stage defines the project's first real NAM LOD, which does not exist in advance.</w:t>
      </w:r>
    </w:p>
    <w:p>
      <w:pPr>
        <w:pStyle w:val="Heading2"/>
        <w:spacing w:after="160" w:before="300"/>
      </w:pPr>
      <w:r>
        <w:t xml:space="preserve">Stage 3 — NAM + glucose</w:t>
      </w:r>
    </w:p>
    <w:p>
      <w:pPr>
        <w:spacing w:after="160"/>
      </w:pPr>
      <w:r>
        <w:t xml:space="preserve">Controls: NAM-only and glucose-only spiked substrates run in parallel for spectral comparison/subtraction.</w:t>
      </w:r>
    </w:p>
    <w:p>
      <w:pPr>
        <w:spacing w:after="160"/>
      </w:pPr>
      <w:r>
        <w:t xml:space="preserve">Interference: Direct — glucose is also a cis-diol carbohydrate and will competitively bind the same boronic-acid sites (Part 5), and its Raman/SERS spectrum will overlap substantially with NAM's ring-mode region (both are pyranose sugars). This is the single most important interference test given the chosen capture chemistry.</w:t>
      </w:r>
    </w:p>
    <w:p>
      <w:pPr>
        <w:spacing w:after="160"/>
      </w:pPr>
      <w:r>
        <w:t xml:space="preserve">Expected failures: Signal suppression and/or spectral confusion between NAM and glucose bands, especially at physiologically relevant glucose:NAM concentration ratios (glucose is present in blood at mM levels, likely far exceeding any NAM concentration).</w:t>
      </w:r>
    </w:p>
    <w:p>
      <w:pPr>
        <w:spacing w:after="160"/>
      </w:pPr>
      <w:r>
        <w:t xml:space="preserve">Optimization strategy: If confounded, consider mixed-SAM ratio tuning, a glucose-blocking pre-saturation step, or multivariate spectral unmixing (chemometrics) to computationally separate overlapping signatures — ENGINEERING HYPOTHESIS, not yet tested.</w:t>
      </w:r>
    </w:p>
    <w:p>
      <w:pPr>
        <w:spacing w:after="160"/>
      </w:pPr>
      <w:r>
        <w:t xml:space="preserve">Acceptance criteria: Ability to detect a defined NAM concentration change against a fixed physiologically relevant glucose background, or, at minimum, a clear chemometric discrimination model.</w:t>
      </w:r>
    </w:p>
    <w:p>
      <w:pPr>
        <w:pStyle w:val="Heading2"/>
        <w:spacing w:after="160" w:before="300"/>
      </w:pPr>
      <w:r>
        <w:t xml:space="preserve">Stage 4 — NAM + amino acids</w:t>
      </w:r>
    </w:p>
    <w:p>
      <w:pPr>
        <w:spacing w:after="160"/>
      </w:pPr>
      <w:r>
        <w:t xml:space="preserve">Controls: NAM-only and a representative amino-acid panel (e.g., glycine, alanine, cysteine — the last as a worst-case thiol-bearing competitor for the Ag surface itself) run in parallel.</w:t>
      </w:r>
    </w:p>
    <w:p>
      <w:pPr>
        <w:spacing w:after="160"/>
      </w:pPr>
      <w:r>
        <w:t xml:space="preserve">Interference: Amino acids, especially cysteine, can directly compete for the Ag surface (thiol-Ag chemisorption is generally stronger than the boronate-diol interaction), representing a distinct interference mechanism from Stage 3's diol competition.</w:t>
      </w:r>
    </w:p>
    <w:p>
      <w:pPr>
        <w:spacing w:after="160"/>
      </w:pPr>
      <w:r>
        <w:t xml:space="preserve">Expected failures: Possible substrate fouling/passivation by thiol-bearing amino acids reducing overall SERS activity, independent of any NAM-specific signal change.</w:t>
      </w:r>
    </w:p>
    <w:p>
      <w:pPr>
        <w:spacing w:after="160"/>
      </w:pPr>
      <w:r>
        <w:t xml:space="preserve">Optimization strategy: Test whether the PEG-diluted mixed SAM (Part 5) suppresses this nonspecific competition better than boronic-acid-alone.</w:t>
      </w:r>
    </w:p>
    <w:p>
      <w:pPr>
        <w:spacing w:after="160"/>
      </w:pPr>
      <w:r>
        <w:t xml:space="preserve">Acceptance criteria: NAM signal retained (even if attenuated) in the presence of a physiologically plausible amino-acid mixture; substrate not catastrophically fouled.</w:t>
      </w:r>
    </w:p>
    <w:p>
      <w:pPr>
        <w:pStyle w:val="Heading2"/>
        <w:spacing w:after="160" w:before="300"/>
      </w:pPr>
      <w:r>
        <w:t xml:space="preserve">Stage 5 — NAM + proteins</w:t>
      </w:r>
    </w:p>
    <w:p>
      <w:pPr>
        <w:spacing w:after="160"/>
      </w:pPr>
      <w:r>
        <w:t xml:space="preserve">Controls: NAM-only and a single-protein spike (e.g., bovine serum albumin, the dominant blood protein) run in parallel, at physiologically relevant protein:NAM ratios.</w:t>
      </w:r>
    </w:p>
    <w:p>
      <w:pPr>
        <w:spacing w:after="160"/>
      </w:pPr>
      <w:r>
        <w:t xml:space="preserve">Interference: Major — protein fouling is expected to be a first-order problem (consistent with the prior report's Part 10 translation-pathway analysis), both by physically blocking hotspots and by contributing its own strong, complex Raman background.</w:t>
      </w:r>
    </w:p>
    <w:p>
      <w:pPr>
        <w:spacing w:after="160"/>
      </w:pPr>
      <w:r>
        <w:t xml:space="preserve">Expected failures: Substantial background increase and possible complete masking of the NAM signal.</w:t>
      </w:r>
    </w:p>
    <w:p>
      <w:pPr>
        <w:spacing w:after="160"/>
      </w:pPr>
      <w:r>
        <w:t xml:space="preserve">Optimization strategy: Evaluate whether the PEG component of the mixed SAM (Part 5) meaningfully suppresses protein adsorption relative to boronic-acid-alone, and whether a pre-filtration/pre-concentration step (Part 11) is needed before this stage becomes usable.</w:t>
      </w:r>
    </w:p>
    <w:p>
      <w:pPr>
        <w:spacing w:after="160"/>
      </w:pPr>
      <w:r>
        <w:t xml:space="preserve">Acceptance criteria: NAM signal remains distinguishable from the protein background, or a defined pre-treatment protocol is established that restores distinguishability.</w:t>
      </w:r>
    </w:p>
    <w:p>
      <w:pPr>
        <w:pStyle w:val="Heading2"/>
        <w:spacing w:after="160" w:before="300"/>
      </w:pPr>
      <w:r>
        <w:t xml:space="preserve">Stage 6 — Bacterial lysate</w:t>
      </w:r>
    </w:p>
    <w:p>
      <w:pPr>
        <w:spacing w:after="160"/>
      </w:pPr>
      <w:r>
        <w:t xml:space="preserve">Controls: Un-spiked lysate; lysate + boronic-acid-blocked (competitively saturated) substrate as a specificity control.</w:t>
      </w:r>
    </w:p>
    <w:p>
      <w:pPr>
        <w:spacing w:after="160"/>
      </w:pPr>
      <w:r>
        <w:t xml:space="preserve">Interference: Full biological complexity — nucleic acids, lipids, other peptidoglycan fragments, proteins (per the prior report's Part 10).</w:t>
      </w:r>
    </w:p>
    <w:p>
      <w:pPr>
        <w:spacing w:after="160"/>
      </w:pPr>
      <w:r>
        <w:t xml:space="preserve">Expected failures: Background/competition from structurally related muropeptides that may also engage the boronic-acid chemistry.</w:t>
      </w:r>
    </w:p>
    <w:p>
      <w:pPr>
        <w:spacing w:after="160"/>
      </w:pPr>
      <w:r>
        <w:t xml:space="preserve">Optimization strategy: Spike-recovery testing; multivariate analysis (e.g., PCA) to isolate the NAM signature.</w:t>
      </w:r>
    </w:p>
    <w:p>
      <w:pPr>
        <w:spacing w:after="160"/>
      </w:pPr>
      <w:r>
        <w:t xml:space="preserve">Acceptance criteria: Reproducible spike-recovery of a known NAM addition to real lysate.</w:t>
      </w:r>
    </w:p>
    <w:p>
      <w:pPr>
        <w:pStyle w:val="Heading2"/>
        <w:spacing w:after="160" w:before="300"/>
      </w:pPr>
      <w:r>
        <w:t xml:space="preserve">Stage 7 — Culture supernatant</w:t>
      </w:r>
    </w:p>
    <w:p>
      <w:pPr>
        <w:spacing w:after="160"/>
      </w:pPr>
      <w:r>
        <w:t xml:space="preserve">Controls: Sterile uninoculated media background; heat-killed culture.</w:t>
      </w:r>
    </w:p>
    <w:p>
      <w:pPr>
        <w:spacing w:after="160"/>
      </w:pPr>
      <w:r>
        <w:t xml:space="preserve">Interference: Media components (sugars, amino acids) compounding Stages 3/4's interference classes simultaneously.</w:t>
      </w:r>
    </w:p>
    <w:p>
      <w:pPr>
        <w:spacing w:after="160"/>
      </w:pPr>
      <w:r>
        <w:t xml:space="preserve">Expected failures: High background from a rich growth medium.</w:t>
      </w:r>
    </w:p>
    <w:p>
      <w:pPr>
        <w:spacing w:after="160"/>
      </w:pPr>
      <w:r>
        <w:t xml:space="preserve">Optimization strategy: Consider media exchange/washing steps before measurement.</w:t>
      </w:r>
    </w:p>
    <w:p>
      <w:pPr>
        <w:spacing w:after="160"/>
      </w:pPr>
      <w:r>
        <w:t xml:space="preserve">Acceptance criteria: NAM signal tracked across a bacterial growth time-course, ideally correlating with expected peptidoglycan turnover.</w:t>
      </w:r>
    </w:p>
    <w:p>
      <w:pPr>
        <w:pStyle w:val="Heading2"/>
        <w:spacing w:after="160" w:before="300"/>
      </w:pPr>
      <w:r>
        <w:t xml:space="preserve">Stage 8 — Plasma</w:t>
      </w:r>
    </w:p>
    <w:p>
      <w:pPr>
        <w:spacing w:after="160"/>
      </w:pPr>
      <w:r>
        <w:t xml:space="preserve">Controls: Unspiked plasma; spiked plasma with and without a pre-treatment (e.g., ultrafiltration) step.</w:t>
      </w:r>
    </w:p>
    <w:p>
      <w:pPr>
        <w:spacing w:after="160"/>
      </w:pPr>
      <w:r>
        <w:t xml:space="preserve">Interference: Severe protein background (per the prior report's Part 10).</w:t>
      </w:r>
    </w:p>
    <w:p>
      <w:pPr>
        <w:spacing w:after="160"/>
      </w:pPr>
      <w:r>
        <w:t xml:space="preserve">Expected failures: Likely the first stage where the unmodified sensor fails outright without sample pre-treatment.</w:t>
      </w:r>
    </w:p>
    <w:p>
      <w:pPr>
        <w:spacing w:after="160"/>
      </w:pPr>
      <w:r>
        <w:t xml:space="preserve">Optimization strategy: Systematically compare pre-treatment protocols (ultrafiltration cutoff, protein precipitation) for NAM recovery vs. protein removal efficiency.</w:t>
      </w:r>
    </w:p>
    <w:p>
      <w:pPr>
        <w:spacing w:after="160"/>
      </w:pPr>
      <w:r>
        <w:t xml:space="preserve">Acceptance criteria: Defined, reproducible NAM recovery percentage from spiked plasma after the chosen pre-treatment.</w:t>
      </w:r>
    </w:p>
    <w:p>
      <w:pPr>
        <w:pStyle w:val="Heading2"/>
        <w:spacing w:after="160" w:before="300"/>
      </w:pPr>
      <w:r>
        <w:t xml:space="preserve">Stage 9 — Whole blood</w:t>
      </w:r>
    </w:p>
    <w:p>
      <w:pPr>
        <w:spacing w:after="160"/>
      </w:pPr>
      <w:r>
        <w:t xml:space="preserve">Controls: Plasma-only (from the same draw) as a reference to isolate the incremental effect of cellular components; spiked vs. unspiked whole blood.</w:t>
      </w:r>
    </w:p>
    <w:p>
      <w:pPr>
        <w:spacing w:after="160"/>
      </w:pPr>
      <w:r>
        <w:t xml:space="preserve">Interference: Hemoglobin absorption/fluorescence at shorter wavelengths (reinforcing the prior report's 785 nm recommendation), plus all Stage 8 challenges.</w:t>
      </w:r>
    </w:p>
    <w:p>
      <w:pPr>
        <w:spacing w:after="160"/>
      </w:pPr>
      <w:r>
        <w:t xml:space="preserve">Expected failures: Most severe pre-clinical-stage failure risk in the whole pathway.</w:t>
      </w:r>
    </w:p>
    <w:p>
      <w:pPr>
        <w:spacing w:after="160"/>
      </w:pPr>
      <w:r>
        <w:t xml:space="preserve">Optimization strategy: Cell separation (centrifugation) as the default first mitigation, per the prior report's Part 10; escalate to microfluidic filtration only if simple centrifugation is insufficient.</w:t>
      </w:r>
    </w:p>
    <w:p>
      <w:pPr>
        <w:spacing w:after="160"/>
      </w:pPr>
      <w:r>
        <w:t xml:space="preserve">Acceptance criteria: NAM recovery from whole blood statistically indistinguishable from (or quantitatively related to) the matched plasma recovery.</w:t>
      </w:r>
    </w:p>
    <w:p>
      <w:pPr>
        <w:pStyle w:val="Heading2"/>
        <w:spacing w:after="160" w:before="300"/>
      </w:pPr>
      <w:r>
        <w:t xml:space="preserve">Stage 10 — Clinical samples</w:t>
      </w:r>
    </w:p>
    <w:p>
      <w:pPr>
        <w:spacing w:after="160"/>
      </w:pPr>
      <w:r>
        <w:t xml:space="preserve">Controls: Matched non-septic and non-infectious-inflammation controls; comparison against a reference method (e.g., LC-MS/MS peptidoglycan-fragment quantification).</w:t>
      </w:r>
    </w:p>
    <w:p>
      <w:pPr>
        <w:spacing w:after="160"/>
      </w:pPr>
      <w:r>
        <w:t xml:space="preserve">Interference: Full inter-patient variability, antibiotic treatment effects, comorbidities.</w:t>
      </w:r>
    </w:p>
    <w:p>
      <w:pPr>
        <w:spacing w:after="160"/>
      </w:pPr>
      <w:r>
        <w:t xml:space="preserve">Expected failures: Unknown — this is a formal validation study, not a bench characterization, and failure modes cannot be fully anticipated in advance.</w:t>
      </w:r>
    </w:p>
    <w:p>
      <w:pPr>
        <w:spacing w:after="160"/>
      </w:pPr>
      <w:r>
        <w:t xml:space="preserve">Optimization strategy: Standard clinical-assay validation practice (accuracy, precision, linearity, specificity) followed by a diagnostic-accuracy study (ROC-AUC).</w:t>
      </w:r>
    </w:p>
    <w:p>
      <w:pPr>
        <w:spacing w:after="160"/>
      </w:pPr>
      <w:r>
        <w:t xml:space="preserve">Acceptance criteria: Pre-registered sensitivity/specificity targets agreed with clinical/regulatory stakeholders before the study begins (Part 11).</w:t>
      </w:r>
    </w:p>
    <w:p>
      <w:pPr>
        <w:pStyle w:val="Heading1"/>
        <w:spacing w:after="200" w:before="400"/>
      </w:pPr>
      <w:r>
        <w:t xml:space="preserve">Part 10 — Failure Analysis</w:t>
      </w:r>
    </w:p>
    <w:p>
      <w:pPr>
        <w:pStyle w:val="Heading2"/>
        <w:spacing w:after="160" w:before="300"/>
      </w:pPr>
      <w:r>
        <w:t xml:space="preserve">Silver oxidation/sulfidation</w:t>
      </w:r>
    </w:p>
    <w:p>
      <w:pPr>
        <w:spacing w:after="160"/>
      </w:pPr>
      <w:r>
        <w:t xml:space="preserve">Why it happens: Ambient O2 and trace atmospheric sulfur/organics react with the high-surface-area Ag nanoparticle layer. DIRECT EVIDENCE (Matikainen et al., Scientific Reports 2016): SERS intensity from a silver substrate dropped 20% within 10 minutes of air exposure, 60% by 5 hours, and to ~10% of original intensity after one day, with XPS-confirmed silver, oxygen, and carbon composition shifting from ~99% Ag to 66% Ag/10% O/24% C over four days; measurement RSD simultaneously tripled from 7% to 21%.</w:t>
      </w:r>
    </w:p>
    <w:p>
      <w:pPr>
        <w:spacing w:after="160"/>
      </w:pPr>
      <w:r>
        <w:t xml:space="preserve">How to detect it: Detect via: XPS (Ag 3d5/2 binding-energy shift/broadening, per the prior report's Part 7), UV-Vis LSPR peak shift/broadening, or simply a declining R6G control-signal trend over time.</w:t>
      </w:r>
    </w:p>
    <w:p>
      <w:pPr>
        <w:spacing w:after="160"/>
      </w:pPr>
      <w:r>
        <w:t xml:space="preserve">How to prevent it: Prevent via: minimizing time between fabrication and measurement (per the DIRECT EVIDENCE degradation timeline above, this is measured in minutes-to-hours, not days, for meaningful signal loss — far more urgent than this report's earlier storage-focused recommendation suggested); inert-atmosphere storage/handling (N2 glovebox or vacuum desiccator, immediately after fabrication, not just for long-term storage); minimizing ambient organic-vapor exposure.</w:t>
      </w:r>
    </w:p>
    <w:p>
      <w:pPr>
        <w:spacing w:after="160"/>
      </w:pPr>
      <w:r>
        <w:t xml:space="preserve">How to correct it: Correct via: for early-stage oxide, a brief, mild reducing treatment or careful re-exposure to a fresh Ag-nanoparticle deposition cycle; for advanced degradation, the substrate should be considered non-recoverable and re-fabricated — the prior report's 'reusability via UV photocatalytic cleaning' (Bai et al. 2019) addresses organic contamination, not oxidation, and should not be assumed to reverse this failure mode.</w:t>
      </w:r>
    </w:p>
    <w:p>
      <w:pPr>
        <w:pStyle w:val="Heading2"/>
        <w:spacing w:after="160" w:before="300"/>
      </w:pPr>
      <w:r>
        <w:t xml:space="preserve">Nanowire collapse/bundling</w:t>
      </w:r>
    </w:p>
    <w:p>
      <w:pPr>
        <w:spacing w:after="160"/>
      </w:pPr>
      <w:r>
        <w:t xml:space="preserve">Why it happens: High-aspect-ratio Si nanowires are pulled together by capillary forces at a retreating liquid meniscus during evaporative drying. DIRECT EVIDENCE for the general phenomenon and mitigation strategies in vertical nanostructures broadly (Ghosh et al., ACS Appl. Mater. Interfaces 2022); STRONG INFERENCE as applied to this specific MACE nanowire geometry (not the exact system studied in that paper).</w:t>
      </w:r>
    </w:p>
    <w:p>
      <w:pPr>
        <w:spacing w:after="160"/>
      </w:pPr>
      <w:r>
        <w:t xml:space="preserve">How to detect it: Detect via: SEM imaging showing wires clumped into bundles/tufts rather than standing individually; a corresponding drop in reflectance-based 'blackness' (per the prior report's Part 7) and in measured SERS reproducibility (RSD).</w:t>
      </w:r>
    </w:p>
    <w:p>
      <w:pPr>
        <w:spacing w:after="160"/>
      </w:pPr>
      <w:r>
        <w:t xml:space="preserve">How to prevent it: Prevent via: critical-point drying, freeze-drying, or low-surface-tension solvent exchange (e.g., pentane) instead of direct evaporative air-drying (per the prior report's Part 2, step 9, now reinforced by the specific literature located in this pass); alternatively, limiting nanowire aspect ratio (Part 3) below the geometry's critical collapse threshold.</w:t>
      </w:r>
    </w:p>
    <w:p>
      <w:pPr>
        <w:spacing w:after="160"/>
      </w:pPr>
      <w:r>
        <w:t xml:space="preserve">How to correct it: Correct via: collapse is generally not reversible once dry — the practical correction is process prevention, not post-hoc repair; a collapsed batch should be discarded and the drying step revised.</w:t>
      </w:r>
    </w:p>
    <w:p>
      <w:pPr>
        <w:pStyle w:val="Heading2"/>
        <w:spacing w:after="160" w:before="300"/>
      </w:pPr>
      <w:r>
        <w:t xml:space="preserve">Protein fouling</w:t>
      </w:r>
    </w:p>
    <w:p>
      <w:pPr>
        <w:spacing w:after="160"/>
      </w:pPr>
      <w:r>
        <w:t xml:space="preserve">Why it happens: Nonspecific adsorption of blood/lysate proteins onto the Ag surface and any exposed capture chemistry, physically blocking hotspots and adding background signal. STRONG INFERENCE (well-established general challenge in SERS/blood biosensing, per the prior report's Part 10; not NAM-specific).</w:t>
      </w:r>
    </w:p>
    <w:p>
      <w:pPr>
        <w:spacing w:after="160"/>
      </w:pPr>
      <w:r>
        <w:t xml:space="preserve">How to detect it: Detect via: rising baseline/background Raman signal in matrix-containing samples relative to buffer-only controls; XPS or EDS showing carbon/nitrogen-rich (protein) surface layers post-exposure.</w:t>
      </w:r>
    </w:p>
    <w:p>
      <w:pPr>
        <w:spacing w:after="160"/>
      </w:pPr>
      <w:r>
        <w:t xml:space="preserve">How to prevent it: Prevent via: the PEG-diluted mixed SAM strategy (Part 5); sample pre-treatment (ultrafiltration/protein precipitation, Part 9 Stage 8).</w:t>
      </w:r>
    </w:p>
    <w:p>
      <w:pPr>
        <w:spacing w:after="160"/>
      </w:pPr>
      <w:r>
        <w:t xml:space="preserve">How to correct it: Correct via: substrate regeneration protocols specific to the chosen chemistry (e.g., mild acid rinse to reverse boronate ester binding and release bound protein/analyte, Part 5) — effectiveness against protein fouling specifically has not been demonstrated for this system. ENGINEERING HYPOTHESIS.</w:t>
      </w:r>
    </w:p>
    <w:p>
      <w:pPr>
        <w:pStyle w:val="Heading2"/>
        <w:spacing w:after="160" w:before="300"/>
      </w:pPr>
      <w:r>
        <w:t xml:space="preserve">Weak/insufficient adsorption (of NAM specifically)</w:t>
      </w:r>
    </w:p>
    <w:p>
      <w:pPr>
        <w:spacing w:after="160"/>
      </w:pPr>
      <w:r>
        <w:t xml:space="preserve">Why it happens: NAM's lack of a strong native anchor to bare Ag (Part 1.5) and short predicted physisorption residence time (Part 2.2).</w:t>
      </w:r>
    </w:p>
    <w:p>
      <w:pPr>
        <w:spacing w:after="160"/>
      </w:pPr>
      <w:r>
        <w:t xml:space="preserve">How to detect it: Detect via: R6G control signal present and strong, but NAM signal weak/absent/inconsistent — isolates the failure to NAM-surface chemistry rather than general substrate failure (per the prior report's Part 9, Step 1).</w:t>
      </w:r>
    </w:p>
    <w:p>
      <w:pPr>
        <w:spacing w:after="160"/>
      </w:pPr>
      <w:r>
        <w:t xml:space="preserve">How to prevent it: Prevent via: boronic-acid capture chemistry from the outset (Part 5), rather than discovering the failure empirically first — though the prior report's staged plan deliberately tests bare Ag first as a scientific control, this is an anticipated, not merely possible, failure.</w:t>
      </w:r>
    </w:p>
    <w:p>
      <w:pPr>
        <w:spacing w:after="160"/>
      </w:pPr>
      <w:r>
        <w:t xml:space="preserve">How to correct it: Correct via: the full decision tree in the prior report's Part 9 (chemistry incubation/coverage optimization → Ag morphology → nanostructure, in that order).</w:t>
      </w:r>
    </w:p>
    <w:p>
      <w:pPr>
        <w:pStyle w:val="Heading2"/>
        <w:spacing w:after="160" w:before="300"/>
      </w:pPr>
      <w:r>
        <w:t xml:space="preserve">Coffee-ring effect</w:t>
      </w:r>
    </w:p>
    <w:p>
      <w:pPr>
        <w:spacing w:after="160"/>
      </w:pPr>
      <w:r>
        <w:t xml:space="preserve">Why it happens: Outward capillary flow during pinned-contact-line droplet evaporation concentrates analyte at the drop periphery rather than distributing it across the hotspot-bearing area (Part 4). STRONG INFERENCE, general droplet-evaporation physics.</w:t>
      </w:r>
    </w:p>
    <w:p>
      <w:pPr>
        <w:spacing w:after="160"/>
      </w:pPr>
      <w:r>
        <w:t xml:space="preserve">How to detect it: Detect via: Raman mapping across a dried spot showing strong edge-vs-center signal disparity.</w:t>
      </w:r>
    </w:p>
    <w:p>
      <w:pPr>
        <w:spacing w:after="160"/>
      </w:pPr>
      <w:r>
        <w:t xml:space="preserve">How to prevent it: Prevent via: substrate surface engineering for a non-pinned or de-pinning contact line (hydrophobic texture, per Part 4's cited pillar-array literature), or controlled/rotational drying.</w:t>
      </w:r>
    </w:p>
    <w:p>
      <w:pPr>
        <w:spacing w:after="160"/>
      </w:pPr>
      <w:r>
        <w:t xml:space="preserve">How to correct it: Correct via: if suppression is not achieved, deliberately map/measure at the ring location rather than the drop center, or exploit the effect for pre-concentration (Part 4) rather than fighting it — a reframing rather than a fix.</w:t>
      </w:r>
    </w:p>
    <w:p>
      <w:pPr>
        <w:pStyle w:val="Heading2"/>
        <w:spacing w:after="160" w:before="300"/>
      </w:pPr>
      <w:r>
        <w:t xml:space="preserve">Laser-induced heating</w:t>
      </w:r>
    </w:p>
    <w:p>
      <w:pPr>
        <w:spacing w:after="160"/>
      </w:pPr>
      <w:r>
        <w:t xml:space="preserve">Why it happens: Focused laser excitation at the metal nanostructure can locally heat the substrate/analyte, particularly at high power or long dwell times on a low-thermal-mass nanostructured (rather than bulk) substrate. ENGINEERING HYPOTHESIS — a well-known general SERS/Raman concern; no NAM- or this-substrate-specific measurement was located.</w:t>
      </w:r>
    </w:p>
    <w:p>
      <w:pPr>
        <w:spacing w:after="160"/>
      </w:pPr>
      <w:r>
        <w:t xml:space="preserve">How to detect it: Detect via: signal drift/decay over repeated acquisitions at the same spot, or spectral changes consistent with sample degradation rather than simple photobleaching.</w:t>
      </w:r>
    </w:p>
    <w:p>
      <w:pPr>
        <w:spacing w:after="160"/>
      </w:pPr>
      <w:r>
        <w:t xml:space="preserve">How to prevent it: Prevent via: minimizing laser power and/or dwell time to the lowest level giving adequate signal-to-noise (informed by the R6G Stage 1 power/time optimization); moving to a fresh spot for each measurement rather than repeated exposure of one location.</w:t>
      </w:r>
    </w:p>
    <w:p>
      <w:pPr>
        <w:spacing w:after="160"/>
      </w:pPr>
      <w:r>
        <w:t xml:space="preserve">How to correct it: Correct via: not correctable once damage has occurred at a given spot; re-measure at a fresh location with reduced power.</w:t>
      </w:r>
    </w:p>
    <w:p>
      <w:pPr>
        <w:pStyle w:val="Heading2"/>
        <w:spacing w:after="160" w:before="300"/>
      </w:pPr>
      <w:r>
        <w:t xml:space="preserve">Photobleaching / photodegradation of the analyte or capture chemistry</w:t>
      </w:r>
    </w:p>
    <w:p>
      <w:pPr>
        <w:spacing w:after="160"/>
      </w:pPr>
      <w:r>
        <w:t xml:space="preserve">Why it happens: Continuous laser exposure can photochemically degrade organic analytes or ligands, particularly boronic-acid/thiol chemistries under prolonged UV/visible exposure. ENGINEERING HYPOTHESIS, general Raman-spectroscopy concern.</w:t>
      </w:r>
    </w:p>
    <w:p>
      <w:pPr>
        <w:spacing w:after="160"/>
      </w:pPr>
      <w:r>
        <w:t xml:space="preserve">How to detect it: Detect via: progressive signal decay during a single, repeated-acquisition measurement at a fixed spot (distinct from laser heating primarily by the spectral signature of degradation products appearing, if any).</w:t>
      </w:r>
    </w:p>
    <w:p>
      <w:pPr>
        <w:spacing w:after="160"/>
      </w:pPr>
      <w:r>
        <w:t xml:space="preserve">How to prevent it: Prevent via: shortest practical integration time/lowest practical power consistent with adequate SNR (echoing the laser-heating mitigation); use of a longer excitation wavelength (785 nm) where photochemical degradation is generally less probable than at shorter/higher-energy wavelengths.</w:t>
      </w:r>
    </w:p>
    <w:p>
      <w:pPr>
        <w:spacing w:after="160"/>
      </w:pPr>
      <w:r>
        <w:t xml:space="preserve">How to correct it: Correct via: not correctable post-hoc; procedural prevention only.</w:t>
      </w:r>
    </w:p>
    <w:p>
      <w:pPr>
        <w:pStyle w:val="Heading2"/>
        <w:spacing w:after="160" w:before="300"/>
      </w:pPr>
      <w:r>
        <w:t xml:space="preserve">Nanoparticle aggregation (uncontrolled, distinct from the engineered coupled-particle hotspots of Part 3)</w:t>
      </w:r>
    </w:p>
    <w:p>
      <w:pPr>
        <w:spacing w:after="160"/>
      </w:pPr>
      <w:r>
        <w:t xml:space="preserve">Why it happens: Uncontrolled Ag nanoparticle growth/coalescence during photoreduction (over-long UV exposure, Part 3) or post-fabrication ripening/aggregation during storage.</w:t>
      </w:r>
    </w:p>
    <w:p>
      <w:pPr>
        <w:spacing w:after="160"/>
      </w:pPr>
      <w:r>
        <w:t xml:space="preserve">How to detect it: Detect via: SEM showing fused/irregular particles rather than discrete, well-separated particles; broadened/red-shifted UV-Vis LSPR band relative to a fresh, well-controlled batch.</w:t>
      </w:r>
    </w:p>
    <w:p>
      <w:pPr>
        <w:spacing w:after="160"/>
      </w:pPr>
      <w:r>
        <w:t xml:space="preserve">How to prevent it: Prevent via: tight control of UV photoreduction time and citrate concentration (Part 3, per Bai et al. 2019's tunable recipe); prompt post-fabrication storage (per the oxidation-driven urgency noted above, which likely correlates with handling time generally).</w:t>
      </w:r>
    </w:p>
    <w:p>
      <w:pPr>
        <w:spacing w:after="160"/>
      </w:pPr>
      <w:r>
        <w:t xml:space="preserve">How to correct it: Correct via: not correctable once aggregated; re-fabricate.</w:t>
      </w:r>
    </w:p>
    <w:p>
      <w:pPr>
        <w:pStyle w:val="Heading2"/>
        <w:spacing w:after="160" w:before="300"/>
      </w:pPr>
      <w:r>
        <w:t xml:space="preserve">Surface contamination (organic residue from handling, dicing, adhesives, ambient exposure)</w:t>
      </w:r>
    </w:p>
    <w:p>
      <w:pPr>
        <w:spacing w:after="160"/>
      </w:pPr>
      <w:r>
        <w:t xml:space="preserve">Why it happens: Adventitious carbon and other organics adsorb onto the high-surface-area Ag layer, masking or altering the true SERS spectrum with contaminant bands. DIRECT EVIDENCE that carbon contamination specifically accompanies the oxidation timeline above (Matikainen et al. 2016 XPS data, same source as the oxidation entry).</w:t>
      </w:r>
    </w:p>
    <w:p>
      <w:pPr>
        <w:spacing w:after="160"/>
      </w:pPr>
      <w:r>
        <w:t xml:space="preserve">How to detect it: Detect via: unexpected/unassigned Raman bands on a nominally blank substrate; XPS carbon signal in excess of what oxidation alone would predict.</w:t>
      </w:r>
    </w:p>
    <w:p>
      <w:pPr>
        <w:spacing w:after="160"/>
      </w:pPr>
      <w:r>
        <w:t xml:space="preserve">How to prevent it: Prevent via: minimal, glove/tool-controlled handling; avoiding adhesives or packaging materials in direct contact with the SERS-active face; the same rapid-use/inert-storage discipline as the oxidation entry, since the two failure modes are shown (same source) to progress together.</w:t>
      </w:r>
    </w:p>
    <w:p>
      <w:pPr>
        <w:spacing w:after="160"/>
      </w:pPr>
      <w:r>
        <w:t xml:space="preserve">How to correct it: Correct via: the UV-photocatalytic cleaning protocol demonstrated by Bai et al. (2019) for organic (specifically R6G) removal and substrate reuse — DIRECT EVIDENCE that this specific substrate family tolerates a UV-cleaning regeneration step, though its effectiveness against general adventitious carbon contamination (rather than a dye) specifically was not verified in the same study.</w:t>
      </w:r>
    </w:p>
    <w:p>
      <w:pPr>
        <w:pStyle w:val="Heading2"/>
        <w:spacing w:after="160" w:before="300"/>
      </w:pPr>
      <w:r>
        <w:t xml:space="preserve">Hydration barrier / incomplete wetting of the nanostructure</w:t>
      </w:r>
    </w:p>
    <w:p>
      <w:pPr>
        <w:spacing w:after="160"/>
      </w:pPr>
      <w:r>
        <w:t xml:space="preserve">Why it happens: A strongly hydrophobic (Cassie-state) nanostructured surface (per the prior report's Part 7) can resist full liquid infiltration, trapping air pockets that prevent analyte-bearing solution from reaching interior hotspots. ENGINEERING HYPOTHESIS, consistent with general wetting physics on textured hydrophobic surfaces.</w:t>
      </w:r>
    </w:p>
    <w:p>
      <w:pPr>
        <w:spacing w:after="160"/>
      </w:pPr>
      <w:r>
        <w:t xml:space="preserve">How to detect it: Detect via: SEM/optical inspection showing dry, unwetted regions within the nanostructure after nominal drop-casting; inconsistent signal between substrates or even between regions of the same substrate.</w:t>
      </w:r>
    </w:p>
    <w:p>
      <w:pPr>
        <w:spacing w:after="160"/>
      </w:pPr>
      <w:r>
        <w:t xml:space="preserve">How to prevent it: Prevent via: a brief surface-activation step (e.g., mild plasma or UV/ozone treatment immediately before use) to transiently increase hydrophilicity and promote full infiltration, or use of an active delivery method (vacuum/pressure infiltration, Part 8) rather than passive wetting.</w:t>
      </w:r>
    </w:p>
    <w:p>
      <w:pPr>
        <w:spacing w:after="160"/>
      </w:pPr>
      <w:r>
        <w:t xml:space="preserve">How to correct it: Correct via: re-treat and re-attempt; not correctable after the sample has already dried in a partially wetted state.</w:t>
      </w:r>
    </w:p>
    <w:p>
      <w:pPr>
        <w:pStyle w:val="Heading1"/>
        <w:spacing w:after="200" w:before="400"/>
      </w:pPr>
      <w:r>
        <w:t xml:space="preserve">Part 11 — Future Sensor Development Roadmap</w:t>
      </w:r>
    </w:p>
    <w:p>
      <w:pPr>
        <w:pStyle w:val="Heading3"/>
        <w:spacing w:after="120" w:before="240"/>
      </w:pPr>
      <w:r>
        <w:t xml:space="preserve">Portable sensor</w:t>
      </w:r>
    </w:p>
    <w:p>
      <w:pPr>
        <w:spacing w:after="160"/>
      </w:pPr>
      <w:r>
        <w:t xml:space="preserve">Requires replacing benchtop confocal Raman with a compact/handheld Raman spectrometer — a mature commercial product category generally (STRONG INFERENCE for feasibility as a category; ENGINEERING HYPOTHESIS for compatibility with the specific low-signal, non-resonant NAM measurement, which will demand a sensitive handheld unit, likely 785 nm, consistent with Part 8/9's wavelength recommendation).</w:t>
      </w:r>
    </w:p>
    <w:p>
      <w:pPr>
        <w:pStyle w:val="Heading3"/>
        <w:spacing w:after="120" w:before="240"/>
      </w:pPr>
      <w:r>
        <w:t xml:space="preserve">Disposable cartridge</w:t>
      </w:r>
    </w:p>
    <w:p>
      <w:pPr>
        <w:spacing w:after="160"/>
      </w:pPr>
      <w:r>
        <w:t xml:space="preserve">Given the oxidation/contamination urgency documented in Part 10 (meaningful signal loss within minutes-to-hours of air exposure), a single-use, sealed/desiccated cartridge format is not merely a convenience feature but a direct engineering response to this failure mode — ENGINEERING HYPOTHESIS, a design implication drawn from the DIRECT EVIDENCE degradation data.</w:t>
      </w:r>
    </w:p>
    <w:p>
      <w:pPr>
        <w:pStyle w:val="Heading3"/>
        <w:spacing w:after="120" w:before="240"/>
      </w:pPr>
      <w:r>
        <w:t xml:space="preserve">Microfluidic integration</w:t>
      </w:r>
    </w:p>
    <w:p>
      <w:pPr>
        <w:spacing w:after="160"/>
      </w:pPr>
      <w:r>
        <w:t xml:space="preserve">Builds directly on Part 8's delivery-method analysis; a cartridge that combines sample introduction, any needed pre-treatment (plasma separation/protein removal, Part 9 Stages 8–9), and delivery to the SERS-active region in one sealed unit is the natural convergence of the failure-mode and delivery-method findings above.</w:t>
      </w:r>
    </w:p>
    <w:p>
      <w:pPr>
        <w:pStyle w:val="Heading3"/>
        <w:spacing w:after="120" w:before="240"/>
      </w:pPr>
      <w:r>
        <w:t xml:space="preserve">Point-of-care device</w:t>
      </w:r>
    </w:p>
    <w:p>
      <w:pPr>
        <w:spacing w:after="160"/>
      </w:pPr>
      <w:r>
        <w:t xml:space="preserve">Combines the above three items with a simplified user workflow (sample-in, result-out); regulatory and usability requirements (Part 11.6/11.7 below) become dominant considerations at this stage, well beyond the scope of the analytical chemistry addressed in this report.</w:t>
      </w:r>
    </w:p>
    <w:p>
      <w:pPr>
        <w:pStyle w:val="Heading3"/>
        <w:spacing w:after="120" w:before="240"/>
      </w:pPr>
      <w:r>
        <w:t xml:space="preserve">Machine-learning Raman analysis</w:t>
      </w:r>
    </w:p>
    <w:p>
      <w:pPr>
        <w:spacing w:after="160"/>
      </w:pPr>
      <w:r>
        <w:t xml:space="preserve">Multivariate/chemometric analysis (e.g., PCA, PLS-DA, or more recent ML approaches) is explicitly called for in this report's own Part 9 (Stages 3, 6) to deconvolve overlapping spectral signatures (NAM vs. glucose, NAM vs. lysate background) — this is not a distant future capability but a near-term necessity once matrix complexity is introduced. STRONG INFERENCE that such methods are broadly effective for this class of problem (well established in the general Raman/chemometrics literature); ENGINEERING HYPOTHESIS for NAM specifically, since no NAM spectral dataset yet exists to train on.</w:t>
      </w:r>
    </w:p>
    <w:p>
      <w:pPr>
        <w:pStyle w:val="Heading3"/>
        <w:spacing w:after="120" w:before="240"/>
      </w:pPr>
      <w:r>
        <w:t xml:space="preserve">Clinical validation</w:t>
      </w:r>
    </w:p>
    <w:p>
      <w:pPr>
        <w:spacing w:after="160"/>
      </w:pPr>
      <w:r>
        <w:t xml:space="preserve">Follows standard diagnostic-assay development practice (Part 9, Stage 10): analytical validation (accuracy, precision, linearity, LOD, specificity) must precede a clinical diagnostic-accuracy study (sensitivity/specificity/ROC-AUC against a reference method such as LC-MS/MS peptidoglycan quantification or blood culture), which in turn must precede any diagnostic-use claim.</w:t>
      </w:r>
    </w:p>
    <w:p>
      <w:pPr>
        <w:pStyle w:val="Heading3"/>
        <w:spacing w:after="120" w:before="240"/>
      </w:pPr>
      <w:r>
        <w:t xml:space="preserve">Regulatory pathway</w:t>
      </w:r>
    </w:p>
    <w:p>
      <w:pPr>
        <w:spacing w:after="160"/>
      </w:pPr>
      <w:r>
        <w:t xml:space="preserve">Not addressed in the surveyed SERS literature and outside this report's chemistry/physics scope; in general terms, a novel sepsis biomarker diagnostic of this kind would be expected to require an in vitro diagnostic (IVD) regulatory pathway appropriate to its jurisdiction, with clinical performance data as the central evidentiary requirement — ENGINEERING HYPOTHESIS/general knowledge, not sourced from a specific regulatory-science publication in this research pass.</w:t>
      </w:r>
    </w:p>
    <w:p>
      <w:pPr>
        <w:pStyle w:val="Heading3"/>
        <w:spacing w:after="120" w:before="240"/>
      </w:pPr>
      <w:r>
        <w:t xml:space="preserve">Manufacturing</w:t>
      </w:r>
    </w:p>
    <w:p>
      <w:pPr>
        <w:spacing w:after="160"/>
      </w:pPr>
      <w:r>
        <w:t xml:space="preserve">The base MACE + photonic-reduction process (prior report's Part 2) is wet-chemistry-based and does not require specialized lithography, which is favorable for scalable, relatively low-cost manufacturing relative to lithographically defined nanopillar arrays — STRONG INFERENCE, general nanofabrication-cost reasoning, not a manufacturing-scale study specific to this substrate.</w:t>
      </w:r>
    </w:p>
    <w:p>
      <w:pPr>
        <w:pStyle w:val="Heading3"/>
        <w:spacing w:after="120" w:before="240"/>
      </w:pPr>
      <w:r>
        <w:t xml:space="preserve">Commercialization</w:t>
      </w:r>
    </w:p>
    <w:p>
      <w:pPr>
        <w:spacing w:after="160"/>
      </w:pPr>
      <w:r>
        <w:t xml:space="preserve">Downstream of all the above; not addressed further here as it falls outside the multidisciplinary technical scope of this report (materials/chemistry/physics/biomedical engineering) into business strategy.</w:t>
      </w:r>
    </w:p>
    <w:p>
      <w:pPr>
        <w:pStyle w:val="Heading1"/>
        <w:spacing w:after="200" w:before="400"/>
      </w:pPr>
      <w:r>
        <w:t xml:space="preserve">Part 12 — Final Engineering Recommendation</w:t>
      </w:r>
    </w:p>
    <w:p>
      <w:pPr>
        <w:pStyle w:val="Heading2"/>
        <w:spacing w:after="160" w:before="300"/>
      </w:pPr>
      <w:r>
        <w:t xml:space="preserve">Complete Architecture</w:t>
      </w:r>
    </w:p>
    <w:p>
      <w:pPr>
        <w:spacing w:after="160"/>
      </w:pPr>
      <w:r>
        <w:t xml:space="preserve">Ag-nanoparticle-decorated Si nanowire forest (MACE, ~10 µm nanowires at ~400 nm pitch, Bai et al. 2019 base geometry), with the photonic-reduction step tuned to favor tip-concentrated Ag nanoparticle growth (30–40 nm particles, 5–20 nm inter-particle gaps by analogy to Hoang et al. 2025), functionalized with a mixed thiol-anchored boronic-acid/PEG self-assembled monolayer (~1–2 nm total thickness). Evidence level: STRONG INFERENCE for the base architecture and gap/particle-size targets (transferred from closely related, verified literature); ENGINEERING HYPOTHESIS for the tip-favoring tuning and the specific mixed-SAM composition, neither of which has been tested for NAM.</w:t>
      </w:r>
    </w:p>
    <w:p>
      <w:pPr>
        <w:pStyle w:val="Heading2"/>
        <w:spacing w:after="160" w:before="300"/>
      </w:pPr>
      <w:r>
        <w:t xml:space="preserve">Fabrication Flow</w:t>
      </w:r>
    </w:p>
    <w:p>
      <w:pPr>
        <w:spacing w:after="160"/>
      </w:pPr>
      <w:r>
        <w:t xml:space="preserve">Unchanged from the prior report's Part 2 (wafer dicing → clean → native-oxide strip → HF/AgNO₃ nucleation → HF/H₂O₂ MACE etch → HNO₃ Ag-template strip → UV photonic Ag-nanoparticle deposition, tuned toward tip-favoring growth per Part 7 of this report → controlled drying (critical-point or solvent-exchange, per Part 10's collapse-prevention finding) → immediate, minimal-delay functionalization or inert-atmosphere storage (per Part 10's oxidation-timeline finding, which tightens the prior report's storage guidance from 'days-to-weeks' to 'minutes-to-hours' before meaningful degradation begins).</w:t>
      </w:r>
    </w:p>
    <w:p>
      <w:pPr>
        <w:pStyle w:val="Heading2"/>
        <w:spacing w:after="160" w:before="300"/>
      </w:pPr>
      <w:r>
        <w:t xml:space="preserve">Chemistry</w:t>
      </w:r>
    </w:p>
    <w:p>
      <w:pPr>
        <w:spacing w:after="160"/>
      </w:pPr>
      <w:r>
        <w:t xml:space="preserve">Boronic acid (e.g., MPBA) plus a PEG diluent, co-deposited as a mixed thiol SAM, targeting NAM's ring cis-diol via reversible boronate ester formation (STRONG INFERENCE, glucose precedent), with PEG suppressing nonspecific protein/background binding for the later matrix stages (STRONG INFERENCE, general mixed-SAM biosensing practice). Ag/MOF pre-concentration (STRONG INFERENCE, dopamine precedent) is the recommended second-choice chemistry if the SAM approach under-performs specifically on residence time/sensitivity grounds.</w:t>
      </w:r>
    </w:p>
    <w:p>
      <w:pPr>
        <w:pStyle w:val="Heading2"/>
        <w:spacing w:after="160" w:before="300"/>
      </w:pPr>
      <w:r>
        <w:t xml:space="preserve">Characterization</w:t>
      </w:r>
    </w:p>
    <w:p>
      <w:pPr>
        <w:spacing w:after="160"/>
      </w:pPr>
      <w:r>
        <w:t xml:space="preserve">SEM/TEM (geometry, particle size/gaps), EDS (Ag/S/B elemental confirmation pre- and post-functionalization), XRD (metallic Ag phase confirmation), XPS (Ag oxidation state — now understood, per Part 10, to require near-immediate post-fabrication measurement given the minutes-to-hours degradation timeline — and post-functionalization S 2p/B 1s ligand confirmation), reflectance (black-Si texture confirmation), contact angle (wetting behavior, informing Part 4/8's coffee-ring and infiltration analysis), UV-Vis (LSPR position/aggregation state). Unchanged in substance from the prior report's Part 7, with added urgency on XPS timing per this report's Part 10 finding.</w:t>
      </w:r>
    </w:p>
    <w:p>
      <w:pPr>
        <w:pStyle w:val="Heading2"/>
        <w:spacing w:after="160" w:before="300"/>
      </w:pPr>
      <w:r>
        <w:t xml:space="preserve">Raman Protocol</w:t>
      </w:r>
    </w:p>
    <w:p>
      <w:pPr>
        <w:spacing w:after="160"/>
      </w:pPr>
      <w:r>
        <w:t xml:space="preserve">785 nm excitation (STRONG INFERENCE recommendation, informed by hemoglobin/biofluid interference literature and consistent with the prior report's Part 8), Raman mapping rather than single-point acquisition for all NAM measurements (ENGINEERING HYPOTHESIS, direct response to the coffee-ring finding in Part 4), power/integration time set to the minimum giving adequate SNR on the R6G benchmark before being applied to NAM (ENGINEERING HYPOTHESIS, direct response to the laser-heating/photobleaching failure modes in Part 10).</w:t>
      </w:r>
    </w:p>
    <w:p>
      <w:pPr>
        <w:pStyle w:val="Heading2"/>
        <w:spacing w:after="160" w:before="300"/>
      </w:pPr>
      <w:r>
        <w:t xml:space="preserve">Optimization Sequence</w:t>
      </w:r>
    </w:p>
    <w:p>
      <w:pPr>
        <w:spacing w:after="160"/>
      </w:pPr>
      <w:r>
        <w:t xml:space="preserve">Unchanged in structure from the prior report's Part 9 decision tree (chemistry before Ag morphology before nanostructure, one variable at a time), now informed by this report's specific parameter targets: chemistry optimization should start from the mixed boronic-acid/PEG SAM (not boronic-acid-alone) given this report's Part 5 ranking; Ag-morphology optimization should target the 5–20 nm gap / 30–40 nm particle regime identified in Part 3; nanostructure-level changes should consider tip-favoring growth (Part 7) before a full architectural change (e.g., to the porous-Si-microcavity alternative, Part 7).</w:t>
      </w:r>
    </w:p>
    <w:p>
      <w:pPr>
        <w:pStyle w:val="Heading2"/>
        <w:spacing w:after="160" w:before="300"/>
      </w:pPr>
      <w:r>
        <w:t xml:space="preserve">Validation Experiments</w:t>
      </w:r>
    </w:p>
    <w:p>
      <w:pPr>
        <w:spacing w:after="160"/>
      </w:pPr>
      <w:r>
        <w:t xml:space="preserve">The 10-stage plan in Part 9 of this report, which supersedes and extends the prior report's simpler pure-NAM-to-clinical pathway by explicitly inserting glucose (Stage 3), amino acid (Stage 4), and protein (Stage 5) interference stages before lysate/culture/plasma/blood — because the mixed-SAM chemistry recommended here has known, specific, literature-predicted cross-reactivity risks (diol competition, thiol competition, protein fouling) that should each be isolated and characterized individually before they compound in a real biological matrix.</w:t>
      </w:r>
    </w:p>
    <w:p>
      <w:pPr>
        <w:pStyle w:val="Heading2"/>
        <w:spacing w:after="160" w:before="300"/>
      </w:pPr>
      <w:r>
        <w:t xml:space="preserve">Clinical Translation</w:t>
      </w:r>
    </w:p>
    <w:p>
      <w:pPr>
        <w:spacing w:after="160"/>
      </w:pPr>
      <w:r>
        <w:t xml:space="preserve">Unchanged in principle from the prior report's Part 10/Part 12, now sequenced explicitly after Part 9's expanded interference-testing stages, with the regulatory/manufacturing/commercialization considerations of Part 11 (this report) as the subsequent, non-technical phase.</w:t>
      </w:r>
    </w:p>
    <w:p>
      <w:pPr>
        <w:pStyle w:val="Heading2"/>
        <w:spacing w:after="160" w:before="300"/>
      </w:pPr>
      <w:r>
        <w:t xml:space="preserve">Evidence Level, Confidence, and Remaining Uncertainties — Summary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2500"/>
        <w:gridCol w:w="3200"/>
      </w:tblGrid>
      <w:tr>
        <w:trPr>
          <w:tblHeader/>
        </w:trPr>
        <w:tc>
          <w:tcPr>
            <w:tcW w:type="dxa" w:w="1900"/>
            <w:shd w:fill="1F3864" w:val="clear"/>
            <w:tcMar>
              <w:top w:type="dxa" w:w="60"/>
              <w:left w:type="dxa" w:w="80"/>
              <w:bottom w:type="dxa" w:w="60"/>
              <w:right w:type="dxa" w:w="80"/>
            </w:tcMar>
            <w:vAlign w:val="center"/>
          </w:tcPr>
          <w:p>
            <w:r>
              <w:rPr>
                <w:b/>
                <w:bCs/>
                <w:color w:val="FFFFFF"/>
                <w:sz w:val="18"/>
                <w:szCs w:val="18"/>
              </w:rPr>
              <w:t xml:space="preserve">Recommendation</w:t>
            </w:r>
          </w:p>
        </w:tc>
        <w:tc>
          <w:tcPr>
            <w:tcW w:type="dxa" w:w="1500"/>
            <w:shd w:fill="1F3864" w:val="clear"/>
            <w:tcMar>
              <w:top w:type="dxa" w:w="60"/>
              <w:left w:type="dxa" w:w="80"/>
              <w:bottom w:type="dxa" w:w="60"/>
              <w:right w:type="dxa" w:w="80"/>
            </w:tcMar>
            <w:vAlign w:val="center"/>
          </w:tcPr>
          <w:p>
            <w:r>
              <w:rPr>
                <w:b/>
                <w:bCs/>
                <w:color w:val="FFFFFF"/>
                <w:sz w:val="18"/>
                <w:szCs w:val="18"/>
              </w:rPr>
              <w:t xml:space="preserve">Evidence level</w:t>
            </w:r>
          </w:p>
        </w:tc>
        <w:tc>
          <w:tcPr>
            <w:tcW w:type="dxa" w:w="900"/>
            <w:shd w:fill="1F3864" w:val="clear"/>
            <w:tcMar>
              <w:top w:type="dxa" w:w="60"/>
              <w:left w:type="dxa" w:w="80"/>
              <w:bottom w:type="dxa" w:w="60"/>
              <w:right w:type="dxa" w:w="80"/>
            </w:tcMar>
            <w:vAlign w:val="center"/>
          </w:tcPr>
          <w:p>
            <w:r>
              <w:rPr>
                <w:b/>
                <w:bCs/>
                <w:color w:val="FFFFFF"/>
                <w:sz w:val="18"/>
                <w:szCs w:val="18"/>
              </w:rPr>
              <w:t xml:space="preserve">Confidence</w:t>
            </w:r>
          </w:p>
        </w:tc>
        <w:tc>
          <w:tcPr>
            <w:tcW w:type="dxa" w:w="2500"/>
            <w:shd w:fill="1F3864" w:val="clear"/>
            <w:tcMar>
              <w:top w:type="dxa" w:w="60"/>
              <w:left w:type="dxa" w:w="80"/>
              <w:bottom w:type="dxa" w:w="60"/>
              <w:right w:type="dxa" w:w="80"/>
            </w:tcMar>
            <w:vAlign w:val="center"/>
          </w:tcPr>
          <w:p>
            <w:r>
              <w:rPr>
                <w:b/>
                <w:bCs/>
                <w:color w:val="FFFFFF"/>
                <w:sz w:val="18"/>
                <w:szCs w:val="18"/>
              </w:rPr>
              <w:t xml:space="preserve">Key supporting publication(s)</w:t>
            </w:r>
          </w:p>
        </w:tc>
        <w:tc>
          <w:tcPr>
            <w:tcW w:type="dxa" w:w="3200"/>
            <w:shd w:fill="1F3864" w:val="clear"/>
            <w:tcMar>
              <w:top w:type="dxa" w:w="60"/>
              <w:left w:type="dxa" w:w="80"/>
              <w:bottom w:type="dxa" w:w="60"/>
              <w:right w:type="dxa" w:w="80"/>
            </w:tcMar>
            <w:vAlign w:val="center"/>
          </w:tcPr>
          <w:p>
            <w:r>
              <w:rPr>
                <w:b/>
                <w:bCs/>
                <w:color w:val="FFFFFF"/>
                <w:sz w:val="18"/>
                <w:szCs w:val="18"/>
              </w:rPr>
              <w:t xml:space="preserve">Remaining uncertainty</w:t>
            </w:r>
          </w:p>
        </w:tc>
      </w:tr>
      <w:tr>
        <w:tc>
          <w:tcPr>
            <w:tcW w:type="dxa" w:w="1900"/>
            <w:tcMar>
              <w:top w:type="dxa" w:w="60"/>
              <w:left w:type="dxa" w:w="80"/>
              <w:bottom w:type="dxa" w:w="60"/>
              <w:right w:type="dxa" w:w="80"/>
            </w:tcMar>
            <w:vAlign w:val="center"/>
          </w:tcPr>
          <w:p>
            <w:r>
              <w:rPr>
                <w:b w:val="false"/>
                <w:bCs w:val="false"/>
                <w:sz w:val="18"/>
                <w:szCs w:val="18"/>
              </w:rPr>
              <w:t xml:space="preserve">Base MACE/Ag nanowire architecture</w:t>
            </w:r>
          </w:p>
        </w:tc>
        <w:tc>
          <w:tcPr>
            <w:tcW w:type="dxa" w:w="1500"/>
            <w:tcMar>
              <w:top w:type="dxa" w:w="60"/>
              <w:left w:type="dxa" w:w="80"/>
              <w:bottom w:type="dxa" w:w="60"/>
              <w:right w:type="dxa" w:w="80"/>
            </w:tcMar>
            <w:vAlign w:val="center"/>
          </w:tcPr>
          <w:p>
            <w:r>
              <w:rPr>
                <w:b w:val="false"/>
                <w:bCs w:val="false"/>
                <w:sz w:val="18"/>
                <w:szCs w:val="18"/>
              </w:rPr>
              <w:t xml:space="preserve">STRONG INFERENCE (verified on n-type 1–10 Ω·cm Si, matching the project wafer)</w:t>
            </w:r>
          </w:p>
        </w:tc>
        <w:tc>
          <w:tcPr>
            <w:tcW w:type="dxa" w:w="900"/>
            <w:tcMar>
              <w:top w:type="dxa" w:w="60"/>
              <w:left w:type="dxa" w:w="80"/>
              <w:bottom w:type="dxa" w:w="60"/>
              <w:right w:type="dxa" w:w="80"/>
            </w:tcMar>
            <w:vAlign w:val="center"/>
          </w:tcPr>
          <w:p>
            <w:r>
              <w:rPr>
                <w:b w:val="false"/>
                <w:bCs w:val="false"/>
                <w:sz w:val="18"/>
                <w:szCs w:val="18"/>
              </w:rPr>
              <w:t xml:space="preserve">High for reproducing literature-level EF on R6G/dopamine; unknown for NAM</w:t>
            </w:r>
          </w:p>
        </w:tc>
        <w:tc>
          <w:tcPr>
            <w:tcW w:type="dxa" w:w="2500"/>
            <w:tcMar>
              <w:top w:type="dxa" w:w="60"/>
              <w:left w:type="dxa" w:w="80"/>
              <w:bottom w:type="dxa" w:w="60"/>
              <w:right w:type="dxa" w:w="80"/>
            </w:tcMar>
            <w:vAlign w:val="center"/>
          </w:tcPr>
          <w:p>
            <w:r>
              <w:rPr>
                <w:b w:val="false"/>
                <w:bCs w:val="false"/>
                <w:sz w:val="18"/>
                <w:szCs w:val="18"/>
              </w:rPr>
              <w:t xml:space="preserve">Bai et al., Nanomaterials 2019, 9, 1531</w:t>
            </w:r>
          </w:p>
        </w:tc>
        <w:tc>
          <w:tcPr>
            <w:tcW w:type="dxa" w:w="3200"/>
            <w:tcMar>
              <w:top w:type="dxa" w:w="60"/>
              <w:left w:type="dxa" w:w="80"/>
              <w:bottom w:type="dxa" w:w="60"/>
              <w:right w:type="dxa" w:w="80"/>
            </w:tcMar>
            <w:vAlign w:val="center"/>
          </w:tcPr>
          <w:p>
            <w:r>
              <w:rPr>
                <w:b w:val="false"/>
                <w:bCs w:val="false"/>
                <w:sz w:val="18"/>
                <w:szCs w:val="18"/>
              </w:rPr>
              <w:t xml:space="preserve">Whether the accessible-hotspot fraction for NAM specifically matches the R6G-validated EF</w:t>
            </w:r>
          </w:p>
        </w:tc>
      </w:tr>
      <w:tr>
        <w:tc>
          <w:tcPr>
            <w:tcW w:type="dxa" w:w="1900"/>
            <w:tcMar>
              <w:top w:type="dxa" w:w="60"/>
              <w:left w:type="dxa" w:w="80"/>
              <w:bottom w:type="dxa" w:w="60"/>
              <w:right w:type="dxa" w:w="80"/>
            </w:tcMar>
            <w:vAlign w:val="center"/>
          </w:tcPr>
          <w:p>
            <w:r>
              <w:rPr>
                <w:b w:val="false"/>
                <w:bCs w:val="false"/>
                <w:sz w:val="18"/>
                <w:szCs w:val="18"/>
              </w:rPr>
              <w:t xml:space="preserve">30–40 nm Ag particles / 5–20 nm gaps as the target regime</w:t>
            </w:r>
          </w:p>
        </w:tc>
        <w:tc>
          <w:tcPr>
            <w:tcW w:type="dxa" w:w="1500"/>
            <w:tcMar>
              <w:top w:type="dxa" w:w="60"/>
              <w:left w:type="dxa" w:w="80"/>
              <w:bottom w:type="dxa" w:w="60"/>
              <w:right w:type="dxa" w:w="80"/>
            </w:tcMar>
            <w:vAlign w:val="center"/>
          </w:tcPr>
          <w:p>
            <w:r>
              <w:rPr>
                <w:b w:val="false"/>
                <w:bCs w:val="false"/>
                <w:sz w:val="18"/>
                <w:szCs w:val="18"/>
              </w:rPr>
              <w:t xml:space="preserve">STRONG INFERENCE (transferred from a related but distinct porous-Si/Ag system)</w:t>
            </w:r>
          </w:p>
        </w:tc>
        <w:tc>
          <w:tcPr>
            <w:tcW w:type="dxa" w:w="900"/>
            <w:tcMar>
              <w:top w:type="dxa" w:w="60"/>
              <w:left w:type="dxa" w:w="80"/>
              <w:bottom w:type="dxa" w:w="60"/>
              <w:right w:type="dxa" w:w="80"/>
            </w:tcMar>
            <w:vAlign w:val="center"/>
          </w:tcPr>
          <w:p>
            <w:r>
              <w:rPr>
                <w:b w:val="false"/>
                <w:bCs w:val="false"/>
                <w:sz w:val="18"/>
                <w:szCs w:val="18"/>
              </w:rPr>
              <w:t xml:space="preserve">Moderate</w:t>
            </w:r>
          </w:p>
        </w:tc>
        <w:tc>
          <w:tcPr>
            <w:tcW w:type="dxa" w:w="2500"/>
            <w:tcMar>
              <w:top w:type="dxa" w:w="60"/>
              <w:left w:type="dxa" w:w="80"/>
              <w:bottom w:type="dxa" w:w="60"/>
              <w:right w:type="dxa" w:w="80"/>
            </w:tcMar>
            <w:vAlign w:val="center"/>
          </w:tcPr>
          <w:p>
            <w:r>
              <w:rPr>
                <w:b w:val="false"/>
                <w:bCs w:val="false"/>
                <w:sz w:val="18"/>
                <w:szCs w:val="18"/>
              </w:rPr>
              <w:t xml:space="preserve">Hoang et al., Nanomaterials 2025, 15, 1007</w:t>
            </w:r>
          </w:p>
        </w:tc>
        <w:tc>
          <w:tcPr>
            <w:tcW w:type="dxa" w:w="3200"/>
            <w:tcMar>
              <w:top w:type="dxa" w:w="60"/>
              <w:left w:type="dxa" w:w="80"/>
              <w:bottom w:type="dxa" w:w="60"/>
              <w:right w:type="dxa" w:w="80"/>
            </w:tcMar>
            <w:vAlign w:val="center"/>
          </w:tcPr>
          <w:p>
            <w:r>
              <w:rPr>
                <w:b w:val="false"/>
                <w:bCs w:val="false"/>
                <w:sz w:val="18"/>
                <w:szCs w:val="18"/>
              </w:rPr>
              <w:t xml:space="preserve">Whether this gap regime is simultaneously optimal for enhancement and NAM accessibility, not separately optimal for each</w:t>
            </w:r>
          </w:p>
        </w:tc>
      </w:tr>
      <w:tr>
        <w:tc>
          <w:tcPr>
            <w:tcW w:type="dxa" w:w="1900"/>
            <w:tcMar>
              <w:top w:type="dxa" w:w="60"/>
              <w:left w:type="dxa" w:w="80"/>
              <w:bottom w:type="dxa" w:w="60"/>
              <w:right w:type="dxa" w:w="80"/>
            </w:tcMar>
            <w:vAlign w:val="center"/>
          </w:tcPr>
          <w:p>
            <w:r>
              <w:rPr>
                <w:b w:val="false"/>
                <w:bCs w:val="false"/>
                <w:sz w:val="18"/>
                <w:szCs w:val="18"/>
              </w:rPr>
              <w:t xml:space="preserve">Boronic-acid/PEG mixed SAM as capture chemistry</w:t>
            </w:r>
          </w:p>
        </w:tc>
        <w:tc>
          <w:tcPr>
            <w:tcW w:type="dxa" w:w="1500"/>
            <w:tcMar>
              <w:top w:type="dxa" w:w="60"/>
              <w:left w:type="dxa" w:w="80"/>
              <w:bottom w:type="dxa" w:w="60"/>
              <w:right w:type="dxa" w:w="80"/>
            </w:tcMar>
            <w:vAlign w:val="center"/>
          </w:tcPr>
          <w:p>
            <w:r>
              <w:rPr>
                <w:b w:val="false"/>
                <w:bCs w:val="false"/>
                <w:sz w:val="18"/>
                <w:szCs w:val="18"/>
              </w:rPr>
              <w:t xml:space="preserve">STRONG INFERENCE (glucose precedent for the capture mechanism; general mixed-SAM literature for the anti-fouling strategy)</w:t>
            </w:r>
          </w:p>
        </w:tc>
        <w:tc>
          <w:tcPr>
            <w:tcW w:type="dxa" w:w="900"/>
            <w:tcMar>
              <w:top w:type="dxa" w:w="60"/>
              <w:left w:type="dxa" w:w="80"/>
              <w:bottom w:type="dxa" w:w="60"/>
              <w:right w:type="dxa" w:w="80"/>
            </w:tcMar>
            <w:vAlign w:val="center"/>
          </w:tcPr>
          <w:p>
            <w:r>
              <w:rPr>
                <w:b w:val="false"/>
                <w:bCs w:val="false"/>
                <w:sz w:val="18"/>
                <w:szCs w:val="18"/>
              </w:rPr>
              <w:t xml:space="preserve">Moderate</w:t>
            </w:r>
          </w:p>
        </w:tc>
        <w:tc>
          <w:tcPr>
            <w:tcW w:type="dxa" w:w="2500"/>
            <w:tcMar>
              <w:top w:type="dxa" w:w="60"/>
              <w:left w:type="dxa" w:w="80"/>
              <w:bottom w:type="dxa" w:w="60"/>
              <w:right w:type="dxa" w:w="80"/>
            </w:tcMar>
            <w:vAlign w:val="center"/>
          </w:tcPr>
          <w:p>
            <w:r>
              <w:rPr>
                <w:b w:val="false"/>
                <w:bCs w:val="false"/>
                <w:sz w:val="18"/>
                <w:szCs w:val="18"/>
              </w:rPr>
              <w:t xml:space="preserve">Gonzalez-Rodriguez et al., Chemosensors 2024, 12, 63</w:t>
            </w:r>
          </w:p>
        </w:tc>
        <w:tc>
          <w:tcPr>
            <w:tcW w:type="dxa" w:w="3200"/>
            <w:tcMar>
              <w:top w:type="dxa" w:w="60"/>
              <w:left w:type="dxa" w:w="80"/>
              <w:bottom w:type="dxa" w:w="60"/>
              <w:right w:type="dxa" w:w="80"/>
            </w:tcMar>
            <w:vAlign w:val="center"/>
          </w:tcPr>
          <w:p>
            <w:r>
              <w:rPr>
                <w:b w:val="false"/>
                <w:bCs w:val="false"/>
                <w:sz w:val="18"/>
                <w:szCs w:val="18"/>
              </w:rPr>
              <w:t xml:space="preserve">Never tested on NAM; cross-reactivity with glucose and other blood diols is an anticipated, not yet characterized, risk (Part 9, Stage 3)</w:t>
            </w:r>
          </w:p>
        </w:tc>
      </w:tr>
      <w:tr>
        <w:tc>
          <w:tcPr>
            <w:tcW w:type="dxa" w:w="1900"/>
            <w:tcMar>
              <w:top w:type="dxa" w:w="60"/>
              <w:left w:type="dxa" w:w="80"/>
              <w:bottom w:type="dxa" w:w="60"/>
              <w:right w:type="dxa" w:w="80"/>
            </w:tcMar>
            <w:vAlign w:val="center"/>
          </w:tcPr>
          <w:p>
            <w:r>
              <w:rPr>
                <w:b w:val="false"/>
                <w:bCs w:val="false"/>
                <w:sz w:val="18"/>
                <w:szCs w:val="18"/>
              </w:rPr>
              <w:t xml:space="preserve">Ag/MOF as a second-choice capture strategy</w:t>
            </w:r>
          </w:p>
        </w:tc>
        <w:tc>
          <w:tcPr>
            <w:tcW w:type="dxa" w:w="1500"/>
            <w:tcMar>
              <w:top w:type="dxa" w:w="60"/>
              <w:left w:type="dxa" w:w="80"/>
              <w:bottom w:type="dxa" w:w="60"/>
              <w:right w:type="dxa" w:w="80"/>
            </w:tcMar>
            <w:vAlign w:val="center"/>
          </w:tcPr>
          <w:p>
            <w:r>
              <w:rPr>
                <w:b w:val="false"/>
                <w:bCs w:val="false"/>
                <w:sz w:val="18"/>
                <w:szCs w:val="18"/>
              </w:rPr>
              <w:t xml:space="preserve">STRONG INFERENCE (dopamine precedent, comparable small-polar-molecule class)</w:t>
            </w:r>
          </w:p>
        </w:tc>
        <w:tc>
          <w:tcPr>
            <w:tcW w:type="dxa" w:w="900"/>
            <w:tcMar>
              <w:top w:type="dxa" w:w="60"/>
              <w:left w:type="dxa" w:w="80"/>
              <w:bottom w:type="dxa" w:w="60"/>
              <w:right w:type="dxa" w:w="80"/>
            </w:tcMar>
            <w:vAlign w:val="center"/>
          </w:tcPr>
          <w:p>
            <w:r>
              <w:rPr>
                <w:b w:val="false"/>
                <w:bCs w:val="false"/>
                <w:sz w:val="18"/>
                <w:szCs w:val="18"/>
              </w:rPr>
              <w:t xml:space="preserve">Low-moderate</w:t>
            </w:r>
          </w:p>
        </w:tc>
        <w:tc>
          <w:tcPr>
            <w:tcW w:type="dxa" w:w="2500"/>
            <w:tcMar>
              <w:top w:type="dxa" w:w="60"/>
              <w:left w:type="dxa" w:w="80"/>
              <w:bottom w:type="dxa" w:w="60"/>
              <w:right w:type="dxa" w:w="80"/>
            </w:tcMar>
            <w:vAlign w:val="center"/>
          </w:tcPr>
          <w:p>
            <w:r>
              <w:rPr>
                <w:b w:val="false"/>
                <w:bCs w:val="false"/>
                <w:sz w:val="18"/>
                <w:szCs w:val="18"/>
              </w:rPr>
              <w:t xml:space="preserve">Jiang et al., Anal. Chem. 2015, 87, 12177</w:t>
            </w:r>
          </w:p>
        </w:tc>
        <w:tc>
          <w:tcPr>
            <w:tcW w:type="dxa" w:w="3200"/>
            <w:tcMar>
              <w:top w:type="dxa" w:w="60"/>
              <w:left w:type="dxa" w:w="80"/>
              <w:bottom w:type="dxa" w:w="60"/>
              <w:right w:type="dxa" w:w="80"/>
            </w:tcMar>
            <w:vAlign w:val="center"/>
          </w:tcPr>
          <w:p>
            <w:r>
              <w:rPr>
                <w:b w:val="false"/>
                <w:bCs w:val="false"/>
                <w:sz w:val="18"/>
                <w:szCs w:val="18"/>
              </w:rPr>
              <w:t xml:space="preserve">Not evaluated for a carbohydrate/carboxylate analyte in the source study; larger process change than the SAM approach</w:t>
            </w:r>
          </w:p>
        </w:tc>
      </w:tr>
      <w:tr>
        <w:tc>
          <w:tcPr>
            <w:tcW w:type="dxa" w:w="1900"/>
            <w:tcMar>
              <w:top w:type="dxa" w:w="60"/>
              <w:left w:type="dxa" w:w="80"/>
              <w:bottom w:type="dxa" w:w="60"/>
              <w:right w:type="dxa" w:w="80"/>
            </w:tcMar>
            <w:vAlign w:val="center"/>
          </w:tcPr>
          <w:p>
            <w:r>
              <w:rPr>
                <w:b w:val="false"/>
                <w:bCs w:val="false"/>
                <w:sz w:val="18"/>
                <w:szCs w:val="18"/>
              </w:rPr>
              <w:t xml:space="preserve">Cyclodextrin chemistry de-prioritized for NAM</w:t>
            </w:r>
          </w:p>
        </w:tc>
        <w:tc>
          <w:tcPr>
            <w:tcW w:type="dxa" w:w="1500"/>
            <w:tcMar>
              <w:top w:type="dxa" w:w="60"/>
              <w:left w:type="dxa" w:w="80"/>
              <w:bottom w:type="dxa" w:w="60"/>
              <w:right w:type="dxa" w:w="80"/>
            </w:tcMar>
            <w:vAlign w:val="center"/>
          </w:tcPr>
          <w:p>
            <w:r>
              <w:rPr>
                <w:b w:val="false"/>
                <w:bCs w:val="false"/>
                <w:sz w:val="18"/>
                <w:szCs w:val="18"/>
              </w:rPr>
              <w:t xml:space="preserve">STRONG INFERENCE (negative finding, from mechanism mismatch)</w:t>
            </w:r>
          </w:p>
        </w:tc>
        <w:tc>
          <w:tcPr>
            <w:tcW w:type="dxa" w:w="900"/>
            <w:tcMar>
              <w:top w:type="dxa" w:w="60"/>
              <w:left w:type="dxa" w:w="80"/>
              <w:bottom w:type="dxa" w:w="60"/>
              <w:right w:type="dxa" w:w="80"/>
            </w:tcMar>
            <w:vAlign w:val="center"/>
          </w:tcPr>
          <w:p>
            <w:r>
              <w:rPr>
                <w:b w:val="false"/>
                <w:bCs w:val="false"/>
                <w:sz w:val="18"/>
                <w:szCs w:val="18"/>
              </w:rPr>
              <w:t xml:space="preserve">High (for the negative conclusion specifically)</w:t>
            </w:r>
          </w:p>
        </w:tc>
        <w:tc>
          <w:tcPr>
            <w:tcW w:type="dxa" w:w="2500"/>
            <w:tcMar>
              <w:top w:type="dxa" w:w="60"/>
              <w:left w:type="dxa" w:w="80"/>
              <w:bottom w:type="dxa" w:w="60"/>
              <w:right w:type="dxa" w:w="80"/>
            </w:tcMar>
            <w:vAlign w:val="center"/>
          </w:tcPr>
          <w:p>
            <w:r>
              <w:rPr>
                <w:b w:val="false"/>
                <w:bCs w:val="false"/>
                <w:sz w:val="18"/>
                <w:szCs w:val="18"/>
              </w:rPr>
              <w:t xml:space="preserve">Yuan &amp; Wang, Biosensors 2025, 15, 52</w:t>
            </w:r>
          </w:p>
        </w:tc>
        <w:tc>
          <w:tcPr>
            <w:tcW w:type="dxa" w:w="3200"/>
            <w:tcMar>
              <w:top w:type="dxa" w:w="60"/>
              <w:left w:type="dxa" w:w="80"/>
              <w:bottom w:type="dxa" w:w="60"/>
              <w:right w:type="dxa" w:w="80"/>
            </w:tcMar>
            <w:vAlign w:val="center"/>
          </w:tcPr>
          <w:p>
            <w:r>
              <w:rPr>
                <w:b w:val="false"/>
                <w:bCs w:val="false"/>
                <w:sz w:val="18"/>
                <w:szCs w:val="18"/>
              </w:rPr>
              <w:t xml:space="preserve">Could be revisited if a hydrophobic NAM derivative/pro-drug form were ever relevant, which is outside this project's scope (pure NAM)</w:t>
            </w:r>
          </w:p>
        </w:tc>
      </w:tr>
      <w:tr>
        <w:tc>
          <w:tcPr>
            <w:tcW w:type="dxa" w:w="1900"/>
            <w:tcMar>
              <w:top w:type="dxa" w:w="60"/>
              <w:left w:type="dxa" w:w="80"/>
              <w:bottom w:type="dxa" w:w="60"/>
              <w:right w:type="dxa" w:w="80"/>
            </w:tcMar>
            <w:vAlign w:val="center"/>
          </w:tcPr>
          <w:p>
            <w:r>
              <w:rPr>
                <w:b w:val="false"/>
                <w:bCs w:val="false"/>
                <w:sz w:val="18"/>
                <w:szCs w:val="18"/>
              </w:rPr>
              <w:t xml:space="preserve">Ag oxidation is a minutes-to-hours-scale failure mode requiring near-immediate use/inert storage</w:t>
            </w:r>
          </w:p>
        </w:tc>
        <w:tc>
          <w:tcPr>
            <w:tcW w:type="dxa" w:w="1500"/>
            <w:tcMar>
              <w:top w:type="dxa" w:w="60"/>
              <w:left w:type="dxa" w:w="80"/>
              <w:bottom w:type="dxa" w:w="60"/>
              <w:right w:type="dxa" w:w="80"/>
            </w:tcMar>
            <w:vAlign w:val="center"/>
          </w:tcPr>
          <w:p>
            <w:r>
              <w:rPr>
                <w:b w:val="false"/>
                <w:bCs w:val="false"/>
                <w:sz w:val="18"/>
                <w:szCs w:val="18"/>
              </w:rPr>
              <w:t xml:space="preserve">DIRECT EVIDENCE</w:t>
            </w:r>
          </w:p>
        </w:tc>
        <w:tc>
          <w:tcPr>
            <w:tcW w:type="dxa" w:w="900"/>
            <w:tcMar>
              <w:top w:type="dxa" w:w="60"/>
              <w:left w:type="dxa" w:w="80"/>
              <w:bottom w:type="dxa" w:w="60"/>
              <w:right w:type="dxa" w:w="80"/>
            </w:tcMar>
            <w:vAlign w:val="center"/>
          </w:tcPr>
          <w:p>
            <w:r>
              <w:rPr>
                <w:b w:val="false"/>
                <w:bCs w:val="false"/>
                <w:sz w:val="18"/>
                <w:szCs w:val="18"/>
              </w:rPr>
              <w:t xml:space="preserve">High</w:t>
            </w:r>
          </w:p>
        </w:tc>
        <w:tc>
          <w:tcPr>
            <w:tcW w:type="dxa" w:w="2500"/>
            <w:tcMar>
              <w:top w:type="dxa" w:w="60"/>
              <w:left w:type="dxa" w:w="80"/>
              <w:bottom w:type="dxa" w:w="60"/>
              <w:right w:type="dxa" w:w="80"/>
            </w:tcMar>
            <w:vAlign w:val="center"/>
          </w:tcPr>
          <w:p>
            <w:r>
              <w:rPr>
                <w:b w:val="false"/>
                <w:bCs w:val="false"/>
                <w:sz w:val="18"/>
                <w:szCs w:val="18"/>
              </w:rPr>
              <w:t xml:space="preserve">Matikainen et al., Scientific Reports 2016, 6, 37192</w:t>
            </w:r>
          </w:p>
        </w:tc>
        <w:tc>
          <w:tcPr>
            <w:tcW w:type="dxa" w:w="3200"/>
            <w:tcMar>
              <w:top w:type="dxa" w:w="60"/>
              <w:left w:type="dxa" w:w="80"/>
              <w:bottom w:type="dxa" w:w="60"/>
              <w:right w:type="dxa" w:w="80"/>
            </w:tcMar>
            <w:vAlign w:val="center"/>
          </w:tcPr>
          <w:p>
            <w:r>
              <w:rPr>
                <w:b w:val="false"/>
                <w:bCs w:val="false"/>
                <w:sz w:val="18"/>
                <w:szCs w:val="18"/>
              </w:rPr>
              <w:t xml:space="preserve">Whether the specific nanowire/nanoparticle geometry used here degrades on exactly the same timescale as the flat/simpler Ag substrates studied in the source paper</w:t>
            </w:r>
          </w:p>
        </w:tc>
      </w:tr>
      <w:tr>
        <w:tc>
          <w:tcPr>
            <w:tcW w:type="dxa" w:w="1900"/>
            <w:tcMar>
              <w:top w:type="dxa" w:w="60"/>
              <w:left w:type="dxa" w:w="80"/>
              <w:bottom w:type="dxa" w:w="60"/>
              <w:right w:type="dxa" w:w="80"/>
            </w:tcMar>
            <w:vAlign w:val="center"/>
          </w:tcPr>
          <w:p>
            <w:r>
              <w:rPr>
                <w:b w:val="false"/>
                <w:bCs w:val="false"/>
                <w:sz w:val="18"/>
                <w:szCs w:val="18"/>
              </w:rPr>
              <w:t xml:space="preserve">Nanowire collapse prevention via controlled drying</w:t>
            </w:r>
          </w:p>
        </w:tc>
        <w:tc>
          <w:tcPr>
            <w:tcW w:type="dxa" w:w="1500"/>
            <w:tcMar>
              <w:top w:type="dxa" w:w="60"/>
              <w:left w:type="dxa" w:w="80"/>
              <w:bottom w:type="dxa" w:w="60"/>
              <w:right w:type="dxa" w:w="80"/>
            </w:tcMar>
            <w:vAlign w:val="center"/>
          </w:tcPr>
          <w:p>
            <w:r>
              <w:rPr>
                <w:b w:val="false"/>
                <w:bCs w:val="false"/>
                <w:sz w:val="18"/>
                <w:szCs w:val="18"/>
              </w:rPr>
              <w:t xml:space="preserve">DIRECT EVIDENCE (general phenomenon); STRONG INFERENCE (this system)</w:t>
            </w:r>
          </w:p>
        </w:tc>
        <w:tc>
          <w:tcPr>
            <w:tcW w:type="dxa" w:w="900"/>
            <w:tcMar>
              <w:top w:type="dxa" w:w="60"/>
              <w:left w:type="dxa" w:w="80"/>
              <w:bottom w:type="dxa" w:w="60"/>
              <w:right w:type="dxa" w:w="80"/>
            </w:tcMar>
            <w:vAlign w:val="center"/>
          </w:tcPr>
          <w:p>
            <w:r>
              <w:rPr>
                <w:b w:val="false"/>
                <w:bCs w:val="false"/>
                <w:sz w:val="18"/>
                <w:szCs w:val="18"/>
              </w:rPr>
              <w:t xml:space="preserve">Moderate-high</w:t>
            </w:r>
          </w:p>
        </w:tc>
        <w:tc>
          <w:tcPr>
            <w:tcW w:type="dxa" w:w="2500"/>
            <w:tcMar>
              <w:top w:type="dxa" w:w="60"/>
              <w:left w:type="dxa" w:w="80"/>
              <w:bottom w:type="dxa" w:w="60"/>
              <w:right w:type="dxa" w:w="80"/>
            </w:tcMar>
            <w:vAlign w:val="center"/>
          </w:tcPr>
          <w:p>
            <w:r>
              <w:rPr>
                <w:b w:val="false"/>
                <w:bCs w:val="false"/>
                <w:sz w:val="18"/>
                <w:szCs w:val="18"/>
              </w:rPr>
              <w:t xml:space="preserve">Ghosh et al., ACS Appl. Mater. Interfaces 2022</w:t>
            </w:r>
          </w:p>
        </w:tc>
        <w:tc>
          <w:tcPr>
            <w:tcW w:type="dxa" w:w="3200"/>
            <w:tcMar>
              <w:top w:type="dxa" w:w="60"/>
              <w:left w:type="dxa" w:w="80"/>
              <w:bottom w:type="dxa" w:w="60"/>
              <w:right w:type="dxa" w:w="80"/>
            </w:tcMar>
            <w:vAlign w:val="center"/>
          </w:tcPr>
          <w:p>
            <w:r>
              <w:rPr>
                <w:b w:val="false"/>
                <w:bCs w:val="false"/>
                <w:sz w:val="18"/>
                <w:szCs w:val="18"/>
              </w:rPr>
              <w:t xml:space="preserve">Collapse threshold (critical aspect ratio) not independently measured for this exact MACE geometry</w:t>
            </w:r>
          </w:p>
        </w:tc>
      </w:tr>
      <w:tr>
        <w:tc>
          <w:tcPr>
            <w:tcW w:type="dxa" w:w="1900"/>
            <w:tcMar>
              <w:top w:type="dxa" w:w="60"/>
              <w:left w:type="dxa" w:w="80"/>
              <w:bottom w:type="dxa" w:w="60"/>
              <w:right w:type="dxa" w:w="80"/>
            </w:tcMar>
            <w:vAlign w:val="center"/>
          </w:tcPr>
          <w:p>
            <w:r>
              <w:rPr>
                <w:b w:val="false"/>
                <w:bCs w:val="false"/>
                <w:sz w:val="18"/>
                <w:szCs w:val="18"/>
              </w:rPr>
              <w:t xml:space="preserve">785 nm excitation for NAM/biofluid stages</w:t>
            </w:r>
          </w:p>
        </w:tc>
        <w:tc>
          <w:tcPr>
            <w:tcW w:type="dxa" w:w="1500"/>
            <w:tcMar>
              <w:top w:type="dxa" w:w="60"/>
              <w:left w:type="dxa" w:w="80"/>
              <w:bottom w:type="dxa" w:w="60"/>
              <w:right w:type="dxa" w:w="80"/>
            </w:tcMar>
            <w:vAlign w:val="center"/>
          </w:tcPr>
          <w:p>
            <w:r>
              <w:rPr>
                <w:b w:val="false"/>
                <w:bCs w:val="false"/>
                <w:sz w:val="18"/>
                <w:szCs w:val="18"/>
              </w:rPr>
              <w:t xml:space="preserve">STRONG INFERENCE</w:t>
            </w:r>
          </w:p>
        </w:tc>
        <w:tc>
          <w:tcPr>
            <w:tcW w:type="dxa" w:w="900"/>
            <w:tcMar>
              <w:top w:type="dxa" w:w="60"/>
              <w:left w:type="dxa" w:w="80"/>
              <w:bottom w:type="dxa" w:w="60"/>
              <w:right w:type="dxa" w:w="80"/>
            </w:tcMar>
            <w:vAlign w:val="center"/>
          </w:tcPr>
          <w:p>
            <w:r>
              <w:rPr>
                <w:b w:val="false"/>
                <w:bCs w:val="false"/>
                <w:sz w:val="18"/>
                <w:szCs w:val="18"/>
              </w:rPr>
              <w:t xml:space="preserve">Moderate</w:t>
            </w:r>
          </w:p>
        </w:tc>
        <w:tc>
          <w:tcPr>
            <w:tcW w:type="dxa" w:w="2500"/>
            <w:tcMar>
              <w:top w:type="dxa" w:w="60"/>
              <w:left w:type="dxa" w:w="80"/>
              <w:bottom w:type="dxa" w:w="60"/>
              <w:right w:type="dxa" w:w="80"/>
            </w:tcMar>
            <w:vAlign w:val="center"/>
          </w:tcPr>
          <w:p>
            <w:r>
              <w:rPr>
                <w:b w:val="false"/>
                <w:bCs w:val="false"/>
                <w:sz w:val="18"/>
                <w:szCs w:val="18"/>
              </w:rPr>
              <w:t xml:space="preserve">Padrez &amp; Golubewa, Biosensors 2024, 14, 453 (biofluid-tolerance precedent, prior report)</w:t>
            </w:r>
          </w:p>
        </w:tc>
        <w:tc>
          <w:tcPr>
            <w:tcW w:type="dxa" w:w="3200"/>
            <w:tcMar>
              <w:top w:type="dxa" w:w="60"/>
              <w:left w:type="dxa" w:w="80"/>
              <w:bottom w:type="dxa" w:w="60"/>
              <w:right w:type="dxa" w:w="80"/>
            </w:tcMar>
            <w:vAlign w:val="center"/>
          </w:tcPr>
          <w:p>
            <w:r>
              <w:rPr>
                <w:b w:val="false"/>
                <w:bCs w:val="false"/>
                <w:sz w:val="18"/>
                <w:szCs w:val="18"/>
              </w:rPr>
              <w:t xml:space="preserve">Not validated against a directly measured NAM resonance/fluorescence profile, since no NAM Raman spectrum yet exists</w:t>
            </w:r>
          </w:p>
        </w:tc>
      </w:tr>
      <w:tr>
        <w:tc>
          <w:tcPr>
            <w:tcW w:type="dxa" w:w="1900"/>
            <w:tcMar>
              <w:top w:type="dxa" w:w="60"/>
              <w:left w:type="dxa" w:w="80"/>
              <w:bottom w:type="dxa" w:w="60"/>
              <w:right w:type="dxa" w:w="80"/>
            </w:tcMar>
            <w:vAlign w:val="center"/>
          </w:tcPr>
          <w:p>
            <w:r>
              <w:rPr>
                <w:b w:val="false"/>
                <w:bCs w:val="false"/>
                <w:sz w:val="18"/>
                <w:szCs w:val="18"/>
              </w:rPr>
              <w:t xml:space="preserve">Predicted NAM Raman bands / adsorption orientation</w:t>
            </w:r>
          </w:p>
        </w:tc>
        <w:tc>
          <w:tcPr>
            <w:tcW w:type="dxa" w:w="1500"/>
            <w:tcMar>
              <w:top w:type="dxa" w:w="60"/>
              <w:left w:type="dxa" w:w="80"/>
              <w:bottom w:type="dxa" w:w="60"/>
              <w:right w:type="dxa" w:w="80"/>
            </w:tcMar>
            <w:vAlign w:val="center"/>
          </w:tcPr>
          <w:p>
            <w:r>
              <w:rPr>
                <w:b w:val="false"/>
                <w:bCs w:val="false"/>
                <w:sz w:val="18"/>
                <w:szCs w:val="18"/>
              </w:rPr>
              <w:t xml:space="preserve">ENGINEERING HYPOTHESIS (computed/inferred, not measured)</w:t>
            </w:r>
          </w:p>
        </w:tc>
        <w:tc>
          <w:tcPr>
            <w:tcW w:type="dxa" w:w="900"/>
            <w:tcMar>
              <w:top w:type="dxa" w:w="60"/>
              <w:left w:type="dxa" w:w="80"/>
              <w:bottom w:type="dxa" w:w="60"/>
              <w:right w:type="dxa" w:w="80"/>
            </w:tcMar>
            <w:vAlign w:val="center"/>
          </w:tcPr>
          <w:p>
            <w:r>
              <w:rPr>
                <w:b w:val="false"/>
                <w:bCs w:val="false"/>
                <w:sz w:val="18"/>
                <w:szCs w:val="18"/>
              </w:rPr>
              <w:t xml:space="preserve">Low-moderate</w:t>
            </w:r>
          </w:p>
        </w:tc>
        <w:tc>
          <w:tcPr>
            <w:tcW w:type="dxa" w:w="2500"/>
            <w:tcMar>
              <w:top w:type="dxa" w:w="60"/>
              <w:left w:type="dxa" w:w="80"/>
              <w:bottom w:type="dxa" w:w="60"/>
              <w:right w:type="dxa" w:w="80"/>
            </w:tcMar>
            <w:vAlign w:val="center"/>
          </w:tcPr>
          <w:p>
            <w:r>
              <w:rPr>
                <w:b w:val="false"/>
                <w:bCs w:val="false"/>
                <w:sz w:val="18"/>
                <w:szCs w:val="18"/>
              </w:rPr>
              <w:t xml:space="preserve">This report's own RDKit calculations and group-frequency reasoning; Wang et al., Langmuir 2012 (acid/amide deprotonation precedent, title/journal/year verified, full text not independently re-accessed)</w:t>
            </w:r>
          </w:p>
        </w:tc>
        <w:tc>
          <w:tcPr>
            <w:tcW w:type="dxa" w:w="3200"/>
            <w:tcMar>
              <w:top w:type="dxa" w:w="60"/>
              <w:left w:type="dxa" w:w="80"/>
              <w:bottom w:type="dxa" w:w="60"/>
              <w:right w:type="dxa" w:w="80"/>
            </w:tcMar>
            <w:vAlign w:val="center"/>
          </w:tcPr>
          <w:p>
            <w:r>
              <w:rPr>
                <w:b w:val="false"/>
                <w:bCs w:val="false"/>
                <w:sz w:val="18"/>
                <w:szCs w:val="18"/>
              </w:rPr>
              <w:t xml:space="preserve">No experimental or DFT-computed NAM spectrum exists yet; Part 6's proposed DFT calculation is the direct next step to resolve this</w:t>
            </w:r>
          </w:p>
        </w:tc>
      </w:tr>
      <w:tr>
        <w:tc>
          <w:tcPr>
            <w:tcW w:type="dxa" w:w="1900"/>
            <w:tcMar>
              <w:top w:type="dxa" w:w="60"/>
              <w:left w:type="dxa" w:w="80"/>
              <w:bottom w:type="dxa" w:w="60"/>
              <w:right w:type="dxa" w:w="80"/>
            </w:tcMar>
            <w:vAlign w:val="center"/>
          </w:tcPr>
          <w:p>
            <w:r>
              <w:rPr>
                <w:b w:val="false"/>
                <w:bCs w:val="false"/>
                <w:sz w:val="18"/>
                <w:szCs w:val="18"/>
              </w:rPr>
              <w:t xml:space="preserve">Any specific NAM LOD, EF, or clinical sensitivity/specificity figure</w:t>
            </w:r>
          </w:p>
        </w:tc>
        <w:tc>
          <w:tcPr>
            <w:tcW w:type="dxa" w:w="1500"/>
            <w:tcMar>
              <w:top w:type="dxa" w:w="60"/>
              <w:left w:type="dxa" w:w="80"/>
              <w:bottom w:type="dxa" w:w="60"/>
              <w:right w:type="dxa" w:w="80"/>
            </w:tcMar>
            <w:vAlign w:val="center"/>
          </w:tcPr>
          <w:p>
            <w:r>
              <w:rPr>
                <w:b w:val="false"/>
                <w:bCs w:val="false"/>
                <w:sz w:val="18"/>
                <w:szCs w:val="18"/>
              </w:rPr>
              <w:t xml:space="preserve">Would be SPECULATION if stated now</w:t>
            </w:r>
          </w:p>
        </w:tc>
        <w:tc>
          <w:tcPr>
            <w:tcW w:type="dxa" w:w="900"/>
            <w:tcMar>
              <w:top w:type="dxa" w:w="60"/>
              <w:left w:type="dxa" w:w="80"/>
              <w:bottom w:type="dxa" w:w="60"/>
              <w:right w:type="dxa" w:w="80"/>
            </w:tcMar>
            <w:vAlign w:val="center"/>
          </w:tcPr>
          <w:p>
            <w:r>
              <w:rPr>
                <w:b w:val="false"/>
                <w:bCs w:val="false"/>
                <w:sz w:val="18"/>
                <w:szCs w:val="18"/>
              </w:rPr>
              <w:t xml:space="preserve">N/A</w:t>
            </w:r>
          </w:p>
        </w:tc>
        <w:tc>
          <w:tcPr>
            <w:tcW w:type="dxa" w:w="2500"/>
            <w:tcMar>
              <w:top w:type="dxa" w:w="60"/>
              <w:left w:type="dxa" w:w="80"/>
              <w:bottom w:type="dxa" w:w="60"/>
              <w:right w:type="dxa" w:w="80"/>
            </w:tcMar>
            <w:vAlign w:val="center"/>
          </w:tcPr>
          <w:p>
            <w:r>
              <w:rPr>
                <w:b w:val="false"/>
                <w:bCs w:val="false"/>
                <w:sz w:val="18"/>
                <w:szCs w:val="18"/>
              </w:rPr>
              <w:t xml:space="preserve">None — data does not exist</w:t>
            </w:r>
          </w:p>
        </w:tc>
        <w:tc>
          <w:tcPr>
            <w:tcW w:type="dxa" w:w="3200"/>
            <w:tcMar>
              <w:top w:type="dxa" w:w="60"/>
              <w:left w:type="dxa" w:w="80"/>
              <w:bottom w:type="dxa" w:w="60"/>
              <w:right w:type="dxa" w:w="80"/>
            </w:tcMar>
            <w:vAlign w:val="center"/>
          </w:tcPr>
          <w:p>
            <w:r>
              <w:rPr>
                <w:b w:val="false"/>
                <w:bCs w:val="false"/>
                <w:sz w:val="18"/>
                <w:szCs w:val="18"/>
              </w:rPr>
              <w:t xml:space="preserve">This is the central open question the entire validation plan (Part 9) exists to answer</w:t>
            </w:r>
          </w:p>
        </w:tc>
      </w:tr>
    </w:tbl>
    <w:p>
      <w:pPr>
        <w:pStyle w:val="Heading1"/>
        <w:spacing w:after="200" w:before="400"/>
      </w:pPr>
      <w:r>
        <w:t xml:space="preserve">References</w:t>
      </w:r>
    </w:p>
    <w:p>
      <w:pPr>
        <w:pStyle w:val="ListParagraph"/>
        <w:numPr>
          <w:ilvl w:val="0"/>
          <w:numId w:val="1"/>
        </w:numPr>
        <w:spacing w:after="100"/>
      </w:pPr>
      <w:r>
        <w:t xml:space="preserve">Bai, S.; Du, Y.; Wang, C.; Wu, J.; Sugioka, K. Reusable Surface-Enhanced Raman Spectroscopy Substrates Made of Silicon Nanowire Array Coated with Silver Nanoparticles Fabricated by Metal-Assisted Chemical Etching and Photonic Reduction. Nanomaterials 2019, 9(11), 1531. https://doi.org/10.3390/nano9111531 (carried over from the prior fabrication-selection report).</w:t>
      </w:r>
    </w:p>
    <w:p>
      <w:pPr>
        <w:pStyle w:val="ListParagraph"/>
        <w:numPr>
          <w:ilvl w:val="0"/>
          <w:numId w:val="1"/>
        </w:numPr>
        <w:spacing w:after="100"/>
      </w:pPr>
      <w:r>
        <w:t xml:space="preserve">Padrez, Y.; Golubewa, L. Black Silicon Surface-Enhanced Raman Spectroscopy Biosensors: Current Advances and Prospects. Biosensors 2024, 14(10), 453. https://doi.org/10.3390/bios14100453 (carried over).</w:t>
      </w:r>
    </w:p>
    <w:p>
      <w:pPr>
        <w:pStyle w:val="ListParagraph"/>
        <w:numPr>
          <w:ilvl w:val="0"/>
          <w:numId w:val="1"/>
        </w:numPr>
        <w:spacing w:after="100"/>
      </w:pPr>
      <w:r>
        <w:t xml:space="preserve">Hoang, M.T.; Bui, H.; Hoang, T.H.C.; Pham, V.H.; Loan, N.T.; Le, L.V.; Pham, T.B.; Duc, C.V.; Do, T.C.; Kim, T.J.; Pham, V.H.; Nguyen, T.V. Silver Nanoparticles-Decorated Porous Silicon Microcavity as a High-Performance SERS Substrate for Ultrasensitive Detection of Trace-Level Molecules. Nanomaterials 2025, 15(13), 1007. https://doi.org/10.3390/nano15131007 (carried over).</w:t>
      </w:r>
    </w:p>
    <w:p>
      <w:pPr>
        <w:pStyle w:val="ListParagraph"/>
        <w:numPr>
          <w:ilvl w:val="0"/>
          <w:numId w:val="1"/>
        </w:numPr>
        <w:spacing w:after="100"/>
      </w:pPr>
      <w:r>
        <w:t xml:space="preserve">Gonzalez-Rodriguez, R.; Hathaway, E.; Coffer, J.L.; del Castillo, R.M.; Lin, Y.; Cui, J. Gold Nanoparticles in Porous Silicon Nanotubes for Glucose Detection. Chemosensors 2024, 12(4), 63. https://doi.org/10.3390/chemosensors12040063 (carried over).</w:t>
      </w:r>
    </w:p>
    <w:p>
      <w:pPr>
        <w:pStyle w:val="ListParagraph"/>
        <w:numPr>
          <w:ilvl w:val="0"/>
          <w:numId w:val="1"/>
        </w:numPr>
        <w:spacing w:after="100"/>
      </w:pPr>
      <w:r>
        <w:t xml:space="preserve">Jiang, Z.; Gao, P.; Yang, L.; Huang, C.; Li, Y. Facile in Situ Synthesis of Silver Nanoparticles on the Surface of Metal–Organic Framework for Ultrasensitive Surface-Enhanced Raman Scattering Detection of Dopamine. Analytical Chemistry 2015, 87(24), 12177–12182. https://doi.org/10.1021/acs.analchem.5b03058</w:t>
      </w:r>
    </w:p>
    <w:p>
      <w:pPr>
        <w:pStyle w:val="ListParagraph"/>
        <w:numPr>
          <w:ilvl w:val="0"/>
          <w:numId w:val="1"/>
        </w:numPr>
        <w:spacing w:after="100"/>
      </w:pPr>
      <w:r>
        <w:t xml:space="preserve">Yuan, Q.; Wang, Y. SERS Detection of Hydrophobic Molecules: Thio-β-Cyclodextrin-Driven Rapid Self-Assembly of Uniform Silver Nanoparticle Monolayers and Analyte Trapping. Biosensors 2025, 15(1), 52. https://doi.org/10.3390/bios15010052</w:t>
      </w:r>
    </w:p>
    <w:p>
      <w:pPr>
        <w:pStyle w:val="ListParagraph"/>
        <w:numPr>
          <w:ilvl w:val="0"/>
          <w:numId w:val="1"/>
        </w:numPr>
        <w:spacing w:after="100"/>
      </w:pPr>
      <w:r>
        <w:t xml:space="preserve">Wang, Z.; Yan, R.; Liao, S.; Miao, Y.; Zhang, B.; Wang, F.; Yang, H. In situ reduced silver nanoparticles embedded molecularly imprinted reusable sensor for selective and sensitive SERS detection of Bisphenol A. Applied Surface Science 2018, 457, 323–331. https://doi.org/10.1016/j.apsusc.2018.06.283</w:t>
      </w:r>
    </w:p>
    <w:p>
      <w:pPr>
        <w:pStyle w:val="ListParagraph"/>
        <w:numPr>
          <w:ilvl w:val="0"/>
          <w:numId w:val="1"/>
        </w:numPr>
        <w:spacing w:after="100"/>
      </w:pPr>
      <w:r>
        <w:t xml:space="preserve">Matikainen, A.; Nuutinen, T.; Itkonen, T.; Heinilehto, S.; Puustinen, J.; Hiltunen, J.; Lappalainen, J.; Karioja, P.; Vahimaa, P. Atmospheric oxidation and carbon contamination of silver and its effect on surface-enhanced Raman spectroscopy (SERS). Scientific Reports 2016, 6, 37192. https://doi.org/10.1038/srep37192</w:t>
      </w:r>
    </w:p>
    <w:p>
      <w:pPr>
        <w:pStyle w:val="ListParagraph"/>
        <w:numPr>
          <w:ilvl w:val="0"/>
          <w:numId w:val="1"/>
        </w:numPr>
        <w:spacing w:after="100"/>
      </w:pPr>
      <w:r>
        <w:t xml:space="preserve">Ghosh, A. et al. Preventing the Capillary-Induced Collapse of Vertical Nanostructures. ACS Applied Materials &amp; Interfaces 2022. https://doi.org/10.1021/acsami.1c17781 (title/authors/journal/year/DOI verified via search; full-text methodological detail not independently re-accessed in this pass — general phenomenon and mitigation strategies cited only at the level supported by the abstract/title).</w:t>
      </w:r>
    </w:p>
    <w:p>
      <w:pPr>
        <w:pStyle w:val="ListParagraph"/>
        <w:numPr>
          <w:ilvl w:val="0"/>
          <w:numId w:val="1"/>
        </w:numPr>
        <w:spacing w:after="100"/>
      </w:pPr>
      <w:r>
        <w:t xml:space="preserve">Wang, [initials not independently verified]. Evidence of Deprotonation of Aromatic Acids and Amides Adsorbed on Silver Colloids by Surface-Enhanced Raman Scattering. Langmuir 2012. DOI 10.1021/la204702w (title/journal/year verified via search; full text blocked (403) in this research pass — cited only for the general, title-level finding, not for specific quantitative claims).</w:t>
      </w:r>
    </w:p>
    <w:p>
      <w:pPr>
        <w:pStyle w:val="ListParagraph"/>
        <w:numPr>
          <w:ilvl w:val="0"/>
          <w:numId w:val="1"/>
        </w:numPr>
        <w:spacing w:after="100"/>
      </w:pPr>
      <w:r>
        <w:t xml:space="preserve">"The impact of analyte size on SERS enhancement location, enhancement factor, excitation wavelength, and spectrum." Sensors &amp; Diagnostics (RSC). Title/journal verified via search; full text blocked (403) in this research pass — cited only for the general, title-level principle that analyte size affects hotspot location/enhancement, not for specific quantitative claims.</w:t>
      </w:r>
    </w:p>
    <w:p>
      <w:pPr>
        <w:pStyle w:val="ListParagraph"/>
        <w:numPr>
          <w:ilvl w:val="0"/>
          <w:numId w:val="1"/>
        </w:numPr>
        <w:spacing w:after="100"/>
      </w:pPr>
      <w:r>
        <w:t xml:space="preserve">N-Acetylmuramic acid, physicochemical data (MW, pKa (predicted), water solubility, melting point). ChemicalBook, CB6313265 record (CAS 10597-89-4). https://www.chemicalbook.com/ChemicalProductProperty_EN_CB6313265.htm</w:t>
      </w:r>
    </w:p>
    <w:p>
      <w:pPr>
        <w:pStyle w:val="ListParagraph"/>
        <w:numPr>
          <w:ilvl w:val="0"/>
          <w:numId w:val="1"/>
        </w:numPr>
        <w:spacing w:after="100"/>
      </w:pPr>
      <w:r>
        <w:t xml:space="preserve">N-Acetylmuramic acid, structural summary. Wikipedia. https://en.wikipedia.org/wiki/N-Acetylmuramic_acid</w:t>
      </w:r>
    </w:p>
    <w:p>
      <w:pPr>
        <w:pStyle w:val="ListParagraph"/>
        <w:numPr>
          <w:ilvl w:val="0"/>
          <w:numId w:val="1"/>
        </w:numPr>
        <w:spacing w:after="100"/>
      </w:pPr>
      <w:r>
        <w:t xml:space="preserve">Descriptors (LogP, TPSA, H-bond donor/acceptor count, rotatable bonds, 3-D dimension estimate) computed by this report using RDKit (open-source cheminformatics software implementing the Crippen LogP, Ertl TPSA, and MMFF94 methods) from the SMILES structure reported by ChemicalBook — an engineering calculation, not a literature-reported measurement for NAM.</w:t>
      </w:r>
    </w:p>
    <w:p>
      <w:pPr>
        <w:spacing w:after="160"/>
      </w:pPr>
      <w:r>
        <w:rPr>
          <w:i/>
          <w:iCs/>
          <w:color w:val="666666"/>
          <w:sz w:val="18"/>
          <w:szCs w:val="18"/>
        </w:rPr>
        <w:t xml:space="preserve">Citation-confidence note: all DOIs/bibliographic details above were checked against publisher pages, Crossref, or search-engine metadata during this research session (July 2026). Entries where full-text access was blocked (paywall, robots restriction, or CAPTCHA) are explicitly marked as such rather than having their detailed findings inferred.</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Engineering the NAM SERS Sensor — Molecular &amp; Physical Deep-Dive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2026-07-29T18:37:43.571Z</dcterms:created>
  <dcterms:modified xsi:type="dcterms:W3CDTF">2026-07-29T18:37:43.585Z</dcterms:modified>
</cp:coreProperties>
</file>

<file path=docProps/custom.xml><?xml version="1.0" encoding="utf-8"?>
<Properties xmlns="http://schemas.openxmlformats.org/officeDocument/2006/custom-properties" xmlns:vt="http://schemas.openxmlformats.org/officeDocument/2006/docPropsVTypes"/>
</file>