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Ag/Black-Silicon SERS Sensor for N-Acetylmuramic Acid (NAM)</w:t>
      </w:r>
    </w:p>
    <w:p>
      <w:pPr>
        <w:spacing w:after="300"/>
      </w:pPr>
      <w:r>
        <w:rPr>
          <w:i/>
          <w:iCs/>
          <w:sz w:val="26"/>
          <w:szCs w:val="26"/>
        </w:rPr>
        <w:t xml:space="preserve">A Literature-Grounded Fabrication, Chemistry, and Validation Plan for a Sepsis-Biomarker SERS Platform</w:t>
      </w:r>
    </w:p>
    <w:p>
      <w:pPr>
        <w:spacing w:after="160"/>
      </w:pPr>
      <w:r>
        <w:rPr>
          <w:i/>
          <w:iCs/>
          <w:color w:val="555555"/>
        </w:rPr>
        <w:t xml:space="preserve">Prepared as a multidisciplinary design study (SERS physics, nanofabrication, silicon microfabrication, materials science, surface chemistry, Raman spectroscopy, biomedical sensing).</w:t>
      </w:r>
    </w:p>
    <w:p>
      <w:pPr>
        <w:spacing w:after="160"/>
      </w:pPr>
      <w:r>
        <w:rPr>
          <w:i/>
          <w:iCs/>
          <w:color w:val="555555"/>
        </w:rPr>
        <w:t xml:space="preserve">Substrate basis: single-crystal, n-type (P-doped), ⟨100⟩, 1–10 Ω·cm, 2-inch, 280±25 µm, single-side-polished, Czochralski-grown silicon wafer.</w:t>
      </w:r>
    </w:p>
    <w:p>
      <w:pPr>
        <w:spacing w:after="160"/>
      </w:pPr>
      <w:r>
        <w:rPr>
          <w:i/>
          <w:iCs/>
          <w:color w:val="555555"/>
        </w:rPr>
        <w:t xml:space="preserve">Target analyte: N-acetylmuramic acid (NAM), C11H19NO8, MW 293.27 Da, hydrated size ≈1–2 nm.</w:t>
      </w:r>
    </w:p>
    <w:p>
      <w:pPr>
        <w:spacing w:after="200"/>
      </w:pPr>
    </w:p>
    <w:p>
      <w:pPr>
        <w:pStyle w:val="Heading2"/>
        <w:spacing w:after="160" w:before="300"/>
      </w:pPr>
      <w:r>
        <w:t xml:space="preserve">How to Read the Evidence Tags</w:t>
      </w:r>
    </w:p>
    <w:p>
      <w:pPr>
        <w:spacing w:after="140"/>
      </w:pPr>
      <w:r>
        <w:rPr>
          <w:b/>
          <w:bCs/>
        </w:rPr>
        <w:t xml:space="preserve">✅  </w:t>
      </w:r>
      <w:r>
        <w:t xml:space="preserve">Directly supported by peer-reviewed, experimentally validated data (cited).</w:t>
      </w:r>
    </w:p>
    <w:p>
      <w:pPr>
        <w:spacing w:after="140"/>
      </w:pPr>
      <w:r>
        <w:rPr>
          <w:b/>
          <w:bCs/>
        </w:rPr>
        <w:t xml:space="preserve">🟡  </w:t>
      </w:r>
      <w:r>
        <w:t xml:space="preserve">Supported indirectly — the literature demonstrates the principle on a related system/analyte, not on NAM or this exact substrate.</w:t>
      </w:r>
    </w:p>
    <w:p>
      <w:pPr>
        <w:spacing w:after="140"/>
      </w:pPr>
      <w:r>
        <w:rPr>
          <w:b/>
          <w:bCs/>
        </w:rPr>
        <w:t xml:space="preserve">🔵  </w:t>
      </w:r>
      <w:r>
        <w:t xml:space="preserve">Engineering inference — a reasoned extrapolation from physics/chemistry and adjacent literature, not directly tested.</w:t>
      </w:r>
    </w:p>
    <w:p>
      <w:pPr>
        <w:spacing w:after="140"/>
      </w:pPr>
      <w:r>
        <w:rPr>
          <w:b/>
          <w:bCs/>
        </w:rPr>
        <w:t xml:space="preserve">❌  </w:t>
      </w:r>
      <w:r>
        <w:t xml:space="preserve">Speculative — included only to flag a risk or an open question; treat as a hypothesis to be tested, not a design basis.</w:t>
      </w:r>
    </w:p>
    <w:p>
      <w:pPr>
        <w:spacing w:after="160"/>
      </w:pPr>
      <w:r>
        <w:rPr>
          <w:b/>
          <w:bCs/>
        </w:rPr>
        <w:t xml:space="preserve">No peer-reviewed study reporting SERS detection of pure NAM, or of NAM on any black-silicon/Ag substrate, was found in the literature search underlying this report (searched July 2026). Every NAM-specific claim below is therefore 🔵 or, where noted, ❌ — this is stated explicitly rather than being presented as established fact.</w:t>
      </w:r>
    </w:p>
    <w:p>
      <w:pPr>
        <w:pStyle w:val="Heading1"/>
        <w:spacing w:after="200" w:before="400"/>
      </w:pPr>
      <w:r>
        <w:t xml:space="preserve">Executive Summary</w:t>
      </w:r>
    </w:p>
    <w:p>
      <w:pPr>
        <w:spacing w:after="160"/>
      </w:pPr>
      <w:r>
        <w:t xml:space="preserve">The central recommendation of this report is conservative by design: reproduce, with minimal modification, the metal-assisted chemical etching (MACE) plus photonic-reduction Ag-decoration protocol of Bai et al. (Nanomaterials 2019, 9, 1531; DOI 10.3390/nano9111531). This paper is the best available literature match because it was developed on n-type silicon, 1–10 Ω·cm — the identical doping type and resistivity band as the wafer specified for this project — and it reports a high, reproducible enhancement factor (EF ≈ 1.4×10⁸) together with a full, explicit wet-chemistry recipe (HF/AgNO₃ nucleation, HF/H₂O₂ etch, photonic Ag nanoparticle deposition) that a silicon microfabrication lab can reproduce without specialized lithography.</w:t>
      </w:r>
    </w:p>
    <w:p>
      <w:pPr>
        <w:spacing w:after="160"/>
      </w:pPr>
      <w:r>
        <w:t xml:space="preserve">NAM is a small (293 Da), highly hydrophilic, non-aromatic carbohydrate carrying a carboxylic acid and an amide. It has no strong intrinsic Raman cross-section comparable to a dye like rhodamine 6G (R6G), and — critically — it has no thiol, amine, or other high-affinity anchor for bare Ag. The literature on structurally similar small carbohydrates (glucose SERS via boronic-acid-functionalized Au on porous silicon nanotubes; Gonzalez-Rodriguez et al., Chemosensors 2024, 12, 63) indicates that bare-metal SERS substrates alone are usually insufficient for this analyte class, and that a boronic-acid-based capture chemistry is the most literature-supported minimal modification once bare Ag is shown to fail.</w:t>
      </w:r>
    </w:p>
    <w:p>
      <w:pPr>
        <w:spacing w:after="160"/>
      </w:pPr>
      <w:r>
        <w:t xml:space="preserve">This report therefore proposes a staged plan: (1) reproduce the Bai et al. MACE/Ag protocol exactly and validate it with R6G; (2) test bare Ag against pure NAM in water; (3) if signal is weak or absent (the 🔵 expected outcome), add a thin (sub-nanometer to few-nm) boronic-acid self-assembled monolayer as the smallest chemical modification, informed directly by the glucose-SERS precedent; (4) only then proceed toward lysate, plasma, and blood matrices. Every step in between is mapped to an evidence tag so that engineering assumptions are never presented as established results.</w:t>
      </w:r>
    </w:p>
    <w:p>
      <w:pPr>
        <w:pStyle w:val="Heading1"/>
        <w:spacing w:after="200" w:before="400"/>
      </w:pPr>
      <w:r>
        <w:t xml:space="preserve">Part 1 — Literature Survey</w:t>
      </w:r>
    </w:p>
    <w:p>
      <w:pPr>
        <w:spacing w:after="160"/>
      </w:pPr>
      <w:r>
        <w:t xml:space="preserve">The table below lists the experimentally validated fabrication studies located and verified during this research pass (peer-reviewed, with confirmed DOI/journal/year). Studies that could not be independently verified beyond title/journal/year (paywalled, abstract-only) are marked accordingly and are used only as secondary/contextual references, never as the basis for a specific numeric claim.</w:t>
      </w:r>
    </w:p>
    <w:p>
      <w:pPr>
        <w:pStyle w:val="Heading2"/>
        <w:spacing w:after="160" w:before="300"/>
      </w:pPr>
      <w:r>
        <w:t xml:space="preserve">1.1 Verified Primary Studies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500"/>
        <w:gridCol w:w="1200"/>
        <w:gridCol w:w="1600"/>
        <w:gridCol w:w="1200"/>
        <w:gridCol w:w="1400"/>
      </w:tblGrid>
      <w:tr>
        <w:trPr>
          <w:tblHeader/>
        </w:trPr>
        <w:tc>
          <w:tcPr>
            <w:tcW w:type="dxa" w:w="500"/>
            <w:shd w:fill="1F3864" w:val="clear"/>
            <w:tcMar>
              <w:top w:type="dxa" w:w="60"/>
              <w:left w:type="dxa" w:w="80"/>
              <w:bottom w:type="dxa" w:w="60"/>
              <w:right w:type="dxa" w:w="80"/>
            </w:tcMar>
            <w:vAlign w:val="center"/>
          </w:tcPr>
          <w:p>
            <w:r>
              <w:rPr>
                <w:b/>
                <w:bCs/>
                <w:color w:val="FFFFFF"/>
                <w:sz w:val="18"/>
                <w:szCs w:val="18"/>
              </w:rPr>
              <w:t xml:space="preserve">#</w:t>
            </w:r>
          </w:p>
        </w:tc>
        <w:tc>
          <w:tcPr>
            <w:tcW w:type="dxa" w:w="3400"/>
            <w:shd w:fill="1F3864" w:val="clear"/>
            <w:tcMar>
              <w:top w:type="dxa" w:w="60"/>
              <w:left w:type="dxa" w:w="80"/>
              <w:bottom w:type="dxa" w:w="60"/>
              <w:right w:type="dxa" w:w="80"/>
            </w:tcMar>
            <w:vAlign w:val="center"/>
          </w:tcPr>
          <w:p>
            <w:r>
              <w:rPr>
                <w:b/>
                <w:bCs/>
                <w:color w:val="FFFFFF"/>
                <w:sz w:val="18"/>
                <w:szCs w:val="18"/>
              </w:rPr>
              <w:t xml:space="preserve">Study</w:t>
            </w:r>
          </w:p>
        </w:tc>
        <w:tc>
          <w:tcPr>
            <w:tcW w:type="dxa" w:w="2500"/>
            <w:shd w:fill="1F3864" w:val="clear"/>
            <w:tcMar>
              <w:top w:type="dxa" w:w="60"/>
              <w:left w:type="dxa" w:w="80"/>
              <w:bottom w:type="dxa" w:w="60"/>
              <w:right w:type="dxa" w:w="80"/>
            </w:tcMar>
            <w:vAlign w:val="center"/>
          </w:tcPr>
          <w:p>
            <w:r>
              <w:rPr>
                <w:b/>
                <w:bCs/>
                <w:color w:val="FFFFFF"/>
                <w:sz w:val="18"/>
                <w:szCs w:val="18"/>
              </w:rPr>
              <w:t xml:space="preserve">Method</w:t>
            </w:r>
          </w:p>
        </w:tc>
        <w:tc>
          <w:tcPr>
            <w:tcW w:type="dxa" w:w="1200"/>
            <w:shd w:fill="1F3864" w:val="clear"/>
            <w:tcMar>
              <w:top w:type="dxa" w:w="60"/>
              <w:left w:type="dxa" w:w="80"/>
              <w:bottom w:type="dxa" w:w="60"/>
              <w:right w:type="dxa" w:w="80"/>
            </w:tcMar>
            <w:vAlign w:val="center"/>
          </w:tcPr>
          <w:p>
            <w:r>
              <w:rPr>
                <w:b/>
                <w:bCs/>
                <w:color w:val="FFFFFF"/>
                <w:sz w:val="18"/>
                <w:szCs w:val="18"/>
              </w:rPr>
              <w:t xml:space="preserve">EF</w:t>
            </w:r>
          </w:p>
        </w:tc>
        <w:tc>
          <w:tcPr>
            <w:tcW w:type="dxa" w:w="1600"/>
            <w:shd w:fill="1F3864" w:val="clear"/>
            <w:tcMar>
              <w:top w:type="dxa" w:w="60"/>
              <w:left w:type="dxa" w:w="80"/>
              <w:bottom w:type="dxa" w:w="60"/>
              <w:right w:type="dxa" w:w="80"/>
            </w:tcMar>
            <w:vAlign w:val="center"/>
          </w:tcPr>
          <w:p>
            <w:r>
              <w:rPr>
                <w:b/>
                <w:bCs/>
                <w:color w:val="FFFFFF"/>
                <w:sz w:val="18"/>
                <w:szCs w:val="18"/>
              </w:rPr>
              <w:t xml:space="preserve">LOD</w:t>
            </w:r>
          </w:p>
        </w:tc>
        <w:tc>
          <w:tcPr>
            <w:tcW w:type="dxa" w:w="1200"/>
            <w:shd w:fill="1F3864" w:val="clear"/>
            <w:tcMar>
              <w:top w:type="dxa" w:w="60"/>
              <w:left w:type="dxa" w:w="80"/>
              <w:bottom w:type="dxa" w:w="60"/>
              <w:right w:type="dxa" w:w="80"/>
            </w:tcMar>
            <w:vAlign w:val="center"/>
          </w:tcPr>
          <w:p>
            <w:r>
              <w:rPr>
                <w:b/>
                <w:bCs/>
                <w:color w:val="FFFFFF"/>
                <w:sz w:val="18"/>
                <w:szCs w:val="18"/>
              </w:rPr>
              <w:t xml:space="preserve">Analytes tested</w:t>
            </w:r>
          </w:p>
        </w:tc>
        <w:tc>
          <w:tcPr>
            <w:tcW w:type="dxa" w:w="1400"/>
            <w:shd w:fill="1F3864" w:val="clear"/>
            <w:tcMar>
              <w:top w:type="dxa" w:w="60"/>
              <w:left w:type="dxa" w:w="80"/>
              <w:bottom w:type="dxa" w:w="60"/>
              <w:right w:type="dxa" w:w="80"/>
            </w:tcMar>
            <w:vAlign w:val="center"/>
          </w:tcPr>
          <w:p>
            <w:r>
              <w:rPr>
                <w:b/>
                <w:bCs/>
                <w:color w:val="FFFFFF"/>
                <w:sz w:val="18"/>
                <w:szCs w:val="18"/>
              </w:rPr>
              <w:t xml:space="preserve">Characterization</w:t>
            </w:r>
          </w:p>
        </w:tc>
      </w:tr>
      <w:tr>
        <w:tc>
          <w:tcPr>
            <w:tcW w:type="dxa" w:w="500"/>
            <w:tcMar>
              <w:top w:type="dxa" w:w="60"/>
              <w:left w:type="dxa" w:w="80"/>
              <w:bottom w:type="dxa" w:w="60"/>
              <w:right w:type="dxa" w:w="80"/>
            </w:tcMar>
            <w:vAlign w:val="center"/>
          </w:tcPr>
          <w:p>
            <w:r>
              <w:rPr>
                <w:b w:val="false"/>
                <w:bCs w:val="false"/>
                <w:sz w:val="18"/>
                <w:szCs w:val="18"/>
              </w:rPr>
              <w:t xml:space="preserve">1</w:t>
            </w:r>
          </w:p>
        </w:tc>
        <w:tc>
          <w:tcPr>
            <w:tcW w:type="dxa" w:w="3400"/>
            <w:tcMar>
              <w:top w:type="dxa" w:w="60"/>
              <w:left w:type="dxa" w:w="80"/>
              <w:bottom w:type="dxa" w:w="60"/>
              <w:right w:type="dxa" w:w="80"/>
            </w:tcMar>
            <w:vAlign w:val="center"/>
          </w:tcPr>
          <w:p>
            <w:r>
              <w:rPr>
                <w:b w:val="false"/>
                <w:bCs w:val="false"/>
                <w:sz w:val="18"/>
                <w:szCs w:val="18"/>
              </w:rPr>
              <w:t xml:space="preserve">Bai, Du, Wang, Wu, Sugioka. Nanomaterials 2019, 9(11), 1531. DOI 10.3390/nano9111531.</w:t>
            </w:r>
          </w:p>
        </w:tc>
        <w:tc>
          <w:tcPr>
            <w:tcW w:type="dxa" w:w="2500"/>
            <w:tcMar>
              <w:top w:type="dxa" w:w="60"/>
              <w:left w:type="dxa" w:w="80"/>
              <w:bottom w:type="dxa" w:w="60"/>
              <w:right w:type="dxa" w:w="80"/>
            </w:tcMar>
            <w:vAlign w:val="center"/>
          </w:tcPr>
          <w:p>
            <w:r>
              <w:rPr>
                <w:b w:val="false"/>
                <w:bCs w:val="false"/>
                <w:sz w:val="18"/>
                <w:szCs w:val="18"/>
              </w:rPr>
              <w:t xml:space="preserve">MACE (HF/AgNO₃ nucleation → HF/H₂O₂ etch) on n-Si, 1–10 Ω·cm; Ag NPs by UV photonic reduction of AgNO₃/citrate/HF</w:t>
            </w:r>
          </w:p>
        </w:tc>
        <w:tc>
          <w:tcPr>
            <w:tcW w:type="dxa" w:w="1200"/>
            <w:tcMar>
              <w:top w:type="dxa" w:w="60"/>
              <w:left w:type="dxa" w:w="80"/>
              <w:bottom w:type="dxa" w:w="60"/>
              <w:right w:type="dxa" w:w="80"/>
            </w:tcMar>
            <w:vAlign w:val="center"/>
          </w:tcPr>
          <w:p>
            <w:r>
              <w:rPr>
                <w:b w:val="false"/>
                <w:bCs w:val="false"/>
                <w:sz w:val="18"/>
                <w:szCs w:val="18"/>
              </w:rPr>
              <w:t xml:space="preserve">1.4×10⁸ (R6G-based)</w:t>
            </w:r>
          </w:p>
        </w:tc>
        <w:tc>
          <w:tcPr>
            <w:tcW w:type="dxa" w:w="1600"/>
            <w:tcMar>
              <w:top w:type="dxa" w:w="60"/>
              <w:left w:type="dxa" w:w="80"/>
              <w:bottom w:type="dxa" w:w="60"/>
              <w:right w:type="dxa" w:w="80"/>
            </w:tcMar>
            <w:vAlign w:val="center"/>
          </w:tcPr>
          <w:p>
            <w:r>
              <w:rPr>
                <w:b w:val="false"/>
                <w:bCs w:val="false"/>
                <w:sz w:val="18"/>
                <w:szCs w:val="18"/>
              </w:rPr>
              <w:t xml:space="preserve">R6G ~10⁻⁵ M identifiable (10⁻⁹ M not resolvable); dopamine &lt;10⁻⁷ M</w:t>
            </w:r>
          </w:p>
        </w:tc>
        <w:tc>
          <w:tcPr>
            <w:tcW w:type="dxa" w:w="1200"/>
            <w:tcMar>
              <w:top w:type="dxa" w:w="60"/>
              <w:left w:type="dxa" w:w="80"/>
              <w:bottom w:type="dxa" w:w="60"/>
              <w:right w:type="dxa" w:w="80"/>
            </w:tcMar>
            <w:vAlign w:val="center"/>
          </w:tcPr>
          <w:p>
            <w:r>
              <w:rPr>
                <w:b w:val="false"/>
                <w:bCs w:val="false"/>
                <w:sz w:val="18"/>
                <w:szCs w:val="18"/>
              </w:rPr>
              <w:t xml:space="preserve">R6G, dopamine·HCl</w:t>
            </w:r>
          </w:p>
        </w:tc>
        <w:tc>
          <w:tcPr>
            <w:tcW w:type="dxa" w:w="1400"/>
            <w:tcMar>
              <w:top w:type="dxa" w:w="60"/>
              <w:left w:type="dxa" w:w="80"/>
              <w:bottom w:type="dxa" w:w="60"/>
              <w:right w:type="dxa" w:w="80"/>
            </w:tcMar>
            <w:vAlign w:val="center"/>
          </w:tcPr>
          <w:p>
            <w:r>
              <w:rPr>
                <w:b w:val="false"/>
                <w:bCs w:val="false"/>
                <w:sz w:val="18"/>
                <w:szCs w:val="18"/>
              </w:rPr>
              <w:t xml:space="preserve">SEM, TEM, EDS, XRD, UV-Vis, Raman (532 nm)</w:t>
            </w:r>
          </w:p>
        </w:tc>
      </w:tr>
      <w:tr>
        <w:tc>
          <w:tcPr>
            <w:tcW w:type="dxa" w:w="500"/>
            <w:tcMar>
              <w:top w:type="dxa" w:w="60"/>
              <w:left w:type="dxa" w:w="80"/>
              <w:bottom w:type="dxa" w:w="60"/>
              <w:right w:type="dxa" w:w="80"/>
            </w:tcMar>
            <w:vAlign w:val="center"/>
          </w:tcPr>
          <w:p>
            <w:r>
              <w:rPr>
                <w:b w:val="false"/>
                <w:bCs w:val="false"/>
                <w:sz w:val="18"/>
                <w:szCs w:val="18"/>
              </w:rPr>
              <w:t xml:space="preserve">2</w:t>
            </w:r>
          </w:p>
        </w:tc>
        <w:tc>
          <w:tcPr>
            <w:tcW w:type="dxa" w:w="3400"/>
            <w:tcMar>
              <w:top w:type="dxa" w:w="60"/>
              <w:left w:type="dxa" w:w="80"/>
              <w:bottom w:type="dxa" w:w="60"/>
              <w:right w:type="dxa" w:w="80"/>
            </w:tcMar>
            <w:vAlign w:val="center"/>
          </w:tcPr>
          <w:p>
            <w:r>
              <w:rPr>
                <w:b w:val="false"/>
                <w:bCs w:val="false"/>
                <w:sz w:val="18"/>
                <w:szCs w:val="18"/>
              </w:rPr>
              <w:t xml:space="preserve">Padrez &amp; Golubewa (review). Biosensors 2024, 14(10), 453. DOI 10.3390/bios14100453.</w:t>
            </w:r>
          </w:p>
        </w:tc>
        <w:tc>
          <w:tcPr>
            <w:tcW w:type="dxa" w:w="2500"/>
            <w:tcMar>
              <w:top w:type="dxa" w:w="60"/>
              <w:left w:type="dxa" w:w="80"/>
              <w:bottom w:type="dxa" w:w="60"/>
              <w:right w:type="dxa" w:w="80"/>
            </w:tcMar>
            <w:vAlign w:val="center"/>
          </w:tcPr>
          <w:p>
            <w:r>
              <w:rPr>
                <w:b w:val="false"/>
                <w:bCs w:val="false"/>
                <w:sz w:val="18"/>
                <w:szCs w:val="18"/>
              </w:rPr>
              <w:t xml:space="preserve">Survey of electrochemical anodization, MACE, RIE black-Si SERS routes</w:t>
            </w:r>
          </w:p>
        </w:tc>
        <w:tc>
          <w:tcPr>
            <w:tcW w:type="dxa" w:w="1200"/>
            <w:tcMar>
              <w:top w:type="dxa" w:w="60"/>
              <w:left w:type="dxa" w:w="80"/>
              <w:bottom w:type="dxa" w:w="60"/>
              <w:right w:type="dxa" w:w="80"/>
            </w:tcMar>
            <w:vAlign w:val="center"/>
          </w:tcPr>
          <w:p>
            <w:r>
              <w:rPr>
                <w:b w:val="false"/>
                <w:bCs w:val="false"/>
                <w:sz w:val="18"/>
                <w:szCs w:val="18"/>
              </w:rPr>
              <w:t xml:space="preserve">10⁴–5×10⁷ across cited studies</w:t>
            </w:r>
          </w:p>
        </w:tc>
        <w:tc>
          <w:tcPr>
            <w:tcW w:type="dxa" w:w="1600"/>
            <w:tcMar>
              <w:top w:type="dxa" w:w="60"/>
              <w:left w:type="dxa" w:w="80"/>
              <w:bottom w:type="dxa" w:w="60"/>
              <w:right w:type="dxa" w:w="80"/>
            </w:tcMar>
            <w:vAlign w:val="center"/>
          </w:tcPr>
          <w:p>
            <w:r>
              <w:rPr>
                <w:b w:val="false"/>
                <w:bCs w:val="false"/>
                <w:sz w:val="18"/>
                <w:szCs w:val="18"/>
              </w:rPr>
              <w:t xml:space="preserve">10⁻⁹–10⁻¹¹ M across cited studies</w:t>
            </w:r>
          </w:p>
        </w:tc>
        <w:tc>
          <w:tcPr>
            <w:tcW w:type="dxa" w:w="1200"/>
            <w:tcMar>
              <w:top w:type="dxa" w:w="60"/>
              <w:left w:type="dxa" w:w="80"/>
              <w:bottom w:type="dxa" w:w="60"/>
              <w:right w:type="dxa" w:w="80"/>
            </w:tcMar>
            <w:vAlign w:val="center"/>
          </w:tcPr>
          <w:p>
            <w:r>
              <w:rPr>
                <w:b w:val="false"/>
                <w:bCs w:val="false"/>
                <w:sz w:val="18"/>
                <w:szCs w:val="18"/>
              </w:rPr>
              <w:t xml:space="preserve">R6G, CuTMpyP4, penicillin G, melamine, live cells, human biofluids</w:t>
            </w:r>
          </w:p>
        </w:tc>
        <w:tc>
          <w:tcPr>
            <w:tcW w:type="dxa" w:w="1400"/>
            <w:tcMar>
              <w:top w:type="dxa" w:w="60"/>
              <w:left w:type="dxa" w:w="80"/>
              <w:bottom w:type="dxa" w:w="60"/>
              <w:right w:type="dxa" w:w="80"/>
            </w:tcMar>
            <w:vAlign w:val="center"/>
          </w:tcPr>
          <w:p>
            <w:r>
              <w:rPr>
                <w:b w:val="false"/>
                <w:bCs w:val="false"/>
                <w:sz w:val="18"/>
                <w:szCs w:val="18"/>
              </w:rPr>
              <w:t xml:space="preserve">Synthesis of SEM/EDS/XRD/FDTD/FEM evidence across &gt;100 primary papers</w:t>
            </w:r>
          </w:p>
        </w:tc>
      </w:tr>
      <w:tr>
        <w:tc>
          <w:tcPr>
            <w:tcW w:type="dxa" w:w="500"/>
            <w:tcMar>
              <w:top w:type="dxa" w:w="60"/>
              <w:left w:type="dxa" w:w="80"/>
              <w:bottom w:type="dxa" w:w="60"/>
              <w:right w:type="dxa" w:w="80"/>
            </w:tcMar>
            <w:vAlign w:val="center"/>
          </w:tcPr>
          <w:p>
            <w:r>
              <w:rPr>
                <w:b w:val="false"/>
                <w:bCs w:val="false"/>
                <w:sz w:val="18"/>
                <w:szCs w:val="18"/>
              </w:rPr>
              <w:t xml:space="preserve">3</w:t>
            </w:r>
          </w:p>
        </w:tc>
        <w:tc>
          <w:tcPr>
            <w:tcW w:type="dxa" w:w="3400"/>
            <w:tcMar>
              <w:top w:type="dxa" w:w="60"/>
              <w:left w:type="dxa" w:w="80"/>
              <w:bottom w:type="dxa" w:w="60"/>
              <w:right w:type="dxa" w:w="80"/>
            </w:tcMar>
            <w:vAlign w:val="center"/>
          </w:tcPr>
          <w:p>
            <w:r>
              <w:rPr>
                <w:b w:val="false"/>
                <w:bCs w:val="false"/>
                <w:sz w:val="18"/>
                <w:szCs w:val="18"/>
              </w:rPr>
              <w:t xml:space="preserve">Hoang et al. Nanomaterials 2025, 15(13), 1007. DOI 10.3390/nano15131007.</w:t>
            </w:r>
          </w:p>
        </w:tc>
        <w:tc>
          <w:tcPr>
            <w:tcW w:type="dxa" w:w="2500"/>
            <w:tcMar>
              <w:top w:type="dxa" w:w="60"/>
              <w:left w:type="dxa" w:w="80"/>
              <w:bottom w:type="dxa" w:w="60"/>
              <w:right w:type="dxa" w:w="80"/>
            </w:tcMar>
            <w:vAlign w:val="center"/>
          </w:tcPr>
          <w:p>
            <w:r>
              <w:rPr>
                <w:b w:val="false"/>
                <w:bCs w:val="false"/>
                <w:sz w:val="18"/>
                <w:szCs w:val="18"/>
              </w:rPr>
              <w:t xml:space="preserve">Electrochemical anodization (DBR porous-Si microcavity) + AgNO₃ immersion plating</w:t>
            </w:r>
          </w:p>
        </w:tc>
        <w:tc>
          <w:tcPr>
            <w:tcW w:type="dxa" w:w="1200"/>
            <w:tcMar>
              <w:top w:type="dxa" w:w="60"/>
              <w:left w:type="dxa" w:w="80"/>
              <w:bottom w:type="dxa" w:w="60"/>
              <w:right w:type="dxa" w:w="80"/>
            </w:tcMar>
            <w:vAlign w:val="center"/>
          </w:tcPr>
          <w:p>
            <w:r>
              <w:rPr>
                <w:b w:val="false"/>
                <w:bCs w:val="false"/>
                <w:sz w:val="18"/>
                <w:szCs w:val="18"/>
              </w:rPr>
              <w:t xml:space="preserve">~10¹¹ (calculated)</w:t>
            </w:r>
          </w:p>
        </w:tc>
        <w:tc>
          <w:tcPr>
            <w:tcW w:type="dxa" w:w="1600"/>
            <w:tcMar>
              <w:top w:type="dxa" w:w="60"/>
              <w:left w:type="dxa" w:w="80"/>
              <w:bottom w:type="dxa" w:w="60"/>
              <w:right w:type="dxa" w:w="80"/>
            </w:tcMar>
            <w:vAlign w:val="center"/>
          </w:tcPr>
          <w:p>
            <w:r>
              <w:rPr>
                <w:b w:val="false"/>
                <w:bCs w:val="false"/>
                <w:sz w:val="18"/>
                <w:szCs w:val="18"/>
              </w:rPr>
              <w:t xml:space="preserve">Rhodamine 101: 1.0×10⁻¹³ M; methyl parathion: 1.0×10⁻¹⁰ M</w:t>
            </w:r>
          </w:p>
        </w:tc>
        <w:tc>
          <w:tcPr>
            <w:tcW w:type="dxa" w:w="1200"/>
            <w:tcMar>
              <w:top w:type="dxa" w:w="60"/>
              <w:left w:type="dxa" w:w="80"/>
              <w:bottom w:type="dxa" w:w="60"/>
              <w:right w:type="dxa" w:w="80"/>
            </w:tcMar>
            <w:vAlign w:val="center"/>
          </w:tcPr>
          <w:p>
            <w:r>
              <w:rPr>
                <w:b w:val="false"/>
                <w:bCs w:val="false"/>
                <w:sz w:val="18"/>
                <w:szCs w:val="18"/>
              </w:rPr>
              <w:t xml:space="preserve">Rhodamine 101, methyl parathion</w:t>
            </w:r>
          </w:p>
        </w:tc>
        <w:tc>
          <w:tcPr>
            <w:tcW w:type="dxa" w:w="1400"/>
            <w:tcMar>
              <w:top w:type="dxa" w:w="60"/>
              <w:left w:type="dxa" w:w="80"/>
              <w:bottom w:type="dxa" w:w="60"/>
              <w:right w:type="dxa" w:w="80"/>
            </w:tcMar>
            <w:vAlign w:val="center"/>
          </w:tcPr>
          <w:p>
            <w:r>
              <w:rPr>
                <w:b w:val="false"/>
                <w:bCs w:val="false"/>
                <w:sz w:val="18"/>
                <w:szCs w:val="18"/>
              </w:rPr>
              <w:t xml:space="preserve">FESEM, XRD, EDX, reflectance, Raman (785 nm)</w:t>
            </w:r>
          </w:p>
        </w:tc>
      </w:tr>
      <w:tr>
        <w:tc>
          <w:tcPr>
            <w:tcW w:type="dxa" w:w="500"/>
            <w:tcMar>
              <w:top w:type="dxa" w:w="60"/>
              <w:left w:type="dxa" w:w="80"/>
              <w:bottom w:type="dxa" w:w="60"/>
              <w:right w:type="dxa" w:w="80"/>
            </w:tcMar>
            <w:vAlign w:val="center"/>
          </w:tcPr>
          <w:p>
            <w:r>
              <w:rPr>
                <w:b w:val="false"/>
                <w:bCs w:val="false"/>
                <w:sz w:val="18"/>
                <w:szCs w:val="18"/>
              </w:rPr>
              <w:t xml:space="preserve">4</w:t>
            </w:r>
          </w:p>
        </w:tc>
        <w:tc>
          <w:tcPr>
            <w:tcW w:type="dxa" w:w="3400"/>
            <w:tcMar>
              <w:top w:type="dxa" w:w="60"/>
              <w:left w:type="dxa" w:w="80"/>
              <w:bottom w:type="dxa" w:w="60"/>
              <w:right w:type="dxa" w:w="80"/>
            </w:tcMar>
            <w:vAlign w:val="center"/>
          </w:tcPr>
          <w:p>
            <w:r>
              <w:rPr>
                <w:b w:val="false"/>
                <w:bCs w:val="false"/>
                <w:sz w:val="18"/>
                <w:szCs w:val="18"/>
              </w:rPr>
              <w:t xml:space="preserve">Gonzalez-Rodriguez, Hathaway, Coffer, del Castillo, Lin, Cui. Chemosensors 2024, 12(4), 63. DOI 10.3390/chemosensors12040063.</w:t>
            </w:r>
          </w:p>
        </w:tc>
        <w:tc>
          <w:tcPr>
            <w:tcW w:type="dxa" w:w="2500"/>
            <w:tcMar>
              <w:top w:type="dxa" w:w="60"/>
              <w:left w:type="dxa" w:w="80"/>
              <w:bottom w:type="dxa" w:w="60"/>
              <w:right w:type="dxa" w:w="80"/>
            </w:tcMar>
            <w:vAlign w:val="center"/>
          </w:tcPr>
          <w:p>
            <w:r>
              <w:rPr>
                <w:b w:val="false"/>
                <w:bCs w:val="false"/>
                <w:sz w:val="18"/>
                <w:szCs w:val="18"/>
              </w:rPr>
              <w:t xml:space="preserve">ZnO-nanowire-templated porous-Si nanotubes + APTES + 4-mercaptophenylboronic-acid-capped Au NPs (2.4 nm)</w:t>
            </w:r>
          </w:p>
        </w:tc>
        <w:tc>
          <w:tcPr>
            <w:tcW w:type="dxa" w:w="1200"/>
            <w:tcMar>
              <w:top w:type="dxa" w:w="60"/>
              <w:left w:type="dxa" w:w="80"/>
              <w:bottom w:type="dxa" w:w="60"/>
              <w:right w:type="dxa" w:w="80"/>
            </w:tcMar>
            <w:vAlign w:val="center"/>
          </w:tcPr>
          <w:p>
            <w:r>
              <w:rPr>
                <w:b w:val="false"/>
                <w:bCs w:val="false"/>
                <w:sz w:val="18"/>
                <w:szCs w:val="18"/>
              </w:rPr>
              <w:t xml:space="preserve">Not reported as classical EF</w:t>
            </w:r>
          </w:p>
        </w:tc>
        <w:tc>
          <w:tcPr>
            <w:tcW w:type="dxa" w:w="1600"/>
            <w:tcMar>
              <w:top w:type="dxa" w:w="60"/>
              <w:left w:type="dxa" w:w="80"/>
              <w:bottom w:type="dxa" w:w="60"/>
              <w:right w:type="dxa" w:w="80"/>
            </w:tcMar>
            <w:vAlign w:val="center"/>
          </w:tcPr>
          <w:p>
            <w:r>
              <w:rPr>
                <w:b w:val="false"/>
                <w:bCs w:val="false"/>
                <w:sz w:val="18"/>
                <w:szCs w:val="18"/>
              </w:rPr>
              <w:t xml:space="preserve">~0.5 mM glucose</w:t>
            </w:r>
          </w:p>
        </w:tc>
        <w:tc>
          <w:tcPr>
            <w:tcW w:type="dxa" w:w="1200"/>
            <w:tcMar>
              <w:top w:type="dxa" w:w="60"/>
              <w:left w:type="dxa" w:w="80"/>
              <w:bottom w:type="dxa" w:w="60"/>
              <w:right w:type="dxa" w:w="80"/>
            </w:tcMar>
            <w:vAlign w:val="center"/>
          </w:tcPr>
          <w:p>
            <w:r>
              <w:rPr>
                <w:b w:val="false"/>
                <w:bCs w:val="false"/>
                <w:sz w:val="18"/>
                <w:szCs w:val="18"/>
              </w:rPr>
              <w:t xml:space="preserve">Glucose (0.5–80 mM, PBS)</w:t>
            </w:r>
          </w:p>
        </w:tc>
        <w:tc>
          <w:tcPr>
            <w:tcW w:type="dxa" w:w="1400"/>
            <w:tcMar>
              <w:top w:type="dxa" w:w="60"/>
              <w:left w:type="dxa" w:w="80"/>
              <w:bottom w:type="dxa" w:w="60"/>
              <w:right w:type="dxa" w:w="80"/>
            </w:tcMar>
            <w:vAlign w:val="center"/>
          </w:tcPr>
          <w:p>
            <w:r>
              <w:rPr>
                <w:b w:val="false"/>
                <w:bCs w:val="false"/>
                <w:sz w:val="18"/>
                <w:szCs w:val="18"/>
              </w:rPr>
              <w:t xml:space="preserve">TEM/SEM, Raman (benzene-ring mode ~1071 cm⁻¹)</w:t>
            </w:r>
          </w:p>
        </w:tc>
      </w:tr>
      <w:tr>
        <w:tc>
          <w:tcPr>
            <w:tcW w:type="dxa" w:w="500"/>
            <w:tcMar>
              <w:top w:type="dxa" w:w="60"/>
              <w:left w:type="dxa" w:w="80"/>
              <w:bottom w:type="dxa" w:w="60"/>
              <w:right w:type="dxa" w:w="80"/>
            </w:tcMar>
            <w:vAlign w:val="center"/>
          </w:tcPr>
          <w:p>
            <w:r>
              <w:rPr>
                <w:b w:val="false"/>
                <w:bCs w:val="false"/>
                <w:sz w:val="18"/>
                <w:szCs w:val="18"/>
              </w:rPr>
              <w:t xml:space="preserve">5</w:t>
            </w:r>
          </w:p>
        </w:tc>
        <w:tc>
          <w:tcPr>
            <w:tcW w:type="dxa" w:w="3400"/>
            <w:tcMar>
              <w:top w:type="dxa" w:w="60"/>
              <w:left w:type="dxa" w:w="80"/>
              <w:bottom w:type="dxa" w:w="60"/>
              <w:right w:type="dxa" w:w="80"/>
            </w:tcMar>
            <w:vAlign w:val="center"/>
          </w:tcPr>
          <w:p>
            <w:r>
              <w:rPr>
                <w:b w:val="false"/>
                <w:bCs w:val="false"/>
                <w:sz w:val="18"/>
                <w:szCs w:val="18"/>
              </w:rPr>
              <w:t xml:space="preserve">Wang, Zhu, Wang, Dou, Chen, Lu. Spectrochim. Acta A 2021, 251, 119447. DOI 10.1016/j.saa.2021.119447.</w:t>
            </w:r>
          </w:p>
        </w:tc>
        <w:tc>
          <w:tcPr>
            <w:tcW w:type="dxa" w:w="2500"/>
            <w:tcMar>
              <w:top w:type="dxa" w:w="60"/>
              <w:left w:type="dxa" w:w="80"/>
              <w:bottom w:type="dxa" w:w="60"/>
              <w:right w:type="dxa" w:w="80"/>
            </w:tcMar>
            <w:vAlign w:val="center"/>
          </w:tcPr>
          <w:p>
            <w:r>
              <w:rPr>
                <w:b w:val="false"/>
                <w:bCs w:val="false"/>
                <w:sz w:val="18"/>
                <w:szCs w:val="18"/>
              </w:rPr>
              <w:t xml:space="preserve">Ag-nanoparticle-grafted Si nanocones</w:t>
            </w:r>
          </w:p>
        </w:tc>
        <w:tc>
          <w:tcPr>
            <w:tcW w:type="dxa" w:w="1200"/>
            <w:tcMar>
              <w:top w:type="dxa" w:w="60"/>
              <w:left w:type="dxa" w:w="80"/>
              <w:bottom w:type="dxa" w:w="60"/>
              <w:right w:type="dxa" w:w="80"/>
            </w:tcMar>
            <w:vAlign w:val="center"/>
          </w:tcPr>
          <w:p>
            <w:r>
              <w:rPr>
                <w:b w:val="false"/>
                <w:bCs w:val="false"/>
                <w:sz w:val="18"/>
                <w:szCs w:val="18"/>
              </w:rPr>
              <w:t xml:space="preserve">Not independently verified (paywalled)</w:t>
            </w:r>
          </w:p>
        </w:tc>
        <w:tc>
          <w:tcPr>
            <w:tcW w:type="dxa" w:w="1600"/>
            <w:tcMar>
              <w:top w:type="dxa" w:w="60"/>
              <w:left w:type="dxa" w:w="80"/>
              <w:bottom w:type="dxa" w:w="60"/>
              <w:right w:type="dxa" w:w="80"/>
            </w:tcMar>
            <w:vAlign w:val="center"/>
          </w:tcPr>
          <w:p>
            <w:r>
              <w:rPr>
                <w:b w:val="false"/>
                <w:bCs w:val="false"/>
                <w:sz w:val="18"/>
                <w:szCs w:val="18"/>
              </w:rPr>
              <w:t xml:space="preserve">Not independently verified (paywalled)</w:t>
            </w:r>
          </w:p>
        </w:tc>
        <w:tc>
          <w:tcPr>
            <w:tcW w:type="dxa" w:w="1200"/>
            <w:tcMar>
              <w:top w:type="dxa" w:w="60"/>
              <w:left w:type="dxa" w:w="80"/>
              <w:bottom w:type="dxa" w:w="60"/>
              <w:right w:type="dxa" w:w="80"/>
            </w:tcMar>
            <w:vAlign w:val="center"/>
          </w:tcPr>
          <w:p>
            <w:r>
              <w:rPr>
                <w:b w:val="false"/>
                <w:bCs w:val="false"/>
                <w:sz w:val="18"/>
                <w:szCs w:val="18"/>
              </w:rPr>
              <w:t xml:space="preserve">Trace contaminants in complex liquid matrices (title only verified)</w:t>
            </w:r>
          </w:p>
        </w:tc>
        <w:tc>
          <w:tcPr>
            <w:tcW w:type="dxa" w:w="1400"/>
            <w:tcMar>
              <w:top w:type="dxa" w:w="60"/>
              <w:left w:type="dxa" w:w="80"/>
              <w:bottom w:type="dxa" w:w="60"/>
              <w:right w:type="dxa" w:w="80"/>
            </w:tcMar>
            <w:vAlign w:val="center"/>
          </w:tcPr>
          <w:p>
            <w:r>
              <w:rPr>
                <w:b w:val="false"/>
                <w:bCs w:val="false"/>
                <w:sz w:val="18"/>
                <w:szCs w:val="18"/>
              </w:rPr>
              <w:t xml:space="preserve">Not independently verified</w:t>
            </w:r>
          </w:p>
        </w:tc>
      </w:tr>
    </w:tbl>
    <w:p>
      <w:pPr>
        <w:pStyle w:val="Heading2"/>
        <w:spacing w:after="160" w:before="300"/>
      </w:pPr>
      <w:r>
        <w:t xml:space="preserve">1.2 Secondary / Contextual Studies (cited within the Padrez &amp; Golubewa 2024 review; not independently re-verified in primary form)</w:t>
      </w:r>
    </w:p>
    <w:p>
      <w:pPr>
        <w:pStyle w:val="ListParagraph"/>
        <w:numPr>
          <w:ilvl w:val="0"/>
          <w:numId w:val="1"/>
        </w:numPr>
        <w:spacing w:after="100"/>
      </w:pPr>
      <w:r>
        <w:t xml:space="preserve">Electrochemical anodization + electroless Ag/Ni hybrid metallization on macroporous Si (~1 µm pores): EF 10⁴ (Ag) to 10⁵ (Ni/Ag hybrid), LOD 10⁻¹¹ M for R6G/CuTMpyP4. 🟡 — used only to illustrate that hybrid metallization can beat Ag alone; not independently confirmed.</w:t>
      </w:r>
    </w:p>
    <w:p>
      <w:pPr>
        <w:pStyle w:val="ListParagraph"/>
        <w:numPr>
          <w:ilvl w:val="0"/>
          <w:numId w:val="1"/>
        </w:numPr>
        <w:spacing w:after="100"/>
      </w:pPr>
      <w:r>
        <w:t xml:space="preserve">Au-coated porous silicon (HF:ethanol 1:1, photo-assisted etch) for penicillin G: EF 5×10⁷, LOD 10⁻⁹ M. 🟡 — relevant precedent for detecting a small, non-dye, pharmacologically active molecule on porous Si, supporting feasibility of small-analyte SERS in principle.</w:t>
      </w:r>
    </w:p>
    <w:p>
      <w:pPr>
        <w:pStyle w:val="ListParagraph"/>
        <w:numPr>
          <w:ilvl w:val="0"/>
          <w:numId w:val="1"/>
        </w:numPr>
        <w:spacing w:after="100"/>
      </w:pPr>
      <w:r>
        <w:t xml:space="preserve">Au-capped nanopillar SERS with an applied electrochemical bias for melamine detection, and Au-coated black-Si substrates used for direct Raman of whole blood, CSF, and urine at 785 nm. 🟡 — relevant precedent that black-Si/noble-metal substrates tolerate real biofluids, supporting Part 10.</w:t>
      </w:r>
    </w:p>
    <w:p>
      <w:pPr>
        <w:pStyle w:val="Heading2"/>
        <w:spacing w:after="160" w:before="300"/>
      </w:pPr>
      <w:r>
        <w:t xml:space="preserve">1.3 Suitability Ranking for a Small Carbohydrate (NAM)</w:t>
      </w:r>
    </w:p>
    <w:p>
      <w:pPr>
        <w:spacing w:after="160"/>
      </w:pPr>
      <w:r>
        <w:t xml:space="preserve">Ranking criterion: (a) hotspot gap size relative to a ~1–2 nm hydrated molecule, (b) whether the analyte class tested is chemically closer to NAM (carbohydrate/amide/carboxylic acid) than to a planar aromatic dye, (c) reproducibility (RSD) and process transparency, (d) compatibility with the specified wafer.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6700"/>
      </w:tblGrid>
      <w:tr>
        <w:trPr>
          <w:tblHeader/>
        </w:trPr>
        <w:tc>
          <w:tcPr>
            <w:tcW w:type="dxa" w:w="700"/>
            <w:shd w:fill="1F3864" w:val="clear"/>
            <w:tcMar>
              <w:top w:type="dxa" w:w="60"/>
              <w:left w:type="dxa" w:w="80"/>
              <w:bottom w:type="dxa" w:w="60"/>
              <w:right w:type="dxa" w:w="80"/>
            </w:tcMar>
            <w:vAlign w:val="center"/>
          </w:tcPr>
          <w:p>
            <w:r>
              <w:rPr>
                <w:b/>
                <w:bCs/>
                <w:color w:val="FFFFFF"/>
                <w:sz w:val="18"/>
                <w:szCs w:val="18"/>
              </w:rPr>
              <w:t xml:space="preserve">Rank</w:t>
            </w:r>
          </w:p>
        </w:tc>
        <w:tc>
          <w:tcPr>
            <w:tcW w:type="dxa" w:w="3400"/>
            <w:shd w:fill="1F3864" w:val="clear"/>
            <w:tcMar>
              <w:top w:type="dxa" w:w="60"/>
              <w:left w:type="dxa" w:w="80"/>
              <w:bottom w:type="dxa" w:w="60"/>
              <w:right w:type="dxa" w:w="80"/>
            </w:tcMar>
            <w:vAlign w:val="center"/>
          </w:tcPr>
          <w:p>
            <w:r>
              <w:rPr>
                <w:b/>
                <w:bCs/>
                <w:color w:val="FFFFFF"/>
                <w:sz w:val="18"/>
                <w:szCs w:val="18"/>
              </w:rPr>
              <w:t xml:space="preserve">Study</w:t>
            </w:r>
          </w:p>
        </w:tc>
        <w:tc>
          <w:tcPr>
            <w:tcW w:type="dxa" w:w="6700"/>
            <w:shd w:fill="1F3864" w:val="clear"/>
            <w:tcMar>
              <w:top w:type="dxa" w:w="60"/>
              <w:left w:type="dxa" w:w="80"/>
              <w:bottom w:type="dxa" w:w="60"/>
              <w:right w:type="dxa" w:w="80"/>
            </w:tcMar>
            <w:vAlign w:val="center"/>
          </w:tcPr>
          <w:p>
            <w:r>
              <w:rPr>
                <w:b/>
                <w:bCs/>
                <w:color w:val="FFFFFF"/>
                <w:sz w:val="18"/>
                <w:szCs w:val="18"/>
              </w:rPr>
              <w:t xml:space="preserve">Why</w:t>
            </w:r>
          </w:p>
        </w:tc>
      </w:tr>
      <w:tr>
        <w:tc>
          <w:tcPr>
            <w:tcW w:type="dxa" w:w="700"/>
            <w:tcMar>
              <w:top w:type="dxa" w:w="60"/>
              <w:left w:type="dxa" w:w="80"/>
              <w:bottom w:type="dxa" w:w="60"/>
              <w:right w:type="dxa" w:w="80"/>
            </w:tcMar>
            <w:vAlign w:val="center"/>
          </w:tcPr>
          <w:p>
            <w:r>
              <w:rPr>
                <w:b w:val="false"/>
                <w:bCs w:val="false"/>
                <w:sz w:val="18"/>
                <w:szCs w:val="18"/>
              </w:rPr>
              <w:t xml:space="preserve">1</w:t>
            </w:r>
          </w:p>
        </w:tc>
        <w:tc>
          <w:tcPr>
            <w:tcW w:type="dxa" w:w="3400"/>
            <w:tcMar>
              <w:top w:type="dxa" w:w="60"/>
              <w:left w:type="dxa" w:w="80"/>
              <w:bottom w:type="dxa" w:w="60"/>
              <w:right w:type="dxa" w:w="80"/>
            </w:tcMar>
            <w:vAlign w:val="center"/>
          </w:tcPr>
          <w:p>
            <w:r>
              <w:rPr>
                <w:b w:val="false"/>
                <w:bCs w:val="false"/>
                <w:sz w:val="18"/>
                <w:szCs w:val="18"/>
              </w:rPr>
              <w:t xml:space="preserve">Bai et al. 2019 (MACE + photonic Ag)</w:t>
            </w:r>
          </w:p>
        </w:tc>
        <w:tc>
          <w:tcPr>
            <w:tcW w:type="dxa" w:w="6700"/>
            <w:tcMar>
              <w:top w:type="dxa" w:w="60"/>
              <w:left w:type="dxa" w:w="80"/>
              <w:bottom w:type="dxa" w:w="60"/>
              <w:right w:type="dxa" w:w="80"/>
            </w:tcMar>
            <w:vAlign w:val="center"/>
          </w:tcPr>
          <w:p>
            <w:r>
              <w:rPr>
                <w:b w:val="false"/>
                <w:bCs w:val="false"/>
                <w:sz w:val="18"/>
                <w:szCs w:val="18"/>
              </w:rPr>
              <w:t xml:space="preserve">Matches the specified wafer (n-type, 1–10 Ω·cm) exactly; nanowire-tip Ag clusters with sub-20 nm interparticle gaps are geometrically compatible with a 1–2 nm hydrated analyte; fully disclosed wet-chemistry recipe; demonstrated on a small polar molecule (dopamine, MW 189 Da) in addition to a dye, which is the closest literature precedent to NAM's size/polarity class.</w:t>
            </w:r>
          </w:p>
        </w:tc>
      </w:tr>
      <w:tr>
        <w:tc>
          <w:tcPr>
            <w:tcW w:type="dxa" w:w="700"/>
            <w:tcMar>
              <w:top w:type="dxa" w:w="60"/>
              <w:left w:type="dxa" w:w="80"/>
              <w:bottom w:type="dxa" w:w="60"/>
              <w:right w:type="dxa" w:w="80"/>
            </w:tcMar>
            <w:vAlign w:val="center"/>
          </w:tcPr>
          <w:p>
            <w:r>
              <w:rPr>
                <w:b w:val="false"/>
                <w:bCs w:val="false"/>
                <w:sz w:val="18"/>
                <w:szCs w:val="18"/>
              </w:rPr>
              <w:t xml:space="preserve">2</w:t>
            </w:r>
          </w:p>
        </w:tc>
        <w:tc>
          <w:tcPr>
            <w:tcW w:type="dxa" w:w="3400"/>
            <w:tcMar>
              <w:top w:type="dxa" w:w="60"/>
              <w:left w:type="dxa" w:w="80"/>
              <w:bottom w:type="dxa" w:w="60"/>
              <w:right w:type="dxa" w:w="80"/>
            </w:tcMar>
            <w:vAlign w:val="center"/>
          </w:tcPr>
          <w:p>
            <w:r>
              <w:rPr>
                <w:b w:val="false"/>
                <w:bCs w:val="false"/>
                <w:sz w:val="18"/>
                <w:szCs w:val="18"/>
              </w:rPr>
              <w:t xml:space="preserve">Gonzalez-Rodriguez et al. 2024 (boronic-acid/Au/porous-Si nanotubes)</w:t>
            </w:r>
          </w:p>
        </w:tc>
        <w:tc>
          <w:tcPr>
            <w:tcW w:type="dxa" w:w="6700"/>
            <w:tcMar>
              <w:top w:type="dxa" w:w="60"/>
              <w:left w:type="dxa" w:w="80"/>
              <w:bottom w:type="dxa" w:w="60"/>
              <w:right w:type="dxa" w:w="80"/>
            </w:tcMar>
            <w:vAlign w:val="center"/>
          </w:tcPr>
          <w:p>
            <w:r>
              <w:rPr>
                <w:b w:val="false"/>
                <w:bCs w:val="false"/>
                <w:sz w:val="18"/>
                <w:szCs w:val="18"/>
              </w:rPr>
              <w:t xml:space="preserve">Not black-Si/Ag and not directly reusable as the base fabrication protocol, but it is the single most important precedent for the analyte class: it proves that a bare-metal-insufficient small carbohydrate (glucose, 180 Da) requires a boronic-acid linker to generate usable SERS signal on a porous-Si/metal platform. This governs Part 6 far more than it governs Part 2.</w:t>
            </w:r>
          </w:p>
        </w:tc>
      </w:tr>
      <w:tr>
        <w:tc>
          <w:tcPr>
            <w:tcW w:type="dxa" w:w="700"/>
            <w:tcMar>
              <w:top w:type="dxa" w:w="60"/>
              <w:left w:type="dxa" w:w="80"/>
              <w:bottom w:type="dxa" w:w="60"/>
              <w:right w:type="dxa" w:w="80"/>
            </w:tcMar>
            <w:vAlign w:val="center"/>
          </w:tcPr>
          <w:p>
            <w:r>
              <w:rPr>
                <w:b w:val="false"/>
                <w:bCs w:val="false"/>
                <w:sz w:val="18"/>
                <w:szCs w:val="18"/>
              </w:rPr>
              <w:t xml:space="preserve">3</w:t>
            </w:r>
          </w:p>
        </w:tc>
        <w:tc>
          <w:tcPr>
            <w:tcW w:type="dxa" w:w="3400"/>
            <w:tcMar>
              <w:top w:type="dxa" w:w="60"/>
              <w:left w:type="dxa" w:w="80"/>
              <w:bottom w:type="dxa" w:w="60"/>
              <w:right w:type="dxa" w:w="80"/>
            </w:tcMar>
            <w:vAlign w:val="center"/>
          </w:tcPr>
          <w:p>
            <w:r>
              <w:rPr>
                <w:b w:val="false"/>
                <w:bCs w:val="false"/>
                <w:sz w:val="18"/>
                <w:szCs w:val="18"/>
              </w:rPr>
              <w:t xml:space="preserve">Hoang et al. 2025 (porous-Si microcavity + Ag)</w:t>
            </w:r>
          </w:p>
        </w:tc>
        <w:tc>
          <w:tcPr>
            <w:tcW w:type="dxa" w:w="6700"/>
            <w:tcMar>
              <w:top w:type="dxa" w:w="60"/>
              <w:left w:type="dxa" w:w="80"/>
              <w:bottom w:type="dxa" w:w="60"/>
              <w:right w:type="dxa" w:w="80"/>
            </w:tcMar>
            <w:vAlign w:val="center"/>
          </w:tcPr>
          <w:p>
            <w:r>
              <w:rPr>
                <w:b w:val="false"/>
                <w:bCs w:val="false"/>
                <w:sz w:val="18"/>
                <w:szCs w:val="18"/>
              </w:rPr>
              <w:t xml:space="preserve">Highest EF/lowest LOD of the verified set, but achieved with a photonic-crystal microcavity resonance tuned to 785 nm for a planar dye and a pesticide — a more complex, harder-to-adapt-with-minimal-change fabrication than MACE, and not demonstrated on a carbohydrate.</w:t>
            </w:r>
          </w:p>
        </w:tc>
      </w:tr>
      <w:tr>
        <w:tc>
          <w:tcPr>
            <w:tcW w:type="dxa" w:w="700"/>
            <w:tcMar>
              <w:top w:type="dxa" w:w="60"/>
              <w:left w:type="dxa" w:w="80"/>
              <w:bottom w:type="dxa" w:w="60"/>
              <w:right w:type="dxa" w:w="80"/>
            </w:tcMar>
            <w:vAlign w:val="center"/>
          </w:tcPr>
          <w:p>
            <w:r>
              <w:rPr>
                <w:b w:val="false"/>
                <w:bCs w:val="false"/>
                <w:sz w:val="18"/>
                <w:szCs w:val="18"/>
              </w:rPr>
              <w:t xml:space="preserve">4</w:t>
            </w:r>
          </w:p>
        </w:tc>
        <w:tc>
          <w:tcPr>
            <w:tcW w:type="dxa" w:w="3400"/>
            <w:tcMar>
              <w:top w:type="dxa" w:w="60"/>
              <w:left w:type="dxa" w:w="80"/>
              <w:bottom w:type="dxa" w:w="60"/>
              <w:right w:type="dxa" w:w="80"/>
            </w:tcMar>
            <w:vAlign w:val="center"/>
          </w:tcPr>
          <w:p>
            <w:r>
              <w:rPr>
                <w:b w:val="false"/>
                <w:bCs w:val="false"/>
                <w:sz w:val="18"/>
                <w:szCs w:val="18"/>
              </w:rPr>
              <w:t xml:space="preserve">Padrez &amp; Golubewa 2024 (review)</w:t>
            </w:r>
          </w:p>
        </w:tc>
        <w:tc>
          <w:tcPr>
            <w:tcW w:type="dxa" w:w="6700"/>
            <w:tcMar>
              <w:top w:type="dxa" w:w="60"/>
              <w:left w:type="dxa" w:w="80"/>
              <w:bottom w:type="dxa" w:w="60"/>
              <w:right w:type="dxa" w:w="80"/>
            </w:tcMar>
            <w:vAlign w:val="center"/>
          </w:tcPr>
          <w:p>
            <w:r>
              <w:rPr>
                <w:b w:val="false"/>
                <w:bCs w:val="false"/>
                <w:sz w:val="18"/>
                <w:szCs w:val="18"/>
              </w:rPr>
              <w:t xml:space="preserve">Not a fabrication protocol itself; used to cross-check that MACE and electrochemical anodization are the two 'best practice' families and that Ag/Au-coated black-Si tolerates biofluids.</w:t>
            </w:r>
          </w:p>
        </w:tc>
      </w:tr>
      <w:tr>
        <w:tc>
          <w:tcPr>
            <w:tcW w:type="dxa" w:w="700"/>
            <w:tcMar>
              <w:top w:type="dxa" w:w="60"/>
              <w:left w:type="dxa" w:w="80"/>
              <w:bottom w:type="dxa" w:w="60"/>
              <w:right w:type="dxa" w:w="80"/>
            </w:tcMar>
            <w:vAlign w:val="center"/>
          </w:tcPr>
          <w:p>
            <w:r>
              <w:rPr>
                <w:b w:val="false"/>
                <w:bCs w:val="false"/>
                <w:sz w:val="18"/>
                <w:szCs w:val="18"/>
              </w:rPr>
              <w:t xml:space="preserve">5</w:t>
            </w:r>
          </w:p>
        </w:tc>
        <w:tc>
          <w:tcPr>
            <w:tcW w:type="dxa" w:w="3400"/>
            <w:tcMar>
              <w:top w:type="dxa" w:w="60"/>
              <w:left w:type="dxa" w:w="80"/>
              <w:bottom w:type="dxa" w:w="60"/>
              <w:right w:type="dxa" w:w="80"/>
            </w:tcMar>
            <w:vAlign w:val="center"/>
          </w:tcPr>
          <w:p>
            <w:r>
              <w:rPr>
                <w:b w:val="false"/>
                <w:bCs w:val="false"/>
                <w:sz w:val="18"/>
                <w:szCs w:val="18"/>
              </w:rPr>
              <w:t xml:space="preserve">Wang et al. 2021 (Ag/Si nanocones)</w:t>
            </w:r>
          </w:p>
        </w:tc>
        <w:tc>
          <w:tcPr>
            <w:tcW w:type="dxa" w:w="6700"/>
            <w:tcMar>
              <w:top w:type="dxa" w:w="60"/>
              <w:left w:type="dxa" w:w="80"/>
              <w:bottom w:type="dxa" w:w="60"/>
              <w:right w:type="dxa" w:w="80"/>
            </w:tcMar>
            <w:vAlign w:val="center"/>
          </w:tcPr>
          <w:p>
            <w:r>
              <w:rPr>
                <w:b w:val="false"/>
                <w:bCs w:val="false"/>
                <w:sz w:val="18"/>
                <w:szCs w:val="18"/>
              </w:rPr>
              <w:t xml:space="preserve">Directionally relevant (trace detection in complex liquids) but methodological details could not be independently verified in this pass; kept as a lower-confidence entry pending full-text access.</w:t>
            </w:r>
          </w:p>
        </w:tc>
      </w:tr>
    </w:tbl>
    <w:p>
      <w:pPr>
        <w:pStyle w:val="Heading1"/>
        <w:spacing w:after="200" w:before="400"/>
      </w:pPr>
      <w:r>
        <w:t xml:space="preserve">Part 2 — Fabrication Process (Adapted from Bai et al., Nanomaterials 2019)</w:t>
      </w:r>
    </w:p>
    <w:p>
      <w:pPr>
        <w:spacing w:after="160"/>
      </w:pPr>
      <w:r>
        <w:t xml:space="preserve">The base protocol is reproduced as published, with the specified wafer substituted directly (Bai et al. used comparable n-type 1–10 Ω·cm Si, so the substrate swap requires no process redesign). Each step below is labeled Published protocol (✅, taken directly from the cited paper) or Engineering recommendation (🔵, an addition/adjustment justified by standard silicon-cleanroom practice but not explicitly stated in the source paper).</w:t>
      </w:r>
    </w:p>
    <w:p>
      <w:pPr>
        <w:pStyle w:val="Heading3"/>
        <w:spacing w:after="120" w:before="240"/>
      </w:pPr>
      <w:r>
        <w:t xml:space="preserve">1. Wafer dicing &amp; handling</w:t>
      </w:r>
    </w:p>
    <w:p>
      <w:pPr>
        <w:spacing w:after="160"/>
      </w:pPr>
      <w:r>
        <w:rPr>
          <w:b/>
          <w:bCs/>
          <w:i/>
          <w:iCs/>
        </w:rPr>
        <w:t xml:space="preserve">Classification: Published</w:t>
      </w:r>
    </w:p>
    <w:p>
      <w:pPr>
        <w:spacing w:after="160"/>
      </w:pPr>
      <w:r>
        <w:t xml:space="preserve">Dice the 2-inch wafer into ~1×1 cm to 2×2 cm chips (diamond scribe or dicing saw) before wet processing.</w:t>
      </w:r>
    </w:p>
    <w:p>
      <w:pPr>
        <w:spacing w:after="160"/>
      </w:pPr>
      <w:r>
        <w:t xml:space="preserve">Why: MACE and SERS characterization are done on small coupons, not full wafers, to conserve etchant volume and allow parallel process splits. Physically: brittle fracture along the cleaved ⟨110⟩ planes. Chemically: none. If omitted: whole-wafer etching wastes reagents and prevents process-condition screening; not a hard failure, just inefficient. 🔵 (chip size not specified in source; standard practice).</w:t>
      </w:r>
    </w:p>
    <w:p>
      <w:pPr>
        <w:pStyle w:val="Heading3"/>
        <w:spacing w:after="120" w:before="240"/>
      </w:pPr>
      <w:r>
        <w:t xml:space="preserve">2. Organic/particulate cleaning</w:t>
      </w:r>
    </w:p>
    <w:p>
      <w:pPr>
        <w:spacing w:after="160"/>
      </w:pPr>
      <w:r>
        <w:rPr>
          <w:b/>
          <w:bCs/>
          <w:i/>
          <w:iCs/>
        </w:rPr>
        <w:t xml:space="preserve">Classification: Published (standard RCA-type, implied)</w:t>
      </w:r>
    </w:p>
    <w:p>
      <w:pPr>
        <w:spacing w:after="160"/>
      </w:pPr>
      <w:r>
        <w:t xml:space="preserve">Sequential rinse in DI water then ethanol, as stated by Bai et al.; engineering recommendation to precede this with a standard solvent/RCA-1-type clean (acetone → isopropanol → DI water) if the wafer has handling residue.</w:t>
      </w:r>
    </w:p>
    <w:p>
      <w:pPr>
        <w:spacing w:after="160"/>
      </w:pPr>
      <w:r>
        <w:t xml:space="preserve">Why: removes hydrocarbons, dicing debris, and particulates that would block uniform etch initiation. Physically: dissolution/rinse-away of organic films and particles. Chemically: no Si is consumed at this stage. If omitted: non-uniform nucleation of the MACE reaction, patchy black-Si texture, irreproducible hotspot density. ✅ for the DI/ethanol step (explicit in the paper); 🔵 for the pre-clean.</w:t>
      </w:r>
    </w:p>
    <w:p>
      <w:pPr>
        <w:pStyle w:val="Heading3"/>
        <w:spacing w:after="120" w:before="240"/>
      </w:pPr>
      <w:r>
        <w:t xml:space="preserve">3. Native-oxide removal</w:t>
      </w:r>
    </w:p>
    <w:p>
      <w:pPr>
        <w:spacing w:after="160"/>
      </w:pPr>
      <w:r>
        <w:rPr>
          <w:b/>
          <w:bCs/>
          <w:i/>
          <w:iCs/>
        </w:rPr>
        <w:t xml:space="preserve">Classification: Published</w:t>
      </w:r>
    </w:p>
    <w:p>
      <w:pPr>
        <w:spacing w:after="160"/>
      </w:pPr>
      <w:r>
        <w:t xml:space="preserve">Immerse in 5% HF (dilute) prior to the Ag-nucleation bath.</w:t>
      </w:r>
    </w:p>
    <w:p>
      <w:pPr>
        <w:spacing w:after="160"/>
      </w:pPr>
      <w:r>
        <w:t xml:space="preserve">Why: the ~1–2 nm native SiO₂ layer is electrically insulating and blocks the electron-transfer step that MACE depends on. Physically: oxide dissolves, exposing bare, H-terminated Si. Chemically: SiO₂ + 6HF → H₂SiF₆ + 2H₂O, followed by surface passivation as Si–H (hydrophobic, hydride-terminated surface). If omitted: Ag⁺ cannot be reduced at the Si surface efficiently, nucleation is sparse and non-uniform, and etch rate/anisotropy become unpredictable. ✅</w:t>
      </w:r>
    </w:p>
    <w:p>
      <w:pPr>
        <w:pStyle w:val="Heading3"/>
        <w:spacing w:after="120" w:before="240"/>
      </w:pPr>
      <w:r>
        <w:t xml:space="preserve">4. Ag nanoparticle nucleation (galvanic seeding)</w:t>
      </w:r>
    </w:p>
    <w:p>
      <w:pPr>
        <w:spacing w:after="160"/>
      </w:pPr>
      <w:r>
        <w:rPr>
          <w:b/>
          <w:bCs/>
          <w:i/>
          <w:iCs/>
        </w:rPr>
        <w:t xml:space="preserve">Classification: Published</w:t>
      </w:r>
    </w:p>
    <w:p>
      <w:pPr>
        <w:spacing w:after="160"/>
      </w:pPr>
      <w:r>
        <w:t xml:space="preserve">Immerse in 4.8 M HF + 0.005 M AgNO₃ for 1.5 min.</w:t>
      </w:r>
    </w:p>
    <w:p>
      <w:pPr>
        <w:spacing w:after="160"/>
      </w:pPr>
      <w:r>
        <w:t xml:space="preserve">Why: deposits a sparse layer of Ag nanoparticles that will act as the local cathodic catalyst for the subsequent etch — this is what patterns the nanowire array without lithography. Physically: Ag nanoparticles nucleate and grow heterogeneously on the H-terminated Si. Chemically (galvanic displacement): Ag⁺ + e⁻ → Ag⁰ (cathodic, at nucleating Ag); Si + 2H₂O + 4h⁺ → SiO₂ + 4H⁺ (anodic, hole injection into Si), oxide immediately dissolved by HF present in the same bath. If omitted: no catalytic template exists, so the subsequent H₂O₂/HF step etches Si isotropically/slowly instead of forming aligned nanowires. ✅</w:t>
      </w:r>
    </w:p>
    <w:p>
      <w:pPr>
        <w:pStyle w:val="Heading3"/>
        <w:spacing w:after="120" w:before="240"/>
      </w:pPr>
      <w:r>
        <w:t xml:space="preserve">5. Anisotropic MACE etch</w:t>
      </w:r>
    </w:p>
    <w:p>
      <w:pPr>
        <w:spacing w:after="160"/>
      </w:pPr>
      <w:r>
        <w:rPr>
          <w:b/>
          <w:bCs/>
          <w:i/>
          <w:iCs/>
        </w:rPr>
        <w:t xml:space="preserve">Classification: Published</w:t>
      </w:r>
    </w:p>
    <w:p>
      <w:pPr>
        <w:spacing w:after="160"/>
      </w:pPr>
      <w:r>
        <w:t xml:space="preserve">Transfer to 4.8 M HF + 0.1 M H₂O₂, 30 min, room temperature.</w:t>
      </w:r>
    </w:p>
    <w:p>
      <w:pPr>
        <w:spacing w:after="160"/>
      </w:pPr>
      <w:r>
        <w:t xml:space="preserve">Why: this is the step that actually carves the black-silicon nanowire array; etch time sets nanowire length (~10 µm reported). Physically: Ag nanoparticles sink into the Si as they locally catalyze etching, leaving nanowires standing between them. Chemically: H₂O₂ + 2H⁺ + 2e⁻ → 2H₂O at the Ag surface (cathodic, injects holes into the Si beneath the particle); Si + 4h⁺ + 6HF → H₂SiF₆ + 4H⁺ (anodic, dissolves Si locally beneath each particle). Bulk Si away from Ag is protected because it lacks a catalytic surface for H₂O₂ reduction. If omitted: no nanostructure forms — flat, planar Si has negligible SERS activity. ✅</w:t>
      </w:r>
    </w:p>
    <w:p>
      <w:pPr>
        <w:pStyle w:val="Heading3"/>
        <w:spacing w:after="120" w:before="240"/>
      </w:pPr>
      <w:r>
        <w:t xml:space="preserve">6. Residual Ag stripping</w:t>
      </w:r>
    </w:p>
    <w:p>
      <w:pPr>
        <w:spacing w:after="160"/>
      </w:pPr>
      <w:r>
        <w:rPr>
          <w:b/>
          <w:bCs/>
          <w:i/>
          <w:iCs/>
        </w:rPr>
        <w:t xml:space="preserve">Classification: Published</w:t>
      </w:r>
    </w:p>
    <w:p>
      <w:pPr>
        <w:spacing w:after="160"/>
      </w:pPr>
      <w:r>
        <w:t xml:space="preserve">Dissolve etch-template Ag nanoparticles in 30 wt% HNO₃.</w:t>
      </w:r>
    </w:p>
    <w:p>
      <w:pPr>
        <w:spacing w:after="160"/>
      </w:pPr>
      <w:r>
        <w:t xml:space="preserve">Why: the nucleation-stage Ag particles are randomly sized/spaced and are not the final, engineered SERS-active Ag layer; they must be removed before depositing a controlled Ag nanoparticle population. Physically: Ag dissolves from the nanowire sidewalls/tips, leaving bare textured Si. Chemically: 3Ag + 4HNO₃ → 3AgNO₃ + NO↑ + 2H₂O. If omitted: uncontrolled residual Ag interferes with the photonic-reduction step and produces irreproducible hotspot geometry. ✅</w:t>
      </w:r>
    </w:p>
    <w:p>
      <w:pPr>
        <w:pStyle w:val="Heading3"/>
        <w:spacing w:after="120" w:before="240"/>
      </w:pPr>
      <w:r>
        <w:t xml:space="preserve">7. Black-silicon nanowire array (result of steps 4–6)</w:t>
      </w:r>
    </w:p>
    <w:p>
      <w:pPr>
        <w:spacing w:after="160"/>
      </w:pPr>
      <w:r>
        <w:rPr>
          <w:b/>
          <w:bCs/>
          <w:i/>
          <w:iCs/>
        </w:rPr>
        <w:t xml:space="preserve">Classification: Published</w:t>
      </w:r>
    </w:p>
    <w:p>
      <w:pPr>
        <w:spacing w:after="160"/>
      </w:pPr>
      <w:r>
        <w:t xml:space="preserve">~10 µm long nanowires, ~400 nm pitch, forming the light-trapping 'black' surface.</w:t>
      </w:r>
    </w:p>
    <w:p>
      <w:pPr>
        <w:spacing w:after="160"/>
      </w:pPr>
      <w:r>
        <w:t xml:space="preserve">Why: sets the scaffold density and the macroscopic optical (near-zero reflectance) and mechanical (increased surface area) properties. Physically: a quasi-random, high-aspect-ratio nanowire forest. Chemically: unchanged Si (undoped-surface single crystal core, native oxide reforms on air exposure). If omitted (i.e., stopping after step 3): substrate would be flat, reflective single-crystal Si with essentially no SERS gain. ✅</w:t>
      </w:r>
    </w:p>
    <w:p>
      <w:pPr>
        <w:pStyle w:val="Heading3"/>
        <w:spacing w:after="120" w:before="240"/>
      </w:pPr>
      <w:r>
        <w:t xml:space="preserve">8. Final Ag nanoparticle deposition (photonic reduction)</w:t>
      </w:r>
    </w:p>
    <w:p>
      <w:pPr>
        <w:spacing w:after="160"/>
      </w:pPr>
      <w:r>
        <w:rPr>
          <w:b/>
          <w:bCs/>
          <w:i/>
          <w:iCs/>
        </w:rPr>
        <w:t xml:space="preserve">Classification: Published</w:t>
      </w:r>
    </w:p>
    <w:p>
      <w:pPr>
        <w:spacing w:after="160"/>
      </w:pPr>
      <w:r>
        <w:t xml:space="preserve">Immerse nanowire array in 10 mM AgNO₃ + 0.5 mM sodium citrate + 0.5 mL 40% HF per 250 mL DI water, irradiate with 365 nm UV (46 mW/cm²), 2–10 min depending on target NP size.</w:t>
      </w:r>
    </w:p>
    <w:p>
      <w:pPr>
        <w:spacing w:after="160"/>
      </w:pPr>
      <w:r>
        <w:t xml:space="preserve">Why: this is the SERS-active layer — citrate-capped Ag nanoparticles nucleated photochemically directly onto the nanowire sidewalls and tips, with tip particles ~4× larger than sidewall particles (field-enhancement 'hotspots' concentrate at tips). Physically: UV photogenerates electron–hole pairs in Si and photoreduces Ag⁺ preferentially where photon flux and electron availability are highest (nanowire tips). Chemically: Ag⁺ + e⁻(photogenerated) → Ag⁰; citrate acts as a mild reducing/capping agent that controls nanoparticle size and prevents aggregation; trace HF keeps the Si surface oxide-free during deposition. If omitted: no plasmonic layer forms — nanostructured Si alone gives only weak, non-resonant Raman enhancement (geometric/dielectric only, no LSPR). ✅</w:t>
      </w:r>
    </w:p>
    <w:p>
      <w:pPr>
        <w:pStyle w:val="Heading3"/>
        <w:spacing w:after="120" w:before="240"/>
      </w:pPr>
      <w:r>
        <w:t xml:space="preserve">9. Rinse and dry</w:t>
      </w:r>
    </w:p>
    <w:p>
      <w:pPr>
        <w:spacing w:after="160"/>
      </w:pPr>
      <w:r>
        <w:rPr>
          <w:b/>
          <w:bCs/>
          <w:i/>
          <w:iCs/>
        </w:rPr>
        <w:t xml:space="preserve">Classification: Engineering recommendation</w:t>
      </w:r>
    </w:p>
    <w:p>
      <w:pPr>
        <w:spacing w:after="160"/>
      </w:pPr>
      <w:r>
        <w:t xml:space="preserve">Copious DI water rinse, followed by either N₂ blow-dry or, preferably, critical-point drying (CPD) or a low-surface-tension solvent (e.g., pentane) exchange before air-drying.</w:t>
      </w:r>
    </w:p>
    <w:p>
      <w:pPr>
        <w:spacing w:after="160"/>
      </w:pPr>
      <w:r>
        <w:t xml:space="preserve">Why: high-aspect-ratio nanowire forests are prone to capillary-force-induced collapse/bundling during evaporative drying, which destroys the engineered hotspot spacing. Physically: surface tension at a retreating water meniscus pulls adjacent nanowires together. Chemically: none, purely mechanical. If omitted: nanowires clump, hotspot density and reproducibility (spot-to-spot RSD) both degrade — this is a well-documented failure mode for high-aspect-ratio Si nanostructures generally. 🔵 (not explicitly detailed in the source paper's methods as excerpted, but standard and strongly recommended practice for this substrate class).</w:t>
      </w:r>
    </w:p>
    <w:p>
      <w:pPr>
        <w:pStyle w:val="Heading3"/>
        <w:spacing w:after="120" w:before="240"/>
      </w:pPr>
      <w:r>
        <w:t xml:space="preserve">10. Chip singulation for use</w:t>
      </w:r>
    </w:p>
    <w:p>
      <w:pPr>
        <w:spacing w:after="160"/>
      </w:pPr>
      <w:r>
        <w:rPr>
          <w:b/>
          <w:bCs/>
          <w:i/>
          <w:iCs/>
        </w:rPr>
        <w:t xml:space="preserve">Classification: Engineering recommendation</w:t>
      </w:r>
    </w:p>
    <w:p>
      <w:pPr>
        <w:spacing w:after="160"/>
      </w:pPr>
      <w:r>
        <w:t xml:space="preserve">If not already diced to final size in step 1, cut to sensor-chip dimensions (e.g., 5×5 mm) using a scribe-and-cleave method that avoids re-wetting the Ag/nanowire surface.</w:t>
      </w:r>
    </w:p>
    <w:p>
      <w:pPr>
        <w:spacing w:after="160"/>
      </w:pPr>
      <w:r>
        <w:t xml:space="preserve">Why: minimizes mechanical/chemical exposure of the finished SERS-active surface. If omitted: risk of contaminating or abrading the Ag layer during downstream dicing. 🔵</w:t>
      </w:r>
    </w:p>
    <w:p>
      <w:pPr>
        <w:pStyle w:val="Heading3"/>
        <w:spacing w:after="120" w:before="240"/>
      </w:pPr>
      <w:r>
        <w:t xml:space="preserve">11. Storage</w:t>
      </w:r>
    </w:p>
    <w:p>
      <w:pPr>
        <w:spacing w:after="160"/>
      </w:pPr>
      <w:r>
        <w:rPr>
          <w:b/>
          <w:bCs/>
          <w:i/>
          <w:iCs/>
        </w:rPr>
        <w:t xml:space="preserve">Classification: Engineering recommendation (paper demonstrates reuse via UV photocatalytic cleaning, implying but not fully specifying storage practice)</w:t>
      </w:r>
    </w:p>
    <w:p>
      <w:pPr>
        <w:spacing w:after="160"/>
      </w:pPr>
      <w:r>
        <w:t xml:space="preserve">Store desiccated (N₂ purge box or vacuum desiccator, dark, room temperature) and use within days-to-weeks; avoid ambient humidity and light exposure between fabrication and use.</w:t>
      </w:r>
    </w:p>
    <w:p>
      <w:pPr>
        <w:spacing w:after="160"/>
      </w:pPr>
      <w:r>
        <w:t xml:space="preserve">Why: citrate-capped Ag nanoparticles on a high-surface-area Si scaffold are susceptible to (a) oxidative/sulfidation tarnishing of Ag in ambient air, degrading plasmonic response, and (b) organic-vapor contamination masking the SERS spectrum. Physically/chemically: 4Ag + O₂ → 2Ag₂O (slow, surface); trace H₂S or thiols in air can form Ag₂S, which is a much stronger SERS quencher. If omitted: substrate-to-substrate and day-to-day reproducibility falls, EF drifts downward. The source paper's demonstrated 'reusability' via UV/photocatalytic cleaning (🟡) indirectly supports that Ag surface fouling is a real, addressable failure mode for this exact substrate family.</w:t>
      </w:r>
    </w:p>
    <w:p>
      <w:pPr>
        <w:pStyle w:val="Heading1"/>
        <w:spacing w:after="200" w:before="400"/>
      </w:pPr>
      <w:r>
        <w:t xml:space="preserve">Part 3 — Chemical Reactions</w:t>
      </w:r>
    </w:p>
    <w:p>
      <w:pPr>
        <w:pStyle w:val="Heading2"/>
        <w:spacing w:after="160" w:before="300"/>
      </w:pPr>
      <w:r>
        <w:t xml:space="preserve">3.1 Native oxide removal (HF etch of SiO₂)</w:t>
      </w:r>
    </w:p>
    <w:p>
      <w:pPr>
        <w:spacing w:after="160"/>
      </w:pPr>
      <w:r>
        <w:rPr>
          <w:b/>
          <w:bCs/>
        </w:rPr>
        <w:t xml:space="preserve">SiO₂ + 6HF → H₂SiF₆ + 2H₂O</w:t>
      </w:r>
    </w:p>
    <w:p>
      <w:pPr>
        <w:spacing w:after="160"/>
      </w:pPr>
      <w:r>
        <w:t xml:space="preserve">Purpose: strips the insulating native oxide so the underlying Si surface is electrically active and can support charge transfer in the following galvanic step. Product: soluble hexafluorosilicic acid; the freshly exposed Si surface is left H-terminated (hydrophobic). Influence on nanostructure: without this step, MACE nucleation is blocked at oxide-covered regions, producing patchy, non-uniform texturing. ✅ (standard, well-established Si wet-chemistry, consistent with the MACE mechanism reported across the literature — e.g., Chartier, Bastide &amp; Lévy-Clément, Electrochimica Acta 2008, on MACE of Si in HF/H₂O₂).</w:t>
      </w:r>
    </w:p>
    <w:p>
      <w:pPr>
        <w:pStyle w:val="Heading2"/>
        <w:spacing w:after="160" w:before="300"/>
      </w:pPr>
      <w:r>
        <w:t xml:space="preserve">3.2 Galvanic Ag nucleation</w:t>
      </w:r>
    </w:p>
    <w:p>
      <w:pPr>
        <w:spacing w:after="160"/>
      </w:pPr>
      <w:r>
        <w:rPr>
          <w:b/>
          <w:bCs/>
        </w:rPr>
        <w:t xml:space="preserve">Cathodic (at nucleating Ag): Ag⁺ + e⁻ → Ag⁰</w:t>
      </w:r>
    </w:p>
    <w:p>
      <w:pPr>
        <w:spacing w:after="160"/>
      </w:pPr>
      <w:r>
        <w:rPr>
          <w:b/>
          <w:bCs/>
        </w:rPr>
        <w:t xml:space="preserve">Anodic (at Si, hole injection): Si + 2H₂O + 4h⁺ → SiO₂ + 4H⁺, immediately followed by SiO₂ + 6HF → H₂SiF₆ + 2H₂O</w:t>
      </w:r>
    </w:p>
    <w:p>
      <w:pPr>
        <w:spacing w:after="160"/>
      </w:pPr>
      <w:r>
        <w:t xml:space="preserve">Purpose of AgNO₃: supplies Ag⁺ as both the oxidizing agent (accepting electrons from Si, i.e., injecting holes) and the source of the metal nanoparticles that template the etch. Purpose of HF: dissolves the SiO₂ generated at the anodic site as fast as it forms, so etching proceeds rather than passivating. Influence on nanostructure: Ag⁺ concentration and immersion time set nucleation density, which in turn sets the eventual nanowire pitch. ✅ (mechanism as described in Bai et al. 2019 and consistent with the broader MACE literature).</w:t>
      </w:r>
    </w:p>
    <w:p>
      <w:pPr>
        <w:pStyle w:val="Heading2"/>
        <w:spacing w:after="160" w:before="300"/>
      </w:pPr>
      <w:r>
        <w:t xml:space="preserve">3.3 Anisotropic etch (MACE proper)</w:t>
      </w:r>
    </w:p>
    <w:p>
      <w:pPr>
        <w:spacing w:after="160"/>
      </w:pPr>
      <w:r>
        <w:rPr>
          <w:b/>
          <w:bCs/>
        </w:rPr>
        <w:t xml:space="preserve">Cathodic (at Ag, catalyzing H₂O₂ reduction): H₂O₂ + 2H⁺ + 2e⁻ → 2H₂O</w:t>
      </w:r>
    </w:p>
    <w:p>
      <w:pPr>
        <w:spacing w:after="160"/>
      </w:pPr>
      <w:r>
        <w:rPr>
          <w:b/>
          <w:bCs/>
        </w:rPr>
        <w:t xml:space="preserve">Anodic (at Si beneath Ag): Si + 4h⁺ + 6HF → H₂SiF₆ + 4H⁺</w:t>
      </w:r>
    </w:p>
    <w:p>
      <w:pPr>
        <w:spacing w:after="160"/>
      </w:pPr>
      <w:r>
        <w:t xml:space="preserve">Purpose of H₂O₂: the oxidant whose catalytic reduction at the Ag surface generates the electronic holes (h⁺) that are injected into the Si immediately beneath each Ag particle — this localizes dissolution to the metal/Si interface, which is what produces vertical, anisotropic nanowires instead of isotropic pitting. Purpose of HF: continuously dissolves the SiF-complex-forming oxidized Si. Reaction products: soluble H₂SiF₆, plus H₂O. Influence on nanostructure: [H₂O₂]/[HF] ratio and etch time control aspect ratio and nanowire length; higher H₂O₂ tends to increase lateral (isotropic) etching and can taper wires into cone-like profiles. ✅.</w:t>
      </w:r>
    </w:p>
    <w:p>
      <w:pPr>
        <w:pStyle w:val="Heading2"/>
        <w:spacing w:after="160" w:before="300"/>
      </w:pPr>
      <w:r>
        <w:t xml:space="preserve">3.4 Residual-Ag stripping</w:t>
      </w:r>
    </w:p>
    <w:p>
      <w:pPr>
        <w:spacing w:after="160"/>
      </w:pPr>
      <w:r>
        <w:rPr>
          <w:b/>
          <w:bCs/>
        </w:rPr>
        <w:t xml:space="preserve">3Ag + 4HNO₃(dilute) → 3AgNO₃ + NO↑ + 2H₂O</w:t>
      </w:r>
    </w:p>
    <w:p>
      <w:pPr>
        <w:spacing w:after="160"/>
      </w:pPr>
      <w:r>
        <w:t xml:space="preserve">Purpose: HNO₃ is a strong oxidizer that dissolves the templating Ag without attacking the Si (Si is not appreciably etched by HNO₃ alone in the absence of HF). Product: soluble AgNO₃, removed by rinsing. ✅.</w:t>
      </w:r>
    </w:p>
    <w:p>
      <w:pPr>
        <w:pStyle w:val="Heading2"/>
        <w:spacing w:after="160" w:before="300"/>
      </w:pPr>
      <w:r>
        <w:t xml:space="preserve">3.5 Photonic reduction — final Ag nanoparticle deposition</w:t>
      </w:r>
    </w:p>
    <w:p>
      <w:pPr>
        <w:spacing w:after="160"/>
      </w:pPr>
      <w:r>
        <w:rPr>
          <w:b/>
          <w:bCs/>
        </w:rPr>
        <w:t xml:space="preserve">Photogeneration in Si: Si + hν(365 nm) → e⁻ + h⁺</w:t>
      </w:r>
    </w:p>
    <w:p>
      <w:pPr>
        <w:spacing w:after="160"/>
      </w:pPr>
      <w:r>
        <w:rPr>
          <w:b/>
          <w:bCs/>
        </w:rPr>
        <w:t xml:space="preserve">Reduction: Ag⁺ + e⁻ → Ag⁰(nucleus → nanoparticle growth)</w:t>
      </w:r>
    </w:p>
    <w:p>
      <w:pPr>
        <w:spacing w:after="160"/>
      </w:pPr>
      <w:r>
        <w:t xml:space="preserve">Role of trisodium citrate: a mild reductant/capping ligand. It (a) assists reduction of Ag⁺ at moderate rate (avoiding uncontrolled bulk precipitation), and (b) electrostatically stabilizes the growing Ag nanoparticle surface (citrate adsorbs via its carboxylate groups), controlling final particle size and preventing irreversible aggregation. Role of trace HF: keeps the Si surface oxide-free during the photoreduction so photogenerated carriers reach the surface efficiently rather than recombining at an oxide/Si interface. Influence on nanostructure: longer UV exposure and higher Ag⁺/citrate ratios yield larger nanoparticles; the reported ~4× larger particles at nanowire tips versus sidewalls arise because tips both intercept more incident UV flux and have more favorable local electric-field/carrier-collection geometry — a geometric/optical effect, not a distinct chemical reaction. ✅ (as reported by Bai et al. 2019); the tip-vs-sidewall growth-rate explanation is 🔵 (their causal explanation is standard photoelectrochemistry reasoning, presented by this report as inference rather than as verbatim from the source).</w:t>
      </w:r>
    </w:p>
    <w:p>
      <w:pPr>
        <w:pStyle w:val="Heading2"/>
        <w:spacing w:after="160" w:before="300"/>
      </w:pPr>
      <w:r>
        <w:t xml:space="preserve">3.6 Reagents not used in the base protocol but relevant to later parts (APTES, boronic acid, dopamine/PDA)</w:t>
      </w:r>
    </w:p>
    <w:p>
      <w:pPr>
        <w:pStyle w:val="ListParagraph"/>
        <w:numPr>
          <w:ilvl w:val="0"/>
          <w:numId w:val="1"/>
        </w:numPr>
        <w:spacing w:after="100"/>
      </w:pPr>
      <w:r>
        <w:t xml:space="preserve">APTES (3-aminopropyltriethoxysilane): hydrolyzes in trace water to silanol (Si–OH), which condenses with surface Si–OH (on native oxide) to form Si–O–Si linkages, leaving a pendant primary amine (–NH₂) presented at the surface. Used in the glucose/boronic-acid precedent (Gonzalez-Rodriguez et al. 2024) as an intermediate anchor layer beneath the Au-boronic-acid chemistry, not as the direct carbohydrate-capture group. 🟡.</w:t>
      </w:r>
    </w:p>
    <w:p>
      <w:pPr>
        <w:pStyle w:val="ListParagraph"/>
        <w:numPr>
          <w:ilvl w:val="0"/>
          <w:numId w:val="1"/>
        </w:numPr>
        <w:spacing w:after="100"/>
      </w:pPr>
      <w:r>
        <w:t xml:space="preserve">4-Mercaptophenylboronic acid (MPBA) — boronic acid capture chemistry: the thiol (–SH) chemisorbs directly onto Ag/Au via a dative Ag–S/Au–S bond (no separate 'reaction' — a coordinate covalent surface bond forms spontaneously in solution, ΔG favorable due to strong soft-acid/soft-base thiolate–metal affinity). The boronic acid group (–B(OH)₂) at the distal end then forms a reversible cyclic boronate ester with 1,2- or 1,3-diols: R–B(OH)₂ + HO–C–C–OH ⇌ R–B(–O–C–C–O–) (cyclic ester) + 2H₂O. Purpose: this is the literature-demonstrated mechanism for capturing a small carbohydrate (glucose) at a metal SERS surface. NAM's pyranose ring carries multiple hydroxyls in a diol-compatible arrangement, making this the most directly transferable capture chemistry from existing literature. 🟡 (verified for glucose, not yet for NAM).</w:t>
      </w:r>
    </w:p>
    <w:p>
      <w:pPr>
        <w:pStyle w:val="ListParagraph"/>
        <w:numPr>
          <w:ilvl w:val="0"/>
          <w:numId w:val="1"/>
        </w:numPr>
        <w:spacing w:after="100"/>
      </w:pPr>
      <w:r>
        <w:t xml:space="preserve">Dopamine/polydopamine (PDA): dopamine self-polymerizes oxidatively in mildly alkaline aqueous buffer (auto-oxidation to dopamine-quinone, followed by intramolecular cyclization and further oxidative coupling) to deposit a thin, adherent, catechol/quinone-rich polymer film on virtually any surface, including Ag. The catechol/quinone groups can subsequently anchor amine- or thiol-bearing capture molecules via Michael addition or Schiff-base chemistry, or bind metal ions/some polar analytes directly through catechol coordination. A polydopamine-modified black-Si/Ag SERS substrate has been reported in the literature (ScienceDirect record identified, full text not independently verified in this pass) — noted here as a candidate alternative surface chemistry, ranked below boronic acid for NAM specifically because its interaction with a small carbohydrate lacking amine/thiol groups is less direct. 🟡/🔵.</w:t>
      </w:r>
    </w:p>
    <w:p>
      <w:pPr>
        <w:pStyle w:val="Heading1"/>
        <w:spacing w:after="200" w:before="400"/>
      </w:pPr>
      <w:r>
        <w:t xml:space="preserve">Part 4 — Nanostructure Engineering</w:t>
      </w:r>
    </w:p>
    <w:p>
      <w:pPr>
        <w:spacing w:after="160"/>
      </w:pPr>
      <w:r>
        <w:t xml:space="preserve">Parameter-by-parameter rationale, drawing on Bai et al. 2019 (primary), the Padrez &amp; Golubewa 2024 review (secondary), and Hoang et al. 2025 (secondary, for pore/gap-size effects).</w:t>
      </w:r>
    </w:p>
    <w:p>
      <w:pPr>
        <w:pStyle w:val="Heading3"/>
        <w:spacing w:after="120" w:before="240"/>
      </w:pPr>
      <w:r>
        <w:t xml:space="preserve">Nanowire length (~10 µm, Bai et al.)</w:t>
      </w:r>
    </w:p>
    <w:p>
      <w:pPr>
        <w:spacing w:after="160"/>
      </w:pPr>
      <w:r>
        <w:t xml:space="preserve">If increased: Longer wires: more light-trapping surface area (lower reflectance, 'blacker' surface) and greater total Ag NP loading; ✅ but only up to the point where increased length causes wire bundling/collapse during drying, which reduces accessible hotspot density. 🔵 for the collapse trade-off.</w:t>
      </w:r>
    </w:p>
    <w:p>
      <w:pPr>
        <w:spacing w:after="160"/>
      </w:pPr>
      <w:r>
        <w:t xml:space="preserve">If decreased: Shorter wires: more mechanically robust, less prone to capillary collapse, but reduced surface area and light trapping, and shallower structures are easier for solvent/analyte to fully wet. 🔵</w:t>
      </w:r>
    </w:p>
    <w:p>
      <w:pPr>
        <w:spacing w:after="160"/>
      </w:pPr>
      <w:r>
        <w:t xml:space="preserve">Optimal (experimental/theoretical): Experimentally optimal per Bai et al.: ~10 µm, achieving EF 1.4×10⁸. Theoretically optimal: an aspect ratio high enough for strong absorption but below the critical aspect ratio for capillary-force collapse (a well-known trade-off in high-aspect-ratio Si nanostructure literature). 🔵 for the theoretical bound; ✅ for the demonstrated 10 µm value.</w:t>
      </w:r>
    </w:p>
    <w:p>
      <w:pPr>
        <w:pStyle w:val="Heading3"/>
        <w:spacing w:after="120" w:before="240"/>
      </w:pPr>
      <w:r>
        <w:t xml:space="preserve">Nanowire pitch (~400 nm, Bai et al.)</w:t>
      </w:r>
    </w:p>
    <w:p>
      <w:pPr>
        <w:spacing w:after="160"/>
      </w:pPr>
      <w:r>
        <w:t xml:space="preserve">If increased: Denser packing (smaller pitch): more nanowire sidewall area per unit substrate area, more total hotspots, but risk of increased inter-wire capillary attraction during drying.</w:t>
      </w:r>
    </w:p>
    <w:p>
      <w:pPr>
        <w:spacing w:after="160"/>
      </w:pPr>
      <w:r>
        <w:t xml:space="preserve">If decreased: Sparser packing (larger pitch): more mechanically stable individual wires but lower areal hotspot density and weaker overall signal.</w:t>
      </w:r>
    </w:p>
    <w:p>
      <w:pPr>
        <w:spacing w:after="160"/>
      </w:pPr>
      <w:r>
        <w:t xml:space="preserve">Optimal (experimental/theoretical): ✅ ~400 nm is the value reported to give EF 1.4×10⁸; no direct optimization sweep of pitch alone was reported in the excerpted text, so whether 400 nm is a true optimum (vs. simply 'what MACE gave under these conditions') is 🔵.</w:t>
      </w:r>
    </w:p>
    <w:p>
      <w:pPr>
        <w:pStyle w:val="Heading3"/>
        <w:spacing w:after="120" w:before="240"/>
      </w:pPr>
      <w:r>
        <w:t xml:space="preserve">Final Ag nanoparticle size (tip particles ~4× larger than sidewall particles; UV-time tunable 2–10 min)</w:t>
      </w:r>
    </w:p>
    <w:p>
      <w:pPr>
        <w:spacing w:after="160"/>
      </w:pPr>
      <w:r>
        <w:t xml:space="preserve">If increased: Larger Ag NPs (longer UV/higher Ag⁺): red-shifted, potentially more intense localized surface plasmon resonance (LSPR), but risk of particle coalescence/loss of discrete nanogaps, which are the true 'hotspots.'</w:t>
      </w:r>
    </w:p>
    <w:p>
      <w:pPr>
        <w:spacing w:after="160"/>
      </w:pPr>
      <w:r>
        <w:t xml:space="preserve">If decreased: Smaller Ag NPs (shorter UV/lower Ag⁺): better-defined discrete particles and inter-particle gaps (where E-field enhancement is highest), but weaker per-particle LSPR and lower total Raman cross-section if particles are too small (&lt;~10 nm) or too sparse.</w:t>
      </w:r>
    </w:p>
    <w:p>
      <w:pPr>
        <w:spacing w:after="160"/>
      </w:pPr>
      <w:r>
        <w:t xml:space="preserve">Optimal (experimental/theoretical): Experimentally optimal in the cited work: particle growth tuned via UV exposure (2–10 min) with 30–40 nm reported as a well-performing size range in the analogous Hoang et al. 2025 study (Ag on porous-Si microcavity), which additionally reports 5–20 nm inter-particle gaps as producing the highest enhancement (EF ~10¹¹) — 🟡 transferred by analogy, not from Bai et al. directly. Theoretical optimum: classical/quantum plasmonics places maximum 'hot-spot' field enhancement in a metal–metal (or metal-particle) gap of ~1–5 nm — below ~1 nm, quantum tunneling/nonlocal effects begin to quench the classical divergence (well-established in the broader plasmonics literature, 🟡 general-field knowledge, not from a paper in this survey specifically).</w:t>
      </w:r>
    </w:p>
    <w:p>
      <w:pPr>
        <w:pStyle w:val="Heading3"/>
        <w:spacing w:after="120" w:before="240"/>
      </w:pPr>
      <w:r>
        <w:t xml:space="preserve">Hotspot (inter-particle) spacing</w:t>
      </w:r>
    </w:p>
    <w:p>
      <w:pPr>
        <w:spacing w:after="160"/>
      </w:pPr>
      <w:r>
        <w:t xml:space="preserve">If increased: Smaller gaps: exponentially higher local field enhancement (classical electromagnetic theory — the E-field enhancement in a dimer gap scales roughly as gap⁻³ in the near-field limit) but harder for a bulky or hydrated analyte to physically enter the gap.</w:t>
      </w:r>
    </w:p>
    <w:p>
      <w:pPr>
        <w:spacing w:after="160"/>
      </w:pPr>
      <w:r>
        <w:t xml:space="preserve">If decreased: Larger gaps: easier analyte access, but enhancement falls off sharply, potentially below the useful SERS threshold.</w:t>
      </w:r>
    </w:p>
    <w:p>
      <w:pPr>
        <w:spacing w:after="160"/>
      </w:pPr>
      <w:r>
        <w:t xml:space="preserve">Optimal (experimental/theoretical): Hoang et al. 2025 report 5–20 nm gaps giving very high EF for small dye/pesticide molecules. 🟡. For NAM (hydrated diameter ~1–2 nm) a gap in roughly the 2–10 nm range should in principle remain physically accessible while retaining strong field enhancement — this specific range for NAM is 🔵 engineering inference, not experimentally verified for this analyte.</w:t>
      </w:r>
    </w:p>
    <w:p>
      <w:pPr>
        <w:spacing w:after="160"/>
      </w:pPr>
      <w:r>
        <w:t xml:space="preserve">Note: because the base protocol (Bai et al. 2019) produces silicon nanowires, not pillars/cones/pores, the pillar-diameter, cone-angle, and pore-diameter/depth parameters requested in the prompt are addressed here only by analogy to the secondary studies (Hoang et al. 2025 for pore/gap size; the Padrez &amp; Golubewa 2024 review for pillar-based studies). Recommending a switch to a pillar or pore geometry purely to match the prompt's parameter list would violate the 'smallest possible modification' design goal, since it would require redesigning the etch chemistry rather than reusing it. 🔵.</w:t>
      </w:r>
    </w:p>
    <w:p>
      <w:pPr>
        <w:pStyle w:val="Heading1"/>
        <w:spacing w:after="200" w:before="400"/>
      </w:pPr>
      <w:r>
        <w:t xml:space="preserve">Part 5 — NAM Compatibility</w:t>
      </w:r>
    </w:p>
    <w:p>
      <w:pPr>
        <w:pStyle w:val="Heading2"/>
        <w:spacing w:after="160" w:before="300"/>
      </w:pPr>
      <w:r>
        <w:t xml:space="preserve">5.1 Molecular and hydrated size estimate</w:t>
      </w:r>
    </w:p>
    <w:p>
      <w:pPr>
        <w:spacing w:after="160"/>
      </w:pPr>
      <w:r>
        <w:t xml:space="preserve">NAM (C11H19NO8, MW 293.27 Da) is a pyranose-ring carbohydrate (a lactyl ether of N-acetylglucosamine) bearing a carboxylic acid, an acetamido group, and multiple hydroxyls. Its anhydrous 'dry' molecular footprint, estimated from comparable pyranose sugars (e.g., glucose, MW 180 Da, crystallographic diameter ~0.7–0.9 nm), scales to roughly 0.9–1.1 nm for the ring plus substituents.🔵 With a bound hydration shell (typical for a small, highly hydrophilic polar molecule with 5–6 H-bonding groups), the effective hydrodynamic diameter is estimated at ~1–2 nm, consistent with the figure given in the project brief. 🔵 (no direct measurement of NAM's hydrodynamic radius was located in this search).</w:t>
      </w:r>
    </w:p>
    <w:p>
      <w:pPr>
        <w:pStyle w:val="Heading2"/>
        <w:spacing w:after="160" w:before="300"/>
      </w:pPr>
      <w:r>
        <w:t xml:space="preserve">5.2 Diffusion and access to hotspots</w:t>
      </w:r>
    </w:p>
    <w:p>
      <w:pPr>
        <w:spacing w:after="160"/>
      </w:pPr>
      <w:r>
        <w:t xml:space="preserve">A ~1–2 nm hydrated solute diffuses freely in bulk water (diffusion coefficient on the order of 4–5×10⁻¹⁰ m²/s by Stokes–Einstein scaling from comparable small sugars) and is not sterically excluded from nanowire-sidewall gaps of several nanometers to hundreds of nanometers, such as the ~400 nm pitch and (by analogy) 5–20 nm Ag-particle gaps discussed in Part 4. Diffusion is therefore not expected to be the limiting factor. 🔵</w:t>
      </w:r>
    </w:p>
    <w:p>
      <w:pPr>
        <w:pStyle w:val="Heading2"/>
        <w:spacing w:after="160" w:before="300"/>
      </w:pPr>
      <w:r>
        <w:t xml:space="preserve">5.3 Steric hindrance and adsorption orientation</w:t>
      </w:r>
    </w:p>
    <w:p>
      <w:pPr>
        <w:spacing w:after="160"/>
      </w:pPr>
      <w:r>
        <w:t xml:space="preserve">The limiting factor is expected to be affinity, not access: bare Ag interacts with small polar organics primarily through weak physisorption (van der Waals/dipole interactions, and possibly some coordination through the carboxylate or amide oxygen), rather than through a strong, orientation-defining chemisorptive bond such as a thiol–Ag bond. Without a strong anchor, adsorption orientation on bare Ag is expected to be non-specific and the surface residence time short, both of which reduce the effective SERS signal even when the molecule is geometrically able to reach the hotspot. 🔵</w:t>
      </w:r>
    </w:p>
    <w:p>
      <w:pPr>
        <w:pStyle w:val="Heading2"/>
        <w:spacing w:after="160" w:before="300"/>
      </w:pPr>
      <w:r>
        <w:t xml:space="preserve">5.4 Is bare Ag sufficient, or is surface chemistry required?</w:t>
      </w:r>
    </w:p>
    <w:p>
      <w:pPr>
        <w:spacing w:after="160"/>
      </w:pPr>
      <w:r>
        <w:t xml:space="preserve">The most directly transferable evidence is negative for bare-metal sufficiency: in the glucose/boronic-acid study (Gonzalez-Rodriguez et al. 2024), a similarly small, non-aromatic, hydroxyl-rich carbohydrate required a boronic-acid capture ligand on Au to produce a usable, concentration-dependent SERS response; the authors did not report useful bare-Au glucose SERS as a viable baseline. 🟡 (evidence is for glucose/Au, not NAM/Ag, but the analyte class and the underlying chemical logic — weak, non-specific carbohydrate-to-bare-metal affinity — transfer directly). Combined with the general SERS principle that strong, reproducible signals require the analyte to reside within ~1 nm of the metal surface for tens of milliseconds to seconds (dwell time), and that non-aromatic, non-resonant analytes lacking a strong chemisorptive anchor typically show SERS enhancement 1–3 orders of magnitude lower than resonant dyes even when physically present at the hotspot, the working hypothesis of this report is: bare Ag should be tested first (it is the null/control experiment and the smallest possible starting point), but it is expected to be insufficient, and a minimal capture-chemistry layer (Part 6) is expected to be required. 🔵. This expectation must be confirmed experimentally, not assumed — it is explicitly the first empirical test in Part 9's decision tree.</w:t>
      </w:r>
    </w:p>
    <w:p>
      <w:pPr>
        <w:pStyle w:val="Heading1"/>
        <w:spacing w:after="200" w:before="400"/>
      </w:pPr>
      <w:r>
        <w:t xml:space="preserve">Part 6 — Surface Chemistry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1550"/>
        <w:gridCol w:w="1350"/>
        <w:gridCol w:w="900"/>
        <w:gridCol w:w="1350"/>
        <w:gridCol w:w="1550"/>
        <w:gridCol w:w="1100"/>
        <w:gridCol w:w="1050"/>
      </w:tblGrid>
      <w:tr>
        <w:trPr>
          <w:tblHeader/>
        </w:trPr>
        <w:tc>
          <w:tcPr>
            <w:tcW w:type="dxa" w:w="1100"/>
            <w:shd w:fill="1F3864" w:val="clear"/>
            <w:tcMar>
              <w:top w:type="dxa" w:w="60"/>
              <w:left w:type="dxa" w:w="80"/>
              <w:bottom w:type="dxa" w:w="60"/>
              <w:right w:type="dxa" w:w="80"/>
            </w:tcMar>
            <w:vAlign w:val="center"/>
          </w:tcPr>
          <w:p>
            <w:r>
              <w:rPr>
                <w:b/>
                <w:bCs/>
                <w:color w:val="FFFFFF"/>
                <w:sz w:val="18"/>
                <w:szCs w:val="18"/>
              </w:rPr>
              <w:t xml:space="preserve">Chemistry</w:t>
            </w:r>
          </w:p>
        </w:tc>
        <w:tc>
          <w:tcPr>
            <w:tcW w:type="dxa" w:w="1550"/>
            <w:shd w:fill="1F3864" w:val="clear"/>
            <w:tcMar>
              <w:top w:type="dxa" w:w="60"/>
              <w:left w:type="dxa" w:w="80"/>
              <w:bottom w:type="dxa" w:w="60"/>
              <w:right w:type="dxa" w:w="80"/>
            </w:tcMar>
            <w:vAlign w:val="center"/>
          </w:tcPr>
          <w:p>
            <w:r>
              <w:rPr>
                <w:b/>
                <w:bCs/>
                <w:color w:val="FFFFFF"/>
                <w:sz w:val="18"/>
                <w:szCs w:val="18"/>
              </w:rPr>
              <w:t xml:space="preserve">Interaction w/ NAM</w:t>
            </w:r>
          </w:p>
        </w:tc>
        <w:tc>
          <w:tcPr>
            <w:tcW w:type="dxa" w:w="1350"/>
            <w:shd w:fill="1F3864" w:val="clear"/>
            <w:tcMar>
              <w:top w:type="dxa" w:w="60"/>
              <w:left w:type="dxa" w:w="80"/>
              <w:bottom w:type="dxa" w:w="60"/>
              <w:right w:type="dxa" w:w="80"/>
            </w:tcMar>
            <w:vAlign w:val="center"/>
          </w:tcPr>
          <w:p>
            <w:r>
              <w:rPr>
                <w:b/>
                <w:bCs/>
                <w:color w:val="FFFFFF"/>
                <w:sz w:val="18"/>
                <w:szCs w:val="18"/>
              </w:rPr>
              <w:t xml:space="preserve">Effect on accessibility</w:t>
            </w:r>
          </w:p>
        </w:tc>
        <w:tc>
          <w:tcPr>
            <w:tcW w:type="dxa" w:w="900"/>
            <w:shd w:fill="1F3864" w:val="clear"/>
            <w:tcMar>
              <w:top w:type="dxa" w:w="60"/>
              <w:left w:type="dxa" w:w="80"/>
              <w:bottom w:type="dxa" w:w="60"/>
              <w:right w:type="dxa" w:w="80"/>
            </w:tcMar>
            <w:vAlign w:val="center"/>
          </w:tcPr>
          <w:p>
            <w:r>
              <w:rPr>
                <w:b/>
                <w:bCs/>
                <w:color w:val="FFFFFF"/>
                <w:sz w:val="18"/>
                <w:szCs w:val="18"/>
              </w:rPr>
              <w:t xml:space="preserve">Thickness</w:t>
            </w:r>
          </w:p>
        </w:tc>
        <w:tc>
          <w:tcPr>
            <w:tcW w:type="dxa" w:w="1350"/>
            <w:shd w:fill="1F3864" w:val="clear"/>
            <w:tcMar>
              <w:top w:type="dxa" w:w="60"/>
              <w:left w:type="dxa" w:w="80"/>
              <w:bottom w:type="dxa" w:w="60"/>
              <w:right w:type="dxa" w:w="80"/>
            </w:tcMar>
            <w:vAlign w:val="center"/>
          </w:tcPr>
          <w:p>
            <w:r>
              <w:rPr>
                <w:b/>
                <w:bCs/>
                <w:color w:val="FFFFFF"/>
                <w:sz w:val="18"/>
                <w:szCs w:val="18"/>
              </w:rPr>
              <w:t xml:space="preserve">Adsorption mechanism</w:t>
            </w:r>
          </w:p>
        </w:tc>
        <w:tc>
          <w:tcPr>
            <w:tcW w:type="dxa" w:w="1550"/>
            <w:shd w:fill="1F3864" w:val="clear"/>
            <w:tcMar>
              <w:top w:type="dxa" w:w="60"/>
              <w:left w:type="dxa" w:w="80"/>
              <w:bottom w:type="dxa" w:w="60"/>
              <w:right w:type="dxa" w:w="80"/>
            </w:tcMar>
            <w:vAlign w:val="center"/>
          </w:tcPr>
          <w:p>
            <w:r>
              <w:rPr>
                <w:b/>
                <w:bCs/>
                <w:color w:val="FFFFFF"/>
                <w:sz w:val="18"/>
                <w:szCs w:val="18"/>
              </w:rPr>
              <w:t xml:space="preserve">Effect on SERS intensity</w:t>
            </w:r>
          </w:p>
        </w:tc>
        <w:tc>
          <w:tcPr>
            <w:tcW w:type="dxa" w:w="1100"/>
            <w:shd w:fill="1F3864" w:val="clear"/>
            <w:tcMar>
              <w:top w:type="dxa" w:w="60"/>
              <w:left w:type="dxa" w:w="80"/>
              <w:bottom w:type="dxa" w:w="60"/>
              <w:right w:type="dxa" w:w="80"/>
            </w:tcMar>
            <w:vAlign w:val="center"/>
          </w:tcPr>
          <w:p>
            <w:r>
              <w:rPr>
                <w:b/>
                <w:bCs/>
                <w:color w:val="FFFFFF"/>
                <w:sz w:val="18"/>
                <w:szCs w:val="18"/>
              </w:rPr>
              <w:t xml:space="preserve">Compatibility w/ Ag</w:t>
            </w:r>
          </w:p>
        </w:tc>
        <w:tc>
          <w:tcPr>
            <w:tcW w:type="dxa" w:w="1050"/>
            <w:shd w:fill="1F3864" w:val="clear"/>
            <w:tcMar>
              <w:top w:type="dxa" w:w="60"/>
              <w:left w:type="dxa" w:w="80"/>
              <w:bottom w:type="dxa" w:w="60"/>
              <w:right w:type="dxa" w:w="80"/>
            </w:tcMar>
            <w:vAlign w:val="center"/>
          </w:tcPr>
          <w:p>
            <w:r>
              <w:rPr>
                <w:b/>
                <w:bCs/>
                <w:color w:val="FFFFFF"/>
                <w:sz w:val="18"/>
                <w:szCs w:val="18"/>
              </w:rPr>
              <w:t xml:space="preserve">Compatibility w/ blood</w:t>
            </w:r>
          </w:p>
        </w:tc>
      </w:tr>
      <w:tr>
        <w:tc>
          <w:tcPr>
            <w:tcW w:type="dxa" w:w="1100"/>
            <w:tcMar>
              <w:top w:type="dxa" w:w="60"/>
              <w:left w:type="dxa" w:w="80"/>
              <w:bottom w:type="dxa" w:w="60"/>
              <w:right w:type="dxa" w:w="80"/>
            </w:tcMar>
            <w:vAlign w:val="center"/>
          </w:tcPr>
          <w:p>
            <w:r>
              <w:rPr>
                <w:b w:val="false"/>
                <w:bCs w:val="false"/>
                <w:sz w:val="18"/>
                <w:szCs w:val="18"/>
              </w:rPr>
              <w:t xml:space="preserve">Bare Ag</w:t>
            </w:r>
          </w:p>
        </w:tc>
        <w:tc>
          <w:tcPr>
            <w:tcW w:type="dxa" w:w="1550"/>
            <w:tcMar>
              <w:top w:type="dxa" w:w="60"/>
              <w:left w:type="dxa" w:w="80"/>
              <w:bottom w:type="dxa" w:w="60"/>
              <w:right w:type="dxa" w:w="80"/>
            </w:tcMar>
            <w:vAlign w:val="center"/>
          </w:tcPr>
          <w:p>
            <w:r>
              <w:rPr>
                <w:b w:val="false"/>
                <w:bCs w:val="false"/>
                <w:sz w:val="18"/>
                <w:szCs w:val="18"/>
              </w:rPr>
              <w:t xml:space="preserve">Weak physisorption via carboxylate/amide dipoles; no defined orientation.</w:t>
            </w:r>
          </w:p>
        </w:tc>
        <w:tc>
          <w:tcPr>
            <w:tcW w:type="dxa" w:w="1350"/>
            <w:tcMar>
              <w:top w:type="dxa" w:w="60"/>
              <w:left w:type="dxa" w:w="80"/>
              <w:bottom w:type="dxa" w:w="60"/>
              <w:right w:type="dxa" w:w="80"/>
            </w:tcMar>
            <w:vAlign w:val="center"/>
          </w:tcPr>
          <w:p>
            <w:r>
              <w:rPr>
                <w:b w:val="false"/>
                <w:bCs w:val="false"/>
                <w:sz w:val="18"/>
                <w:szCs w:val="18"/>
              </w:rPr>
              <w:t xml:space="preserve">No thickness added — retains full hotspot accessibility.</w:t>
            </w:r>
          </w:p>
        </w:tc>
        <w:tc>
          <w:tcPr>
            <w:tcW w:type="dxa" w:w="900"/>
            <w:tcMar>
              <w:top w:type="dxa" w:w="60"/>
              <w:left w:type="dxa" w:w="80"/>
              <w:bottom w:type="dxa" w:w="60"/>
              <w:right w:type="dxa" w:w="80"/>
            </w:tcMar>
            <w:vAlign w:val="center"/>
          </w:tcPr>
          <w:p>
            <w:r>
              <w:rPr>
                <w:b w:val="false"/>
                <w:bCs w:val="false"/>
                <w:sz w:val="18"/>
                <w:szCs w:val="18"/>
              </w:rPr>
              <w:t xml:space="preserve">0 nm (native Ag surface, possibly with a thin native oxide/citrate residue from fabrication).</w:t>
            </w:r>
          </w:p>
        </w:tc>
        <w:tc>
          <w:tcPr>
            <w:tcW w:type="dxa" w:w="1350"/>
            <w:tcMar>
              <w:top w:type="dxa" w:w="60"/>
              <w:left w:type="dxa" w:w="80"/>
              <w:bottom w:type="dxa" w:w="60"/>
              <w:right w:type="dxa" w:w="80"/>
            </w:tcMar>
            <w:vAlign w:val="center"/>
          </w:tcPr>
          <w:p>
            <w:r>
              <w:rPr>
                <w:b w:val="false"/>
                <w:bCs w:val="false"/>
                <w:sz w:val="18"/>
                <w:szCs w:val="18"/>
              </w:rPr>
              <w:t xml:space="preserve">Physisorption (van der Waals, dipole–dipole, possible weak Ag–O coordination).</w:t>
            </w:r>
          </w:p>
        </w:tc>
        <w:tc>
          <w:tcPr>
            <w:tcW w:type="dxa" w:w="1550"/>
            <w:tcMar>
              <w:top w:type="dxa" w:w="60"/>
              <w:left w:type="dxa" w:w="80"/>
              <w:bottom w:type="dxa" w:w="60"/>
              <w:right w:type="dxa" w:w="80"/>
            </w:tcMar>
            <w:vAlign w:val="center"/>
          </w:tcPr>
          <w:p>
            <w:r>
              <w:rPr>
                <w:b w:val="false"/>
                <w:bCs w:val="false"/>
                <w:sz w:val="18"/>
                <w:szCs w:val="18"/>
              </w:rPr>
              <w:t xml:space="preserve">Expected low/inconsistent (🔵) based on the glucose/bare-Au precedent (🟡).</w:t>
            </w:r>
          </w:p>
        </w:tc>
        <w:tc>
          <w:tcPr>
            <w:tcW w:type="dxa" w:w="1100"/>
            <w:tcMar>
              <w:top w:type="dxa" w:w="60"/>
              <w:left w:type="dxa" w:w="80"/>
              <w:bottom w:type="dxa" w:w="60"/>
              <w:right w:type="dxa" w:w="80"/>
            </w:tcMar>
            <w:vAlign w:val="center"/>
          </w:tcPr>
          <w:p>
            <w:r>
              <w:rPr>
                <w:b w:val="false"/>
                <w:bCs w:val="false"/>
                <w:sz w:val="18"/>
                <w:szCs w:val="18"/>
              </w:rPr>
              <w:t xml:space="preserve">Fully compatible (it is Ag).</w:t>
            </w:r>
          </w:p>
        </w:tc>
        <w:tc>
          <w:tcPr>
            <w:tcW w:type="dxa" w:w="1050"/>
            <w:tcMar>
              <w:top w:type="dxa" w:w="60"/>
              <w:left w:type="dxa" w:w="80"/>
              <w:bottom w:type="dxa" w:w="60"/>
              <w:right w:type="dxa" w:w="80"/>
            </w:tcMar>
            <w:vAlign w:val="center"/>
          </w:tcPr>
          <w:p>
            <w:r>
              <w:rPr>
                <w:b w:val="false"/>
                <w:bCs w:val="false"/>
                <w:sz w:val="18"/>
                <w:szCs w:val="18"/>
              </w:rPr>
              <w:t xml:space="preserve">Poor — no protection against protein fouling in blood; unselective.</w:t>
            </w:r>
          </w:p>
        </w:tc>
      </w:tr>
      <w:tr>
        <w:tc>
          <w:tcPr>
            <w:tcW w:type="dxa" w:w="1100"/>
            <w:tcMar>
              <w:top w:type="dxa" w:w="60"/>
              <w:left w:type="dxa" w:w="80"/>
              <w:bottom w:type="dxa" w:w="60"/>
              <w:right w:type="dxa" w:w="80"/>
            </w:tcMar>
            <w:vAlign w:val="center"/>
          </w:tcPr>
          <w:p>
            <w:r>
              <w:rPr>
                <w:b w:val="false"/>
                <w:bCs w:val="false"/>
                <w:sz w:val="18"/>
                <w:szCs w:val="18"/>
              </w:rPr>
              <w:t xml:space="preserve">Boronic acid SAM (e.g., MPBA, thiol-anchored)</w:t>
            </w:r>
          </w:p>
        </w:tc>
        <w:tc>
          <w:tcPr>
            <w:tcW w:type="dxa" w:w="1550"/>
            <w:tcMar>
              <w:top w:type="dxa" w:w="60"/>
              <w:left w:type="dxa" w:w="80"/>
              <w:bottom w:type="dxa" w:w="60"/>
              <w:right w:type="dxa" w:w="80"/>
            </w:tcMar>
            <w:vAlign w:val="center"/>
          </w:tcPr>
          <w:p>
            <w:r>
              <w:rPr>
                <w:b w:val="false"/>
                <w:bCs w:val="false"/>
                <w:sz w:val="18"/>
                <w:szCs w:val="18"/>
              </w:rPr>
              <w:t xml:space="preserve">Reversible, covalent cyclic boronate ester with NAM's ring-diol groups; defines a specific, reproducible binding geometry that orients NAM's diol face toward/near the surface.</w:t>
            </w:r>
          </w:p>
        </w:tc>
        <w:tc>
          <w:tcPr>
            <w:tcW w:type="dxa" w:w="1350"/>
            <w:tcMar>
              <w:top w:type="dxa" w:w="60"/>
              <w:left w:type="dxa" w:w="80"/>
              <w:bottom w:type="dxa" w:w="60"/>
              <w:right w:type="dxa" w:w="80"/>
            </w:tcMar>
            <w:vAlign w:val="center"/>
          </w:tcPr>
          <w:p>
            <w:r>
              <w:rPr>
                <w:b w:val="false"/>
                <w:bCs w:val="false"/>
                <w:sz w:val="18"/>
                <w:szCs w:val="18"/>
              </w:rPr>
              <w:t xml:space="preserve">Sub-2 nm monolayer; the thiol–Ag anchor is essentially the whole thickness, since the boronic-acid head group sits close to the surface. Minimal impact on hotspot accessibility.</w:t>
            </w:r>
          </w:p>
        </w:tc>
        <w:tc>
          <w:tcPr>
            <w:tcW w:type="dxa" w:w="900"/>
            <w:tcMar>
              <w:top w:type="dxa" w:w="60"/>
              <w:left w:type="dxa" w:w="80"/>
              <w:bottom w:type="dxa" w:w="60"/>
              <w:right w:type="dxa" w:w="80"/>
            </w:tcMar>
            <w:vAlign w:val="center"/>
          </w:tcPr>
          <w:p>
            <w:r>
              <w:rPr>
                <w:b w:val="false"/>
                <w:bCs w:val="false"/>
                <w:sz w:val="18"/>
                <w:szCs w:val="18"/>
              </w:rPr>
              <w:t xml:space="preserve">~1–1.5 nm (aryl-thiol-boronic-acid monolayer, by analogy to standard aromatic thiol SAMs).</w:t>
            </w:r>
          </w:p>
        </w:tc>
        <w:tc>
          <w:tcPr>
            <w:tcW w:type="dxa" w:w="1350"/>
            <w:tcMar>
              <w:top w:type="dxa" w:w="60"/>
              <w:left w:type="dxa" w:w="80"/>
              <w:bottom w:type="dxa" w:w="60"/>
              <w:right w:type="dxa" w:w="80"/>
            </w:tcMar>
            <w:vAlign w:val="center"/>
          </w:tcPr>
          <w:p>
            <w:r>
              <w:rPr>
                <w:b w:val="false"/>
                <w:bCs w:val="false"/>
                <w:sz w:val="18"/>
                <w:szCs w:val="18"/>
              </w:rPr>
              <w:t xml:space="preserve">Chemisorption via Ag–S bond (thiolate), then reversible covalent diol capture at the boronic-acid head group.</w:t>
            </w:r>
          </w:p>
        </w:tc>
        <w:tc>
          <w:tcPr>
            <w:tcW w:type="dxa" w:w="1550"/>
            <w:tcMar>
              <w:top w:type="dxa" w:w="60"/>
              <w:left w:type="dxa" w:w="80"/>
              <w:bottom w:type="dxa" w:w="60"/>
              <w:right w:type="dxa" w:w="80"/>
            </w:tcMar>
            <w:vAlign w:val="center"/>
          </w:tcPr>
          <w:p>
            <w:r>
              <w:rPr>
                <w:b w:val="false"/>
                <w:bCs w:val="false"/>
                <w:sz w:val="18"/>
                <w:szCs w:val="18"/>
              </w:rPr>
              <w:t xml:space="preserve">Directly demonstrated to enable SERS detection of a related small carbohydrate (glucose) at mM-level concentrations on a metal/porous-Si platform. 🟡</w:t>
            </w:r>
          </w:p>
        </w:tc>
        <w:tc>
          <w:tcPr>
            <w:tcW w:type="dxa" w:w="1100"/>
            <w:tcMar>
              <w:top w:type="dxa" w:w="60"/>
              <w:left w:type="dxa" w:w="80"/>
              <w:bottom w:type="dxa" w:w="60"/>
              <w:right w:type="dxa" w:w="80"/>
            </w:tcMar>
            <w:vAlign w:val="center"/>
          </w:tcPr>
          <w:p>
            <w:r>
              <w:rPr>
                <w:b w:val="false"/>
                <w:bCs w:val="false"/>
                <w:sz w:val="18"/>
                <w:szCs w:val="18"/>
              </w:rPr>
              <w:t xml:space="preserve">Excellent — thiol–Ag chemistry is standard and mild (room-temperature solution deposition).</w:t>
            </w:r>
          </w:p>
        </w:tc>
        <w:tc>
          <w:tcPr>
            <w:tcW w:type="dxa" w:w="1050"/>
            <w:tcMar>
              <w:top w:type="dxa" w:w="60"/>
              <w:left w:type="dxa" w:w="80"/>
              <w:bottom w:type="dxa" w:w="60"/>
              <w:right w:type="dxa" w:w="80"/>
            </w:tcMar>
            <w:vAlign w:val="center"/>
          </w:tcPr>
          <w:p>
            <w:r>
              <w:rPr>
                <w:b w:val="false"/>
                <w:bCs w:val="false"/>
                <w:sz w:val="18"/>
                <w:szCs w:val="18"/>
              </w:rPr>
              <w:t xml:space="preserve">Moderate–good — boronic acids can cross-react with other blood diols (e.g., glucose, glycoproteins) which is a selectivity risk in whole blood, flagged for Part 10.</w:t>
            </w:r>
          </w:p>
        </w:tc>
      </w:tr>
      <w:tr>
        <w:tc>
          <w:tcPr>
            <w:tcW w:type="dxa" w:w="1100"/>
            <w:tcMar>
              <w:top w:type="dxa" w:w="60"/>
              <w:left w:type="dxa" w:w="80"/>
              <w:bottom w:type="dxa" w:w="60"/>
              <w:right w:type="dxa" w:w="80"/>
            </w:tcMar>
            <w:vAlign w:val="center"/>
          </w:tcPr>
          <w:p>
            <w:r>
              <w:rPr>
                <w:b w:val="false"/>
                <w:bCs w:val="false"/>
                <w:sz w:val="18"/>
                <w:szCs w:val="18"/>
              </w:rPr>
              <w:t xml:space="preserve">APTES</w:t>
            </w:r>
          </w:p>
        </w:tc>
        <w:tc>
          <w:tcPr>
            <w:tcW w:type="dxa" w:w="1550"/>
            <w:tcMar>
              <w:top w:type="dxa" w:w="60"/>
              <w:left w:type="dxa" w:w="80"/>
              <w:bottom w:type="dxa" w:w="60"/>
              <w:right w:type="dxa" w:w="80"/>
            </w:tcMar>
            <w:vAlign w:val="center"/>
          </w:tcPr>
          <w:p>
            <w:r>
              <w:rPr>
                <w:b w:val="false"/>
                <w:bCs w:val="false"/>
                <w:sz w:val="18"/>
                <w:szCs w:val="18"/>
              </w:rPr>
              <w:t xml:space="preserve">Amine terminus does not directly bind NAM; used as an intermediate anchor for further functionalization (e.g., a subsequent boronic-acid or antibody coupling step), not as the final NAM-capture layer.</w:t>
            </w:r>
          </w:p>
        </w:tc>
        <w:tc>
          <w:tcPr>
            <w:tcW w:type="dxa" w:w="1350"/>
            <w:tcMar>
              <w:top w:type="dxa" w:w="60"/>
              <w:left w:type="dxa" w:w="80"/>
              <w:bottom w:type="dxa" w:w="60"/>
              <w:right w:type="dxa" w:w="80"/>
            </w:tcMar>
            <w:vAlign w:val="center"/>
          </w:tcPr>
          <w:p>
            <w:r>
              <w:rPr>
                <w:b w:val="false"/>
                <w:bCs w:val="false"/>
                <w:sz w:val="18"/>
                <w:szCs w:val="18"/>
              </w:rPr>
              <w:t xml:space="preserve">~0.5–1 nm, but APTES multilayers/polymerization on the surface can be poorly controlled and add more thickness/roughness than intended if hydrolysis conditions aren't tightly controlled.</w:t>
            </w:r>
          </w:p>
        </w:tc>
        <w:tc>
          <w:tcPr>
            <w:tcW w:type="dxa" w:w="900"/>
            <w:tcMar>
              <w:top w:type="dxa" w:w="60"/>
              <w:left w:type="dxa" w:w="80"/>
              <w:bottom w:type="dxa" w:w="60"/>
              <w:right w:type="dxa" w:w="80"/>
            </w:tcMar>
            <w:vAlign w:val="center"/>
          </w:tcPr>
          <w:p>
            <w:r>
              <w:rPr>
                <w:b w:val="false"/>
                <w:bCs w:val="false"/>
                <w:sz w:val="18"/>
                <w:szCs w:val="18"/>
              </w:rPr>
              <w:t xml:space="preserve">~0.5–1 nm (single layer, ideal case); can be several nm if polymerized.</w:t>
            </w:r>
          </w:p>
        </w:tc>
        <w:tc>
          <w:tcPr>
            <w:tcW w:type="dxa" w:w="1350"/>
            <w:tcMar>
              <w:top w:type="dxa" w:w="60"/>
              <w:left w:type="dxa" w:w="80"/>
              <w:bottom w:type="dxa" w:w="60"/>
              <w:right w:type="dxa" w:w="80"/>
            </w:tcMar>
            <w:vAlign w:val="center"/>
          </w:tcPr>
          <w:p>
            <w:r>
              <w:rPr>
                <w:b w:val="false"/>
                <w:bCs w:val="false"/>
                <w:sz w:val="18"/>
                <w:szCs w:val="18"/>
              </w:rPr>
              <w:t xml:space="preserve">Silanization: hydrolysis to silanol, condensation onto surface Si–OH/oxide.</w:t>
            </w:r>
          </w:p>
        </w:tc>
        <w:tc>
          <w:tcPr>
            <w:tcW w:type="dxa" w:w="1550"/>
            <w:tcMar>
              <w:top w:type="dxa" w:w="60"/>
              <w:left w:type="dxa" w:w="80"/>
              <w:bottom w:type="dxa" w:w="60"/>
              <w:right w:type="dxa" w:w="80"/>
            </w:tcMar>
            <w:vAlign w:val="center"/>
          </w:tcPr>
          <w:p>
            <w:r>
              <w:rPr>
                <w:b w:val="false"/>
                <w:bCs w:val="false"/>
                <w:sz w:val="18"/>
                <w:szCs w:val="18"/>
              </w:rPr>
              <w:t xml:space="preserve">Not itself SERS-enhancing or NAM-selective; used as a scaffold layer.</w:t>
            </w:r>
          </w:p>
        </w:tc>
        <w:tc>
          <w:tcPr>
            <w:tcW w:type="dxa" w:w="1100"/>
            <w:tcMar>
              <w:top w:type="dxa" w:w="60"/>
              <w:left w:type="dxa" w:w="80"/>
              <w:bottom w:type="dxa" w:w="60"/>
              <w:right w:type="dxa" w:w="80"/>
            </w:tcMar>
            <w:vAlign w:val="center"/>
          </w:tcPr>
          <w:p>
            <w:r>
              <w:rPr>
                <w:b w:val="false"/>
                <w:bCs w:val="false"/>
                <w:sz w:val="18"/>
                <w:szCs w:val="18"/>
              </w:rPr>
              <w:t xml:space="preserve">Best suited to oxide surfaces (SiO2, glass); poor/no direct chemistry with bare metallic Ag, which lacks the Si–OH condensation site — this limits its direct use on the final Ag layer.</w:t>
            </w:r>
          </w:p>
        </w:tc>
        <w:tc>
          <w:tcPr>
            <w:tcW w:type="dxa" w:w="1050"/>
            <w:tcMar>
              <w:top w:type="dxa" w:w="60"/>
              <w:left w:type="dxa" w:w="80"/>
              <w:bottom w:type="dxa" w:w="60"/>
              <w:right w:type="dxa" w:w="80"/>
            </w:tcMar>
            <w:vAlign w:val="center"/>
          </w:tcPr>
          <w:p>
            <w:r>
              <w:rPr>
                <w:b w:val="false"/>
                <w:bCs w:val="false"/>
                <w:sz w:val="18"/>
                <w:szCs w:val="18"/>
              </w:rPr>
              <w:t xml:space="preserve">Poor selectivity alone; typically paired with a further capture layer.</w:t>
            </w:r>
          </w:p>
        </w:tc>
      </w:tr>
      <w:tr>
        <w:tc>
          <w:tcPr>
            <w:tcW w:type="dxa" w:w="1100"/>
            <w:tcMar>
              <w:top w:type="dxa" w:w="60"/>
              <w:left w:type="dxa" w:w="80"/>
              <w:bottom w:type="dxa" w:w="60"/>
              <w:right w:type="dxa" w:w="80"/>
            </w:tcMar>
            <w:vAlign w:val="center"/>
          </w:tcPr>
          <w:p>
            <w:r>
              <w:rPr>
                <w:b w:val="false"/>
                <w:bCs w:val="false"/>
                <w:sz w:val="18"/>
                <w:szCs w:val="18"/>
              </w:rPr>
              <w:t xml:space="preserve">Polydopamine (PDA)</w:t>
            </w:r>
          </w:p>
        </w:tc>
        <w:tc>
          <w:tcPr>
            <w:tcW w:type="dxa" w:w="1550"/>
            <w:tcMar>
              <w:top w:type="dxa" w:w="60"/>
              <w:left w:type="dxa" w:w="80"/>
              <w:bottom w:type="dxa" w:w="60"/>
              <w:right w:type="dxa" w:w="80"/>
            </w:tcMar>
            <w:vAlign w:val="center"/>
          </w:tcPr>
          <w:p>
            <w:r>
              <w:rPr>
                <w:b w:val="false"/>
                <w:bCs w:val="false"/>
                <w:sz w:val="18"/>
                <w:szCs w:val="18"/>
              </w:rPr>
              <w:t xml:space="preserve">Catechol/quinone groups can weakly coordinate carboxylate/hydroxyl-rich molecules and can be further functionalized (e.g., amine coupling), but does not offer a defined, reversible diol-specific bond as boronic acid does.</w:t>
            </w:r>
          </w:p>
        </w:tc>
        <w:tc>
          <w:tcPr>
            <w:tcW w:type="dxa" w:w="1350"/>
            <w:tcMar>
              <w:top w:type="dxa" w:w="60"/>
              <w:left w:type="dxa" w:w="80"/>
              <w:bottom w:type="dxa" w:w="60"/>
              <w:right w:type="dxa" w:w="80"/>
            </w:tcMar>
            <w:vAlign w:val="center"/>
          </w:tcPr>
          <w:p>
            <w:r>
              <w:rPr>
                <w:b w:val="false"/>
                <w:bCs w:val="false"/>
                <w:sz w:val="18"/>
                <w:szCs w:val="18"/>
              </w:rPr>
              <w:t xml:space="preserve">Typically several nm to tens of nm depending on polymerization time — thicker than a SAM, which risks damping the near-field enhancement at the metal surface (the SERS field decays roughly exponentially with distance from the metal, so multi-nm dielectric spacers measurably reduce EF).</w:t>
            </w:r>
          </w:p>
        </w:tc>
        <w:tc>
          <w:tcPr>
            <w:tcW w:type="dxa" w:w="900"/>
            <w:tcMar>
              <w:top w:type="dxa" w:w="60"/>
              <w:left w:type="dxa" w:w="80"/>
              <w:bottom w:type="dxa" w:w="60"/>
              <w:right w:type="dxa" w:w="80"/>
            </w:tcMar>
            <w:vAlign w:val="center"/>
          </w:tcPr>
          <w:p>
            <w:r>
              <w:rPr>
                <w:b w:val="false"/>
                <w:bCs w:val="false"/>
                <w:sz w:val="18"/>
                <w:szCs w:val="18"/>
              </w:rPr>
              <w:t xml:space="preserve">~2–20+ nm depending on deposition time (broad range reported generally for PDA films in the literature).</w:t>
            </w:r>
          </w:p>
        </w:tc>
        <w:tc>
          <w:tcPr>
            <w:tcW w:type="dxa" w:w="1350"/>
            <w:tcMar>
              <w:top w:type="dxa" w:w="60"/>
              <w:left w:type="dxa" w:w="80"/>
              <w:bottom w:type="dxa" w:w="60"/>
              <w:right w:type="dxa" w:w="80"/>
            </w:tcMar>
            <w:vAlign w:val="center"/>
          </w:tcPr>
          <w:p>
            <w:r>
              <w:rPr>
                <w:b w:val="false"/>
                <w:bCs w:val="false"/>
                <w:sz w:val="18"/>
                <w:szCs w:val="18"/>
              </w:rPr>
              <w:t xml:space="preserve">Oxidative self-polymerization of dopamine in mildly alkaline buffer, physically adsorbing/covalently anchoring to virtually any surface including Ag.</w:t>
            </w:r>
          </w:p>
        </w:tc>
        <w:tc>
          <w:tcPr>
            <w:tcW w:type="dxa" w:w="1550"/>
            <w:tcMar>
              <w:top w:type="dxa" w:w="60"/>
              <w:left w:type="dxa" w:w="80"/>
              <w:bottom w:type="dxa" w:w="60"/>
              <w:right w:type="dxa" w:w="80"/>
            </w:tcMar>
            <w:vAlign w:val="center"/>
          </w:tcPr>
          <w:p>
            <w:r>
              <w:rPr>
                <w:b w:val="false"/>
                <w:bCs w:val="false"/>
                <w:sz w:val="18"/>
                <w:szCs w:val="18"/>
              </w:rPr>
              <w:t xml:space="preserve">A polydopamine-modified black-Si/Ag SERS substrate has been reported in the literature (mechanism paper identified but not independently verified in full in this pass) — 🟡, general enhancement mechanism plausible but not analyte-specific for NAM.</w:t>
            </w:r>
          </w:p>
        </w:tc>
        <w:tc>
          <w:tcPr>
            <w:tcW w:type="dxa" w:w="1100"/>
            <w:tcMar>
              <w:top w:type="dxa" w:w="60"/>
              <w:left w:type="dxa" w:w="80"/>
              <w:bottom w:type="dxa" w:w="60"/>
              <w:right w:type="dxa" w:w="80"/>
            </w:tcMar>
            <w:vAlign w:val="center"/>
          </w:tcPr>
          <w:p>
            <w:r>
              <w:rPr>
                <w:b w:val="false"/>
                <w:bCs w:val="false"/>
                <w:sz w:val="18"/>
                <w:szCs w:val="18"/>
              </w:rPr>
              <w:t xml:space="preserve">Good general adhesion to Ag; simple, one-pot aqueous deposition.</w:t>
            </w:r>
          </w:p>
        </w:tc>
        <w:tc>
          <w:tcPr>
            <w:tcW w:type="dxa" w:w="1050"/>
            <w:tcMar>
              <w:top w:type="dxa" w:w="60"/>
              <w:left w:type="dxa" w:w="80"/>
              <w:bottom w:type="dxa" w:w="60"/>
              <w:right w:type="dxa" w:w="80"/>
            </w:tcMar>
            <w:vAlign w:val="center"/>
          </w:tcPr>
          <w:p>
            <w:r>
              <w:rPr>
                <w:b w:val="false"/>
                <w:bCs w:val="false"/>
                <w:sz w:val="18"/>
                <w:szCs w:val="18"/>
              </w:rPr>
              <w:t xml:space="preserve">Good general biofouling resistance is reported for PDA coatings broadly in biomaterials literature (🟡, not from a SERS-specific source in this survey), but the added dielectric thickness works against maximum SERS signal — a genuine trade-off.</w:t>
            </w:r>
          </w:p>
        </w:tc>
      </w:tr>
      <w:tr>
        <w:tc>
          <w:tcPr>
            <w:tcW w:type="dxa" w:w="1100"/>
            <w:tcMar>
              <w:top w:type="dxa" w:w="60"/>
              <w:left w:type="dxa" w:w="80"/>
              <w:bottom w:type="dxa" w:w="60"/>
              <w:right w:type="dxa" w:w="80"/>
            </w:tcMar>
            <w:vAlign w:val="center"/>
          </w:tcPr>
          <w:p>
            <w:r>
              <w:rPr>
                <w:b w:val="false"/>
                <w:bCs w:val="false"/>
                <w:sz w:val="18"/>
                <w:szCs w:val="18"/>
              </w:rPr>
              <w:t xml:space="preserve">PEG (thiol- or silane-anchored)</w:t>
            </w:r>
          </w:p>
        </w:tc>
        <w:tc>
          <w:tcPr>
            <w:tcW w:type="dxa" w:w="1550"/>
            <w:tcMar>
              <w:top w:type="dxa" w:w="60"/>
              <w:left w:type="dxa" w:w="80"/>
              <w:bottom w:type="dxa" w:w="60"/>
              <w:right w:type="dxa" w:w="80"/>
            </w:tcMar>
            <w:vAlign w:val="center"/>
          </w:tcPr>
          <w:p>
            <w:r>
              <w:rPr>
                <w:b w:val="false"/>
                <w:bCs w:val="false"/>
                <w:sz w:val="18"/>
                <w:szCs w:val="18"/>
              </w:rPr>
              <w:t xml:space="preserve">No direct NAM affinity — PEG is an anti-fouling background coating, not a capture chemistry.</w:t>
            </w:r>
          </w:p>
        </w:tc>
        <w:tc>
          <w:tcPr>
            <w:tcW w:type="dxa" w:w="1350"/>
            <w:tcMar>
              <w:top w:type="dxa" w:w="60"/>
              <w:left w:type="dxa" w:w="80"/>
              <w:bottom w:type="dxa" w:w="60"/>
              <w:right w:type="dxa" w:w="80"/>
            </w:tcMar>
            <w:vAlign w:val="center"/>
          </w:tcPr>
          <w:p>
            <w:r>
              <w:rPr>
                <w:b w:val="false"/>
                <w:bCs w:val="false"/>
                <w:sz w:val="18"/>
                <w:szCs w:val="18"/>
              </w:rPr>
              <w:t xml:space="preserve">Adds a few nm of hydrophilic 'brush' layer; excellent anti-fouling but further reduces near-field intensity at the very tip of the hotspot if used as the outermost, blanket layer.</w:t>
            </w:r>
          </w:p>
        </w:tc>
        <w:tc>
          <w:tcPr>
            <w:tcW w:type="dxa" w:w="900"/>
            <w:tcMar>
              <w:top w:type="dxa" w:w="60"/>
              <w:left w:type="dxa" w:w="80"/>
              <w:bottom w:type="dxa" w:w="60"/>
              <w:right w:type="dxa" w:w="80"/>
            </w:tcMar>
            <w:vAlign w:val="center"/>
          </w:tcPr>
          <w:p>
            <w:r>
              <w:rPr>
                <w:b w:val="false"/>
                <w:bCs w:val="false"/>
                <w:sz w:val="18"/>
                <w:szCs w:val="18"/>
              </w:rPr>
              <w:t xml:space="preserve">~1–5 nm depending on PEG MW.</w:t>
            </w:r>
          </w:p>
        </w:tc>
        <w:tc>
          <w:tcPr>
            <w:tcW w:type="dxa" w:w="1350"/>
            <w:tcMar>
              <w:top w:type="dxa" w:w="60"/>
              <w:left w:type="dxa" w:w="80"/>
              <w:bottom w:type="dxa" w:w="60"/>
              <w:right w:type="dxa" w:w="80"/>
            </w:tcMar>
            <w:vAlign w:val="center"/>
          </w:tcPr>
          <w:p>
            <w:r>
              <w:rPr>
                <w:b w:val="false"/>
                <w:bCs w:val="false"/>
                <w:sz w:val="18"/>
                <w:szCs w:val="18"/>
              </w:rPr>
              <w:t xml:space="preserve">Chemisorption (thiol-Ag) or silanization, forming a passivating brush.</w:t>
            </w:r>
          </w:p>
        </w:tc>
        <w:tc>
          <w:tcPr>
            <w:tcW w:type="dxa" w:w="1550"/>
            <w:tcMar>
              <w:top w:type="dxa" w:w="60"/>
              <w:left w:type="dxa" w:w="80"/>
              <w:bottom w:type="dxa" w:w="60"/>
              <w:right w:type="dxa" w:w="80"/>
            </w:tcMar>
            <w:vAlign w:val="center"/>
          </w:tcPr>
          <w:p>
            <w:r>
              <w:rPr>
                <w:b w:val="false"/>
                <w:bCs w:val="false"/>
                <w:sz w:val="18"/>
                <w:szCs w:val="18"/>
              </w:rPr>
              <w:t xml:space="preserve">Not SERS-active or NAM-specific by itself; used in mixed SAMs to space out capture ligands and block nonspecific protein binding.</w:t>
            </w:r>
          </w:p>
        </w:tc>
        <w:tc>
          <w:tcPr>
            <w:tcW w:type="dxa" w:w="1100"/>
            <w:tcMar>
              <w:top w:type="dxa" w:w="60"/>
              <w:left w:type="dxa" w:w="80"/>
              <w:bottom w:type="dxa" w:w="60"/>
              <w:right w:type="dxa" w:w="80"/>
            </w:tcMar>
            <w:vAlign w:val="center"/>
          </w:tcPr>
          <w:p>
            <w:r>
              <w:rPr>
                <w:b w:val="false"/>
                <w:bCs w:val="false"/>
                <w:sz w:val="18"/>
                <w:szCs w:val="18"/>
              </w:rPr>
              <w:t xml:space="preserve">Fully compatible via thiol-Ag anchoring.</w:t>
            </w:r>
          </w:p>
        </w:tc>
        <w:tc>
          <w:tcPr>
            <w:tcW w:type="dxa" w:w="1050"/>
            <w:tcMar>
              <w:top w:type="dxa" w:w="60"/>
              <w:left w:type="dxa" w:w="80"/>
              <w:bottom w:type="dxa" w:w="60"/>
              <w:right w:type="dxa" w:w="80"/>
            </w:tcMar>
            <w:vAlign w:val="center"/>
          </w:tcPr>
          <w:p>
            <w:r>
              <w:rPr>
                <w:b w:val="false"/>
                <w:bCs w:val="false"/>
                <w:sz w:val="18"/>
                <w:szCs w:val="18"/>
              </w:rPr>
              <w:t xml:space="preserve">Excellent anti-fouling — a strong candidate as a co-deposited 'diluent' alongside the boronic-acid ligand in a mixed SAM for the later, blood-matrix stages (Part 10).</w:t>
            </w:r>
          </w:p>
        </w:tc>
      </w:tr>
      <w:tr>
        <w:tc>
          <w:tcPr>
            <w:tcW w:type="dxa" w:w="1100"/>
            <w:tcMar>
              <w:top w:type="dxa" w:w="60"/>
              <w:left w:type="dxa" w:w="80"/>
              <w:bottom w:type="dxa" w:w="60"/>
              <w:right w:type="dxa" w:w="80"/>
            </w:tcMar>
            <w:vAlign w:val="center"/>
          </w:tcPr>
          <w:p>
            <w:r>
              <w:rPr>
                <w:b w:val="false"/>
                <w:bCs w:val="false"/>
                <w:sz w:val="18"/>
                <w:szCs w:val="18"/>
              </w:rPr>
              <w:t xml:space="preserve">Molecularly imprinted polymer (MIP)</w:t>
            </w:r>
          </w:p>
        </w:tc>
        <w:tc>
          <w:tcPr>
            <w:tcW w:type="dxa" w:w="1550"/>
            <w:tcMar>
              <w:top w:type="dxa" w:w="60"/>
              <w:left w:type="dxa" w:w="80"/>
              <w:bottom w:type="dxa" w:w="60"/>
              <w:right w:type="dxa" w:w="80"/>
            </w:tcMar>
            <w:vAlign w:val="center"/>
          </w:tcPr>
          <w:p>
            <w:r>
              <w:rPr>
                <w:b w:val="false"/>
                <w:bCs w:val="false"/>
                <w:sz w:val="18"/>
                <w:szCs w:val="18"/>
              </w:rPr>
              <w:t xml:space="preserve">Can in principle offer high selectivity for NAM's exact shape/functional-group pattern if imprinted against NAM, but requires a dedicated synthesis/optimization campaign.</w:t>
            </w:r>
          </w:p>
        </w:tc>
        <w:tc>
          <w:tcPr>
            <w:tcW w:type="dxa" w:w="1350"/>
            <w:tcMar>
              <w:top w:type="dxa" w:w="60"/>
              <w:left w:type="dxa" w:w="80"/>
              <w:bottom w:type="dxa" w:w="60"/>
              <w:right w:type="dxa" w:w="80"/>
            </w:tcMar>
            <w:vAlign w:val="center"/>
          </w:tcPr>
          <w:p>
            <w:r>
              <w:rPr>
                <w:b w:val="false"/>
                <w:bCs w:val="false"/>
                <w:sz w:val="18"/>
                <w:szCs w:val="18"/>
              </w:rPr>
              <w:t xml:space="preserve">Typically tens of nm to &gt;100 nm thick — likely to substantially damp SERS near-field enhancement unless engineered as an ultrathin imprinted film, which is non-trivial.</w:t>
            </w:r>
          </w:p>
        </w:tc>
        <w:tc>
          <w:tcPr>
            <w:tcW w:type="dxa" w:w="900"/>
            <w:tcMar>
              <w:top w:type="dxa" w:w="60"/>
              <w:left w:type="dxa" w:w="80"/>
              <w:bottom w:type="dxa" w:w="60"/>
              <w:right w:type="dxa" w:w="80"/>
            </w:tcMar>
            <w:vAlign w:val="center"/>
          </w:tcPr>
          <w:p>
            <w:r>
              <w:rPr>
                <w:b w:val="false"/>
                <w:bCs w:val="false"/>
                <w:sz w:val="18"/>
                <w:szCs w:val="18"/>
              </w:rPr>
              <w:t xml:space="preserve">Tens of nm and up (bulk MIP films) unless a specialized thin-film/electropolymerized MIP approach is used.</w:t>
            </w:r>
          </w:p>
        </w:tc>
        <w:tc>
          <w:tcPr>
            <w:tcW w:type="dxa" w:w="1350"/>
            <w:tcMar>
              <w:top w:type="dxa" w:w="60"/>
              <w:left w:type="dxa" w:w="80"/>
              <w:bottom w:type="dxa" w:w="60"/>
              <w:right w:type="dxa" w:w="80"/>
            </w:tcMar>
            <w:vAlign w:val="center"/>
          </w:tcPr>
          <w:p>
            <w:r>
              <w:rPr>
                <w:b w:val="false"/>
                <w:bCs w:val="false"/>
                <w:sz w:val="18"/>
                <w:szCs w:val="18"/>
              </w:rPr>
              <w:t xml:space="preserve">Templated polymerization around NAM, followed by template removal to leave complementary binding cavities.</w:t>
            </w:r>
          </w:p>
        </w:tc>
        <w:tc>
          <w:tcPr>
            <w:tcW w:type="dxa" w:w="1550"/>
            <w:tcMar>
              <w:top w:type="dxa" w:w="60"/>
              <w:left w:type="dxa" w:w="80"/>
              <w:bottom w:type="dxa" w:w="60"/>
              <w:right w:type="dxa" w:w="80"/>
            </w:tcMar>
            <w:vAlign w:val="center"/>
          </w:tcPr>
          <w:p>
            <w:r>
              <w:rPr>
                <w:b w:val="false"/>
                <w:bCs w:val="false"/>
                <w:sz w:val="18"/>
                <w:szCs w:val="18"/>
              </w:rPr>
              <w:t xml:space="preserve">No NAM-specific MIP-SERS study was found in this survey. ❌ for NAM specifically; 🟡 for the general MIP-SERS concept as applied to other small molecules in the literature.</w:t>
            </w:r>
          </w:p>
        </w:tc>
        <w:tc>
          <w:tcPr>
            <w:tcW w:type="dxa" w:w="1100"/>
            <w:tcMar>
              <w:top w:type="dxa" w:w="60"/>
              <w:left w:type="dxa" w:w="80"/>
              <w:bottom w:type="dxa" w:w="60"/>
              <w:right w:type="dxa" w:w="80"/>
            </w:tcMar>
            <w:vAlign w:val="center"/>
          </w:tcPr>
          <w:p>
            <w:r>
              <w:rPr>
                <w:b w:val="false"/>
                <w:bCs w:val="false"/>
                <w:sz w:val="18"/>
                <w:szCs w:val="18"/>
              </w:rPr>
              <w:t xml:space="preserve">Compatibility depends on polymer chemistry chosen; can be engineered but adds fabrication complexity.</w:t>
            </w:r>
          </w:p>
        </w:tc>
        <w:tc>
          <w:tcPr>
            <w:tcW w:type="dxa" w:w="1050"/>
            <w:tcMar>
              <w:top w:type="dxa" w:w="60"/>
              <w:left w:type="dxa" w:w="80"/>
              <w:bottom w:type="dxa" w:w="60"/>
              <w:right w:type="dxa" w:w="80"/>
            </w:tcMar>
            <w:vAlign w:val="center"/>
          </w:tcPr>
          <w:p>
            <w:r>
              <w:rPr>
                <w:b w:val="false"/>
                <w:bCs w:val="false"/>
                <w:sz w:val="18"/>
                <w:szCs w:val="18"/>
              </w:rPr>
              <w:t xml:space="preserve">Potentially very good selectivity in blood if achievable, but far from the 'minimum modification' goal — flagged as a later-stage option only, not a first step.</w:t>
            </w:r>
          </w:p>
        </w:tc>
      </w:tr>
      <w:tr>
        <w:tc>
          <w:tcPr>
            <w:tcW w:type="dxa" w:w="1100"/>
            <w:tcMar>
              <w:top w:type="dxa" w:w="60"/>
              <w:left w:type="dxa" w:w="80"/>
              <w:bottom w:type="dxa" w:w="60"/>
              <w:right w:type="dxa" w:w="80"/>
            </w:tcMar>
            <w:vAlign w:val="center"/>
          </w:tcPr>
          <w:p>
            <w:r>
              <w:rPr>
                <w:b w:val="false"/>
                <w:bCs w:val="false"/>
                <w:sz w:val="18"/>
                <w:szCs w:val="18"/>
              </w:rPr>
              <w:t xml:space="preserve">Antibodies</w:t>
            </w:r>
          </w:p>
        </w:tc>
        <w:tc>
          <w:tcPr>
            <w:tcW w:type="dxa" w:w="1550"/>
            <w:tcMar>
              <w:top w:type="dxa" w:w="60"/>
              <w:left w:type="dxa" w:w="80"/>
              <w:bottom w:type="dxa" w:w="60"/>
              <w:right w:type="dxa" w:w="80"/>
            </w:tcMar>
            <w:vAlign w:val="center"/>
          </w:tcPr>
          <w:p>
            <w:r>
              <w:rPr>
                <w:b w:val="false"/>
                <w:bCs w:val="false"/>
                <w:sz w:val="18"/>
                <w:szCs w:val="18"/>
              </w:rPr>
              <w:t xml:space="preserve">High-affinity, high-selectivity binding if an anti-NAM or anti-muropeptide antibody exists and is available.</w:t>
            </w:r>
          </w:p>
        </w:tc>
        <w:tc>
          <w:tcPr>
            <w:tcW w:type="dxa" w:w="1350"/>
            <w:tcMar>
              <w:top w:type="dxa" w:w="60"/>
              <w:left w:type="dxa" w:w="80"/>
              <w:bottom w:type="dxa" w:w="60"/>
              <w:right w:type="dxa" w:w="80"/>
            </w:tcMar>
            <w:vAlign w:val="center"/>
          </w:tcPr>
          <w:p>
            <w:r>
              <w:rPr>
                <w:b w:val="false"/>
                <w:bCs w:val="false"/>
                <w:sz w:val="18"/>
                <w:szCs w:val="18"/>
              </w:rPr>
              <w:t xml:space="preserve">Large: 10–15 nm (whole IgG), which places the analyte well outside the strongest near-field zone (SERS enhancement decays sharply beyond ~1–2 nm from the metal surface), and is likely to substantially reduce achievable EF.</w:t>
            </w:r>
          </w:p>
        </w:tc>
        <w:tc>
          <w:tcPr>
            <w:tcW w:type="dxa" w:w="900"/>
            <w:tcMar>
              <w:top w:type="dxa" w:w="60"/>
              <w:left w:type="dxa" w:w="80"/>
              <w:bottom w:type="dxa" w:w="60"/>
              <w:right w:type="dxa" w:w="80"/>
            </w:tcMar>
            <w:vAlign w:val="center"/>
          </w:tcPr>
          <w:p>
            <w:r>
              <w:rPr>
                <w:b w:val="false"/>
                <w:bCs w:val="false"/>
                <w:sz w:val="18"/>
                <w:szCs w:val="18"/>
              </w:rPr>
              <w:t xml:space="preserve">~10–15 nm (whole IgG); smaller for Fab fragments (~5 nm) or nanobodies (~2–4 nm).</w:t>
            </w:r>
          </w:p>
        </w:tc>
        <w:tc>
          <w:tcPr>
            <w:tcW w:type="dxa" w:w="1350"/>
            <w:tcMar>
              <w:top w:type="dxa" w:w="60"/>
              <w:left w:type="dxa" w:w="80"/>
              <w:bottom w:type="dxa" w:w="60"/>
              <w:right w:type="dxa" w:w="80"/>
            </w:tcMar>
            <w:vAlign w:val="center"/>
          </w:tcPr>
          <w:p>
            <w:r>
              <w:rPr>
                <w:b w:val="false"/>
                <w:bCs w:val="false"/>
                <w:sz w:val="18"/>
                <w:szCs w:val="18"/>
              </w:rPr>
              <w:t xml:space="preserve">Physical adsorption or covalent coupling (e.g., via a protein-A/G layer or NHS-ester chemistry) to a functionalized Ag/PEG surface.</w:t>
            </w:r>
          </w:p>
        </w:tc>
        <w:tc>
          <w:tcPr>
            <w:tcW w:type="dxa" w:w="1550"/>
            <w:tcMar>
              <w:top w:type="dxa" w:w="60"/>
              <w:left w:type="dxa" w:w="80"/>
              <w:bottom w:type="dxa" w:w="60"/>
              <w:right w:type="dxa" w:w="80"/>
            </w:tcMar>
            <w:vAlign w:val="center"/>
          </w:tcPr>
          <w:p>
            <w:r>
              <w:rPr>
                <w:b w:val="false"/>
                <w:bCs w:val="false"/>
                <w:sz w:val="18"/>
                <w:szCs w:val="18"/>
              </w:rPr>
              <w:t xml:space="preserve">No published NAM-specific antibody-SERS study was found. ❌ for NAM; general antibody-SERS immunoassays are well established for other analytes (🟡 as a general class).</w:t>
            </w:r>
          </w:p>
        </w:tc>
        <w:tc>
          <w:tcPr>
            <w:tcW w:type="dxa" w:w="1100"/>
            <w:tcMar>
              <w:top w:type="dxa" w:w="60"/>
              <w:left w:type="dxa" w:w="80"/>
              <w:bottom w:type="dxa" w:w="60"/>
              <w:right w:type="dxa" w:w="80"/>
            </w:tcMar>
            <w:vAlign w:val="center"/>
          </w:tcPr>
          <w:p>
            <w:r>
              <w:rPr>
                <w:b w:val="false"/>
                <w:bCs w:val="false"/>
                <w:sz w:val="18"/>
                <w:szCs w:val="18"/>
              </w:rPr>
              <w:t xml:space="preserve">Requires careful, typically covalent, immobilization; bare Ag can denature proteins on direct contact, so a linker layer is usually needed.</w:t>
            </w:r>
          </w:p>
        </w:tc>
        <w:tc>
          <w:tcPr>
            <w:tcW w:type="dxa" w:w="1050"/>
            <w:tcMar>
              <w:top w:type="dxa" w:w="60"/>
              <w:left w:type="dxa" w:w="80"/>
              <w:bottom w:type="dxa" w:w="60"/>
              <w:right w:type="dxa" w:w="80"/>
            </w:tcMar>
            <w:vAlign w:val="center"/>
          </w:tcPr>
          <w:p>
            <w:r>
              <w:rPr>
                <w:b w:val="false"/>
                <w:bCs w:val="false"/>
                <w:sz w:val="18"/>
                <w:szCs w:val="18"/>
              </w:rPr>
              <w:t xml:space="preserve">Excellent theoretical selectivity for blood-matrix work, but antibody availability against a small hapten like NAM is a major practical gap, and the size penalty works against SERS specifically (as opposed to other biosensor modalities).</w:t>
            </w:r>
          </w:p>
        </w:tc>
      </w:tr>
      <w:tr>
        <w:tc>
          <w:tcPr>
            <w:tcW w:type="dxa" w:w="1100"/>
            <w:tcMar>
              <w:top w:type="dxa" w:w="60"/>
              <w:left w:type="dxa" w:w="80"/>
              <w:bottom w:type="dxa" w:w="60"/>
              <w:right w:type="dxa" w:w="80"/>
            </w:tcMar>
            <w:vAlign w:val="center"/>
          </w:tcPr>
          <w:p>
            <w:r>
              <w:rPr>
                <w:b w:val="false"/>
                <w:bCs w:val="false"/>
                <w:sz w:val="18"/>
                <w:szCs w:val="18"/>
              </w:rPr>
              <w:t xml:space="preserve">Aptamers</w:t>
            </w:r>
          </w:p>
        </w:tc>
        <w:tc>
          <w:tcPr>
            <w:tcW w:type="dxa" w:w="1550"/>
            <w:tcMar>
              <w:top w:type="dxa" w:w="60"/>
              <w:left w:type="dxa" w:w="80"/>
              <w:bottom w:type="dxa" w:w="60"/>
              <w:right w:type="dxa" w:w="80"/>
            </w:tcMar>
            <w:vAlign w:val="center"/>
          </w:tcPr>
          <w:p>
            <w:r>
              <w:rPr>
                <w:b w:val="false"/>
                <w:bCs w:val="false"/>
                <w:sz w:val="18"/>
                <w:szCs w:val="18"/>
              </w:rPr>
              <w:t xml:space="preserve">Can be selected (via SELEX) for high affinity/selectivity to small molecules including sugars and haptens, but no published anti-NAM aptamer was found.</w:t>
            </w:r>
          </w:p>
        </w:tc>
        <w:tc>
          <w:tcPr>
            <w:tcW w:type="dxa" w:w="1350"/>
            <w:tcMar>
              <w:top w:type="dxa" w:w="60"/>
              <w:left w:type="dxa" w:w="80"/>
              <w:bottom w:type="dxa" w:w="60"/>
              <w:right w:type="dxa" w:w="80"/>
            </w:tcMar>
            <w:vAlign w:val="center"/>
          </w:tcPr>
          <w:p>
            <w:r>
              <w:rPr>
                <w:b w:val="false"/>
                <w:bCs w:val="false"/>
                <w:sz w:val="18"/>
                <w:szCs w:val="18"/>
              </w:rPr>
              <w:t xml:space="preserve">Single-stranded DNA/RNA aptamers are typically ~1–5 nm folded, smaller than antibodies and more SERS-compatible.</w:t>
            </w:r>
          </w:p>
        </w:tc>
        <w:tc>
          <w:tcPr>
            <w:tcW w:type="dxa" w:w="900"/>
            <w:tcMar>
              <w:top w:type="dxa" w:w="60"/>
              <w:left w:type="dxa" w:w="80"/>
              <w:bottom w:type="dxa" w:w="60"/>
              <w:right w:type="dxa" w:w="80"/>
            </w:tcMar>
            <w:vAlign w:val="center"/>
          </w:tcPr>
          <w:p>
            <w:r>
              <w:rPr>
                <w:b w:val="false"/>
                <w:bCs w:val="false"/>
                <w:sz w:val="18"/>
                <w:szCs w:val="18"/>
              </w:rPr>
              <w:t xml:space="preserve">~1–5 nm (folded aptamer), thiol-anchored.</w:t>
            </w:r>
          </w:p>
        </w:tc>
        <w:tc>
          <w:tcPr>
            <w:tcW w:type="dxa" w:w="1350"/>
            <w:tcMar>
              <w:top w:type="dxa" w:w="60"/>
              <w:left w:type="dxa" w:w="80"/>
              <w:bottom w:type="dxa" w:w="60"/>
              <w:right w:type="dxa" w:w="80"/>
            </w:tcMar>
            <w:vAlign w:val="center"/>
          </w:tcPr>
          <w:p>
            <w:r>
              <w:rPr>
                <w:b w:val="false"/>
                <w:bCs w:val="false"/>
                <w:sz w:val="18"/>
                <w:szCs w:val="18"/>
              </w:rPr>
              <w:t xml:space="preserve">Thiol-Ag chemisorption of a 5′- or 3′-thiol-modified aptamer.</w:t>
            </w:r>
          </w:p>
        </w:tc>
        <w:tc>
          <w:tcPr>
            <w:tcW w:type="dxa" w:w="1550"/>
            <w:tcMar>
              <w:top w:type="dxa" w:w="60"/>
              <w:left w:type="dxa" w:w="80"/>
              <w:bottom w:type="dxa" w:w="60"/>
              <w:right w:type="dxa" w:w="80"/>
            </w:tcMar>
            <w:vAlign w:val="center"/>
          </w:tcPr>
          <w:p>
            <w:r>
              <w:rPr>
                <w:b w:val="false"/>
                <w:bCs w:val="false"/>
                <w:sz w:val="18"/>
                <w:szCs w:val="18"/>
              </w:rPr>
              <w:t xml:space="preserve">No NAM-specific aptamer-SERS study was found. ❌ for NAM; aptamer-SERS is a well-established general strategy for other small molecules (🟡).</w:t>
            </w:r>
          </w:p>
        </w:tc>
        <w:tc>
          <w:tcPr>
            <w:tcW w:type="dxa" w:w="1100"/>
            <w:tcMar>
              <w:top w:type="dxa" w:w="60"/>
              <w:left w:type="dxa" w:w="80"/>
              <w:bottom w:type="dxa" w:w="60"/>
              <w:right w:type="dxa" w:w="80"/>
            </w:tcMar>
            <w:vAlign w:val="center"/>
          </w:tcPr>
          <w:p>
            <w:r>
              <w:rPr>
                <w:b w:val="false"/>
                <w:bCs w:val="false"/>
                <w:sz w:val="18"/>
                <w:szCs w:val="18"/>
              </w:rPr>
              <w:t xml:space="preserve">Fully compatible via thiol-Ag anchoring; DNA is generally more robust to the Ag surface than folded proteins.</w:t>
            </w:r>
          </w:p>
        </w:tc>
        <w:tc>
          <w:tcPr>
            <w:tcW w:type="dxa" w:w="1050"/>
            <w:tcMar>
              <w:top w:type="dxa" w:w="60"/>
              <w:left w:type="dxa" w:w="80"/>
              <w:bottom w:type="dxa" w:w="60"/>
              <w:right w:type="dxa" w:w="80"/>
            </w:tcMar>
            <w:vAlign w:val="center"/>
          </w:tcPr>
          <w:p>
            <w:r>
              <w:rPr>
                <w:b w:val="false"/>
                <w:bCs w:val="false"/>
                <w:sz w:val="18"/>
                <w:szCs w:val="18"/>
              </w:rPr>
              <w:t xml:space="preserve">Good size profile for SERS and reasonable serum stability (especially with chemical modifications), but requires a dedicated, resource-intensive SELEX campaign against NAM before it could be used — not a minimal first step.</w:t>
            </w:r>
          </w:p>
        </w:tc>
      </w:tr>
    </w:tbl>
    <w:p>
      <w:pPr>
        <w:pStyle w:val="Heading2"/>
        <w:spacing w:after="160" w:before="300"/>
      </w:pPr>
      <w:r>
        <w:t xml:space="preserve">Recommended minimum modification after bare-Ag testing</w:t>
      </w:r>
    </w:p>
    <w:p>
      <w:pPr>
        <w:spacing w:after="160"/>
      </w:pPr>
      <w:r>
        <w:t xml:space="preserve">If bare Ag is tested and found insufficient (the 🔵 expected outcome per Part 5), the single smallest, best-precedented modification is a sparse, thiol-anchored aryl-boronic-acid monolayer (e.g., MPBA), directly modeled on the glucose precedent (Gonzalez-Rodriguez et al. 2024). It adds the least thickness of any chemistry-bearing option in the table (~1–1.5 nm), uses a single mild solution-deposition step compatible with the existing Ag layer, and targets NAM's own diol-bearing pyranose ring rather than a generic 'sticky' coating. 🟡 (extrapolated from glucose to NAM; not yet tested on NAM directly).</w:t>
      </w:r>
    </w:p>
    <w:p>
      <w:pPr>
        <w:pStyle w:val="Heading1"/>
        <w:spacing w:after="200" w:before="400"/>
      </w:pPr>
      <w:r>
        <w:t xml:space="preserve">Part 7 — Characterization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50"/>
        <w:gridCol w:w="2400"/>
        <w:gridCol w:w="2500"/>
        <w:gridCol w:w="2450"/>
        <w:gridCol w:w="1500"/>
      </w:tblGrid>
      <w:tr>
        <w:trPr>
          <w:tblHeader/>
        </w:trPr>
        <w:tc>
          <w:tcPr>
            <w:tcW w:type="dxa" w:w="1150"/>
            <w:shd w:fill="1F3864" w:val="clear"/>
            <w:tcMar>
              <w:top w:type="dxa" w:w="60"/>
              <w:left w:type="dxa" w:w="80"/>
              <w:bottom w:type="dxa" w:w="60"/>
              <w:right w:type="dxa" w:w="80"/>
            </w:tcMar>
            <w:vAlign w:val="center"/>
          </w:tcPr>
          <w:p>
            <w:r>
              <w:rPr>
                <w:b/>
                <w:bCs/>
                <w:color w:val="FFFFFF"/>
                <w:sz w:val="18"/>
                <w:szCs w:val="18"/>
              </w:rPr>
              <w:t xml:space="preserve">Technique</w:t>
            </w:r>
          </w:p>
        </w:tc>
        <w:tc>
          <w:tcPr>
            <w:tcW w:type="dxa" w:w="2400"/>
            <w:shd w:fill="1F3864" w:val="clear"/>
            <w:tcMar>
              <w:top w:type="dxa" w:w="60"/>
              <w:left w:type="dxa" w:w="80"/>
              <w:bottom w:type="dxa" w:w="60"/>
              <w:right w:type="dxa" w:w="80"/>
            </w:tcMar>
            <w:vAlign w:val="center"/>
          </w:tcPr>
          <w:p>
            <w:r>
              <w:rPr>
                <w:b/>
                <w:bCs/>
                <w:color w:val="FFFFFF"/>
                <w:sz w:val="18"/>
                <w:szCs w:val="18"/>
              </w:rPr>
              <w:t xml:space="preserve">Why performed</w:t>
            </w:r>
          </w:p>
        </w:tc>
        <w:tc>
          <w:tcPr>
            <w:tcW w:type="dxa" w:w="2500"/>
            <w:shd w:fill="1F3864" w:val="clear"/>
            <w:tcMar>
              <w:top w:type="dxa" w:w="60"/>
              <w:left w:type="dxa" w:w="80"/>
              <w:bottom w:type="dxa" w:w="60"/>
              <w:right w:type="dxa" w:w="80"/>
            </w:tcMar>
            <w:vAlign w:val="center"/>
          </w:tcPr>
          <w:p>
            <w:r>
              <w:rPr>
                <w:b/>
                <w:bCs/>
                <w:color w:val="FFFFFF"/>
                <w:sz w:val="18"/>
                <w:szCs w:val="18"/>
              </w:rPr>
              <w:t xml:space="preserve">What should be observed</w:t>
            </w:r>
          </w:p>
        </w:tc>
        <w:tc>
          <w:tcPr>
            <w:tcW w:type="dxa" w:w="2450"/>
            <w:shd w:fill="1F3864" w:val="clear"/>
            <w:tcMar>
              <w:top w:type="dxa" w:w="60"/>
              <w:left w:type="dxa" w:w="80"/>
              <w:bottom w:type="dxa" w:w="60"/>
              <w:right w:type="dxa" w:w="80"/>
            </w:tcMar>
            <w:vAlign w:val="center"/>
          </w:tcPr>
          <w:p>
            <w:r>
              <w:rPr>
                <w:b/>
                <w:bCs/>
                <w:color w:val="FFFFFF"/>
                <w:sz w:val="18"/>
                <w:szCs w:val="18"/>
              </w:rPr>
              <w:t xml:space="preserve">Indicator of success</w:t>
            </w:r>
          </w:p>
        </w:tc>
        <w:tc>
          <w:tcPr>
            <w:tcW w:type="dxa" w:w="1500"/>
            <w:shd w:fill="1F3864" w:val="clear"/>
            <w:tcMar>
              <w:top w:type="dxa" w:w="60"/>
              <w:left w:type="dxa" w:w="80"/>
              <w:bottom w:type="dxa" w:w="60"/>
              <w:right w:type="dxa" w:w="80"/>
            </w:tcMar>
            <w:vAlign w:val="center"/>
          </w:tcPr>
          <w:p>
            <w:r>
              <w:rPr>
                <w:b/>
                <w:bCs/>
                <w:color w:val="FFFFFF"/>
                <w:sz w:val="18"/>
                <w:szCs w:val="18"/>
              </w:rPr>
              <w:t xml:space="preserve">Evidence</w:t>
            </w:r>
          </w:p>
        </w:tc>
      </w:tr>
      <w:tr>
        <w:tc>
          <w:tcPr>
            <w:tcW w:type="dxa" w:w="1150"/>
            <w:tcMar>
              <w:top w:type="dxa" w:w="60"/>
              <w:left w:type="dxa" w:w="80"/>
              <w:bottom w:type="dxa" w:w="60"/>
              <w:right w:type="dxa" w:w="80"/>
            </w:tcMar>
            <w:vAlign w:val="center"/>
          </w:tcPr>
          <w:p>
            <w:r>
              <w:rPr>
                <w:b w:val="false"/>
                <w:bCs w:val="false"/>
                <w:sz w:val="18"/>
                <w:szCs w:val="18"/>
              </w:rPr>
              <w:t xml:space="preserve">SEM (scanning electron microscopy)</w:t>
            </w:r>
          </w:p>
        </w:tc>
        <w:tc>
          <w:tcPr>
            <w:tcW w:type="dxa" w:w="2400"/>
            <w:tcMar>
              <w:top w:type="dxa" w:w="60"/>
              <w:left w:type="dxa" w:w="80"/>
              <w:bottom w:type="dxa" w:w="60"/>
              <w:right w:type="dxa" w:w="80"/>
            </w:tcMar>
            <w:vAlign w:val="center"/>
          </w:tcPr>
          <w:p>
            <w:r>
              <w:rPr>
                <w:b w:val="false"/>
                <w:bCs w:val="false"/>
                <w:sz w:val="18"/>
                <w:szCs w:val="18"/>
              </w:rPr>
              <w:t xml:space="preserve">Confirm nanowire array geometry (length, pitch, taper) and Ag nanoparticle size/distribution/tip-vs-sidewall growth.</w:t>
            </w:r>
          </w:p>
        </w:tc>
        <w:tc>
          <w:tcPr>
            <w:tcW w:type="dxa" w:w="2500"/>
            <w:tcMar>
              <w:top w:type="dxa" w:w="60"/>
              <w:left w:type="dxa" w:w="80"/>
              <w:bottom w:type="dxa" w:w="60"/>
              <w:right w:type="dxa" w:w="80"/>
            </w:tcMar>
            <w:vAlign w:val="center"/>
          </w:tcPr>
          <w:p>
            <w:r>
              <w:rPr>
                <w:b w:val="false"/>
                <w:bCs w:val="false"/>
                <w:sz w:val="18"/>
                <w:szCs w:val="18"/>
              </w:rPr>
              <w:t xml:space="preserve">Vertically aligned or quasi-random nanowires ~10 µm long at ~400 nm pitch, decorated with discrete Ag nanoparticles concentrated at tips.</w:t>
            </w:r>
          </w:p>
        </w:tc>
        <w:tc>
          <w:tcPr>
            <w:tcW w:type="dxa" w:w="2450"/>
            <w:tcMar>
              <w:top w:type="dxa" w:w="60"/>
              <w:left w:type="dxa" w:w="80"/>
              <w:bottom w:type="dxa" w:w="60"/>
              <w:right w:type="dxa" w:w="80"/>
            </w:tcMar>
            <w:vAlign w:val="center"/>
          </w:tcPr>
          <w:p>
            <w:r>
              <w:rPr>
                <w:b w:val="false"/>
                <w:bCs w:val="false"/>
                <w:sz w:val="18"/>
                <w:szCs w:val="18"/>
              </w:rPr>
              <w:t xml:space="preserve">Uniform, non-collapsed nanowires with well-dispersed (non-aggregated) Ag NPs across multiple fields of view indicates successful, reproducible fabrication.</w:t>
            </w:r>
          </w:p>
        </w:tc>
        <w:tc>
          <w:tcPr>
            <w:tcW w:type="dxa" w:w="1500"/>
            <w:tcMar>
              <w:top w:type="dxa" w:w="60"/>
              <w:left w:type="dxa" w:w="80"/>
              <w:bottom w:type="dxa" w:w="60"/>
              <w:right w:type="dxa" w:w="80"/>
            </w:tcMar>
            <w:vAlign w:val="center"/>
          </w:tcPr>
          <w:p>
            <w:r>
              <w:rPr>
                <w:b w:val="false"/>
                <w:bCs w:val="false"/>
                <w:sz w:val="18"/>
                <w:szCs w:val="18"/>
              </w:rPr>
              <w:t xml:space="preserve">✅ (SEM explicitly used in Bai et al. 2019 and Hoang et al. 2025)</w:t>
            </w:r>
          </w:p>
        </w:tc>
      </w:tr>
      <w:tr>
        <w:tc>
          <w:tcPr>
            <w:tcW w:type="dxa" w:w="1150"/>
            <w:tcMar>
              <w:top w:type="dxa" w:w="60"/>
              <w:left w:type="dxa" w:w="80"/>
              <w:bottom w:type="dxa" w:w="60"/>
              <w:right w:type="dxa" w:w="80"/>
            </w:tcMar>
            <w:vAlign w:val="center"/>
          </w:tcPr>
          <w:p>
            <w:r>
              <w:rPr>
                <w:b w:val="false"/>
                <w:bCs w:val="false"/>
                <w:sz w:val="18"/>
                <w:szCs w:val="18"/>
              </w:rPr>
              <w:t xml:space="preserve">EDS (energy-dispersive X-ray spectroscopy)</w:t>
            </w:r>
          </w:p>
        </w:tc>
        <w:tc>
          <w:tcPr>
            <w:tcW w:type="dxa" w:w="2400"/>
            <w:tcMar>
              <w:top w:type="dxa" w:w="60"/>
              <w:left w:type="dxa" w:w="80"/>
              <w:bottom w:type="dxa" w:w="60"/>
              <w:right w:type="dxa" w:w="80"/>
            </w:tcMar>
            <w:vAlign w:val="center"/>
          </w:tcPr>
          <w:p>
            <w:r>
              <w:rPr>
                <w:b w:val="false"/>
                <w:bCs w:val="false"/>
                <w:sz w:val="18"/>
                <w:szCs w:val="18"/>
              </w:rPr>
              <w:t xml:space="preserve">Confirm elemental composition and spatial distribution of Ag vs. Si (and detect any contamination, e.g., residual N from HNO₃ stripping or F from HF).</w:t>
            </w:r>
          </w:p>
        </w:tc>
        <w:tc>
          <w:tcPr>
            <w:tcW w:type="dxa" w:w="2500"/>
            <w:tcMar>
              <w:top w:type="dxa" w:w="60"/>
              <w:left w:type="dxa" w:w="80"/>
              <w:bottom w:type="dxa" w:w="60"/>
              <w:right w:type="dxa" w:w="80"/>
            </w:tcMar>
            <w:vAlign w:val="center"/>
          </w:tcPr>
          <w:p>
            <w:r>
              <w:rPr>
                <w:b w:val="false"/>
                <w:bCs w:val="false"/>
                <w:sz w:val="18"/>
                <w:szCs w:val="18"/>
              </w:rPr>
              <w:t xml:space="preserve">Ag signal co-localized with the nanowire array; Si signal from the substrate; no unexpected elements.</w:t>
            </w:r>
          </w:p>
        </w:tc>
        <w:tc>
          <w:tcPr>
            <w:tcW w:type="dxa" w:w="2450"/>
            <w:tcMar>
              <w:top w:type="dxa" w:w="60"/>
              <w:left w:type="dxa" w:w="80"/>
              <w:bottom w:type="dxa" w:w="60"/>
              <w:right w:type="dxa" w:w="80"/>
            </w:tcMar>
            <w:vAlign w:val="center"/>
          </w:tcPr>
          <w:p>
            <w:r>
              <w:rPr>
                <w:b w:val="false"/>
                <w:bCs w:val="false"/>
                <w:sz w:val="18"/>
                <w:szCs w:val="18"/>
              </w:rPr>
              <w:t xml:space="preserve">Clean Ag/Si map with Ag concentrated at the nanostructured region confirms successful, spatially controlled Ag deposition.</w:t>
            </w:r>
          </w:p>
        </w:tc>
        <w:tc>
          <w:tcPr>
            <w:tcW w:type="dxa" w:w="1500"/>
            <w:tcMar>
              <w:top w:type="dxa" w:w="60"/>
              <w:left w:type="dxa" w:w="80"/>
              <w:bottom w:type="dxa" w:w="60"/>
              <w:right w:type="dxa" w:w="80"/>
            </w:tcMar>
            <w:vAlign w:val="center"/>
          </w:tcPr>
          <w:p>
            <w:r>
              <w:rPr>
                <w:b w:val="false"/>
                <w:bCs w:val="false"/>
                <w:sz w:val="18"/>
                <w:szCs w:val="18"/>
              </w:rPr>
              <w:t xml:space="preserve">✅ (used in Bai et al. 2019)</w:t>
            </w:r>
          </w:p>
        </w:tc>
      </w:tr>
      <w:tr>
        <w:tc>
          <w:tcPr>
            <w:tcW w:type="dxa" w:w="1150"/>
            <w:tcMar>
              <w:top w:type="dxa" w:w="60"/>
              <w:left w:type="dxa" w:w="80"/>
              <w:bottom w:type="dxa" w:w="60"/>
              <w:right w:type="dxa" w:w="80"/>
            </w:tcMar>
            <w:vAlign w:val="center"/>
          </w:tcPr>
          <w:p>
            <w:r>
              <w:rPr>
                <w:b w:val="false"/>
                <w:bCs w:val="false"/>
                <w:sz w:val="18"/>
                <w:szCs w:val="18"/>
              </w:rPr>
              <w:t xml:space="preserve">AFM (atomic force microscopy)</w:t>
            </w:r>
          </w:p>
        </w:tc>
        <w:tc>
          <w:tcPr>
            <w:tcW w:type="dxa" w:w="2400"/>
            <w:tcMar>
              <w:top w:type="dxa" w:w="60"/>
              <w:left w:type="dxa" w:w="80"/>
              <w:bottom w:type="dxa" w:w="60"/>
              <w:right w:type="dxa" w:w="80"/>
            </w:tcMar>
            <w:vAlign w:val="center"/>
          </w:tcPr>
          <w:p>
            <w:r>
              <w:rPr>
                <w:b w:val="false"/>
                <w:bCs w:val="false"/>
                <w:sz w:val="18"/>
                <w:szCs w:val="18"/>
              </w:rPr>
              <w:t xml:space="preserve">Quantify surface roughness and, where SEM resolution is insufficient, fine inter-particle gap distances relevant to hotspot spacing (Part 4).</w:t>
            </w:r>
          </w:p>
        </w:tc>
        <w:tc>
          <w:tcPr>
            <w:tcW w:type="dxa" w:w="2500"/>
            <w:tcMar>
              <w:top w:type="dxa" w:w="60"/>
              <w:left w:type="dxa" w:w="80"/>
              <w:bottom w:type="dxa" w:w="60"/>
              <w:right w:type="dxa" w:w="80"/>
            </w:tcMar>
            <w:vAlign w:val="center"/>
          </w:tcPr>
          <w:p>
            <w:r>
              <w:rPr>
                <w:b w:val="false"/>
                <w:bCs w:val="false"/>
                <w:sz w:val="18"/>
                <w:szCs w:val="18"/>
              </w:rPr>
              <w:t xml:space="preserve">Nanoscale roughness consistent with the nanowire/Ag NP topography; measurable gap distances in the few-nm to tens-of-nm range.</w:t>
            </w:r>
          </w:p>
        </w:tc>
        <w:tc>
          <w:tcPr>
            <w:tcW w:type="dxa" w:w="2450"/>
            <w:tcMar>
              <w:top w:type="dxa" w:w="60"/>
              <w:left w:type="dxa" w:w="80"/>
              <w:bottom w:type="dxa" w:w="60"/>
              <w:right w:type="dxa" w:w="80"/>
            </w:tcMar>
            <w:vAlign w:val="center"/>
          </w:tcPr>
          <w:p>
            <w:r>
              <w:rPr>
                <w:b w:val="false"/>
                <w:bCs w:val="false"/>
                <w:sz w:val="18"/>
                <w:szCs w:val="18"/>
              </w:rPr>
              <w:t xml:space="preserve">Gap/roughness values consistent with SEM-derived estimates cross-validate the hotspot geometry.</w:t>
            </w:r>
          </w:p>
        </w:tc>
        <w:tc>
          <w:tcPr>
            <w:tcW w:type="dxa" w:w="1500"/>
            <w:tcMar>
              <w:top w:type="dxa" w:w="60"/>
              <w:left w:type="dxa" w:w="80"/>
              <w:bottom w:type="dxa" w:w="60"/>
              <w:right w:type="dxa" w:w="80"/>
            </w:tcMar>
            <w:vAlign w:val="center"/>
          </w:tcPr>
          <w:p>
            <w:r>
              <w:rPr>
                <w:b w:val="false"/>
                <w:bCs w:val="false"/>
                <w:sz w:val="18"/>
                <w:szCs w:val="18"/>
              </w:rPr>
              <w:t xml:space="preserve">🔵 (not reported in the specific papers surveyed here, but a standard, recommended complementary technique for gap-scale metrology)</w:t>
            </w:r>
          </w:p>
        </w:tc>
      </w:tr>
      <w:tr>
        <w:tc>
          <w:tcPr>
            <w:tcW w:type="dxa" w:w="1150"/>
            <w:tcMar>
              <w:top w:type="dxa" w:w="60"/>
              <w:left w:type="dxa" w:w="80"/>
              <w:bottom w:type="dxa" w:w="60"/>
              <w:right w:type="dxa" w:w="80"/>
            </w:tcMar>
            <w:vAlign w:val="center"/>
          </w:tcPr>
          <w:p>
            <w:r>
              <w:rPr>
                <w:b w:val="false"/>
                <w:bCs w:val="false"/>
                <w:sz w:val="18"/>
                <w:szCs w:val="18"/>
              </w:rPr>
              <w:t xml:space="preserve">TEM (transmission electron microscopy)</w:t>
            </w:r>
          </w:p>
        </w:tc>
        <w:tc>
          <w:tcPr>
            <w:tcW w:type="dxa" w:w="2400"/>
            <w:tcMar>
              <w:top w:type="dxa" w:w="60"/>
              <w:left w:type="dxa" w:w="80"/>
              <w:bottom w:type="dxa" w:w="60"/>
              <w:right w:type="dxa" w:w="80"/>
            </w:tcMar>
            <w:vAlign w:val="center"/>
          </w:tcPr>
          <w:p>
            <w:r>
              <w:rPr>
                <w:b w:val="false"/>
                <w:bCs w:val="false"/>
                <w:sz w:val="18"/>
                <w:szCs w:val="18"/>
              </w:rPr>
              <w:t xml:space="preserve">Resolve fine Ag nanoparticle crystallinity, size distribution, and precise nanowire-tip/Ag-NP interface structure, where SEM resolution is insufficient.</w:t>
            </w:r>
          </w:p>
        </w:tc>
        <w:tc>
          <w:tcPr>
            <w:tcW w:type="dxa" w:w="2500"/>
            <w:tcMar>
              <w:top w:type="dxa" w:w="60"/>
              <w:left w:type="dxa" w:w="80"/>
              <w:bottom w:type="dxa" w:w="60"/>
              <w:right w:type="dxa" w:w="80"/>
            </w:tcMar>
            <w:vAlign w:val="center"/>
          </w:tcPr>
          <w:p>
            <w:r>
              <w:rPr>
                <w:b w:val="false"/>
                <w:bCs w:val="false"/>
                <w:sz w:val="18"/>
                <w:szCs w:val="18"/>
              </w:rPr>
              <w:t xml:space="preserve">Discrete, largely single-crystalline or twinned Ag nanoparticles with clear lattice fringes (FCC Ag), attached to or embedded in the nanowire tip.</w:t>
            </w:r>
          </w:p>
        </w:tc>
        <w:tc>
          <w:tcPr>
            <w:tcW w:type="dxa" w:w="2450"/>
            <w:tcMar>
              <w:top w:type="dxa" w:w="60"/>
              <w:left w:type="dxa" w:w="80"/>
              <w:bottom w:type="dxa" w:w="60"/>
              <w:right w:type="dxa" w:w="80"/>
            </w:tcMar>
            <w:vAlign w:val="center"/>
          </w:tcPr>
          <w:p>
            <w:r>
              <w:rPr>
                <w:b w:val="false"/>
                <w:bCs w:val="false"/>
                <w:sz w:val="18"/>
                <w:szCs w:val="18"/>
              </w:rPr>
              <w:t xml:space="preserve">Crystalline, well-formed Ag nanoparticles (rather than amorphous or poorly adhered clusters) support a stable, reproducible plasmonic layer.</w:t>
            </w:r>
          </w:p>
        </w:tc>
        <w:tc>
          <w:tcPr>
            <w:tcW w:type="dxa" w:w="1500"/>
            <w:tcMar>
              <w:top w:type="dxa" w:w="60"/>
              <w:left w:type="dxa" w:w="80"/>
              <w:bottom w:type="dxa" w:w="60"/>
              <w:right w:type="dxa" w:w="80"/>
            </w:tcMar>
            <w:vAlign w:val="center"/>
          </w:tcPr>
          <w:p>
            <w:r>
              <w:rPr>
                <w:b w:val="false"/>
                <w:bCs w:val="false"/>
                <w:sz w:val="18"/>
                <w:szCs w:val="18"/>
              </w:rPr>
              <w:t xml:space="preserve">✅ (used in Bai et al. 2019, on dispersed/scraped nanowire fragments)</w:t>
            </w:r>
          </w:p>
        </w:tc>
      </w:tr>
      <w:tr>
        <w:tc>
          <w:tcPr>
            <w:tcW w:type="dxa" w:w="1150"/>
            <w:tcMar>
              <w:top w:type="dxa" w:w="60"/>
              <w:left w:type="dxa" w:w="80"/>
              <w:bottom w:type="dxa" w:w="60"/>
              <w:right w:type="dxa" w:w="80"/>
            </w:tcMar>
            <w:vAlign w:val="center"/>
          </w:tcPr>
          <w:p>
            <w:r>
              <w:rPr>
                <w:b w:val="false"/>
                <w:bCs w:val="false"/>
                <w:sz w:val="18"/>
                <w:szCs w:val="18"/>
              </w:rPr>
              <w:t xml:space="preserve">XRD (X-ray diffraction)</w:t>
            </w:r>
          </w:p>
        </w:tc>
        <w:tc>
          <w:tcPr>
            <w:tcW w:type="dxa" w:w="2400"/>
            <w:tcMar>
              <w:top w:type="dxa" w:w="60"/>
              <w:left w:type="dxa" w:w="80"/>
              <w:bottom w:type="dxa" w:w="60"/>
              <w:right w:type="dxa" w:w="80"/>
            </w:tcMar>
            <w:vAlign w:val="center"/>
          </w:tcPr>
          <w:p>
            <w:r>
              <w:rPr>
                <w:b w:val="false"/>
                <w:bCs w:val="false"/>
                <w:sz w:val="18"/>
                <w:szCs w:val="18"/>
              </w:rPr>
              <w:t xml:space="preserve">Confirm crystalline phase and orientation of both the underlying Si and the deposited Ag (face-centered-cubic metallic Ag, not oxide/sulfide).</w:t>
            </w:r>
          </w:p>
        </w:tc>
        <w:tc>
          <w:tcPr>
            <w:tcW w:type="dxa" w:w="2500"/>
            <w:tcMar>
              <w:top w:type="dxa" w:w="60"/>
              <w:left w:type="dxa" w:w="80"/>
              <w:bottom w:type="dxa" w:w="60"/>
              <w:right w:type="dxa" w:w="80"/>
            </w:tcMar>
            <w:vAlign w:val="center"/>
          </w:tcPr>
          <w:p>
            <w:r>
              <w:rPr>
                <w:b w:val="false"/>
                <w:bCs w:val="false"/>
                <w:sz w:val="18"/>
                <w:szCs w:val="18"/>
              </w:rPr>
              <w:t xml:space="preserve">Si substrate reflections consistent with ⟨100⟩ single crystal; Ag(111) ~38.1° and Ag(200) ~44.3° 2θ peaks (Cu Kα).</w:t>
            </w:r>
          </w:p>
        </w:tc>
        <w:tc>
          <w:tcPr>
            <w:tcW w:type="dxa" w:w="2450"/>
            <w:tcMar>
              <w:top w:type="dxa" w:w="60"/>
              <w:left w:type="dxa" w:w="80"/>
              <w:bottom w:type="dxa" w:w="60"/>
              <w:right w:type="dxa" w:w="80"/>
            </w:tcMar>
            <w:vAlign w:val="center"/>
          </w:tcPr>
          <w:p>
            <w:r>
              <w:rPr>
                <w:b w:val="false"/>
                <w:bCs w:val="false"/>
                <w:sz w:val="18"/>
                <w:szCs w:val="18"/>
              </w:rPr>
              <w:t xml:space="preserve">Sharp, well-defined Ag(111)/Ag(200) peaks with no Ag2O or Ag2S peaks confirms metallic, unoxidized Ag — directly relevant to storage-stability decisions (Part 2, step 11).</w:t>
            </w:r>
          </w:p>
        </w:tc>
        <w:tc>
          <w:tcPr>
            <w:tcW w:type="dxa" w:w="1500"/>
            <w:tcMar>
              <w:top w:type="dxa" w:w="60"/>
              <w:left w:type="dxa" w:w="80"/>
              <w:bottom w:type="dxa" w:w="60"/>
              <w:right w:type="dxa" w:w="80"/>
            </w:tcMar>
            <w:vAlign w:val="center"/>
          </w:tcPr>
          <w:p>
            <w:r>
              <w:rPr>
                <w:b w:val="false"/>
                <w:bCs w:val="false"/>
                <w:sz w:val="18"/>
                <w:szCs w:val="18"/>
              </w:rPr>
              <w:t xml:space="preserve">✅ (used in both Bai et al. 2019 and Hoang et al. 2025)</w:t>
            </w:r>
          </w:p>
        </w:tc>
      </w:tr>
      <w:tr>
        <w:tc>
          <w:tcPr>
            <w:tcW w:type="dxa" w:w="1150"/>
            <w:tcMar>
              <w:top w:type="dxa" w:w="60"/>
              <w:left w:type="dxa" w:w="80"/>
              <w:bottom w:type="dxa" w:w="60"/>
              <w:right w:type="dxa" w:w="80"/>
            </w:tcMar>
            <w:vAlign w:val="center"/>
          </w:tcPr>
          <w:p>
            <w:r>
              <w:rPr>
                <w:b w:val="false"/>
                <w:bCs w:val="false"/>
                <w:sz w:val="18"/>
                <w:szCs w:val="18"/>
              </w:rPr>
              <w:t xml:space="preserve">XPS (X-ray photoelectron spectroscopy)</w:t>
            </w:r>
          </w:p>
        </w:tc>
        <w:tc>
          <w:tcPr>
            <w:tcW w:type="dxa" w:w="2400"/>
            <w:tcMar>
              <w:top w:type="dxa" w:w="60"/>
              <w:left w:type="dxa" w:w="80"/>
              <w:bottom w:type="dxa" w:w="60"/>
              <w:right w:type="dxa" w:w="80"/>
            </w:tcMar>
            <w:vAlign w:val="center"/>
          </w:tcPr>
          <w:p>
            <w:r>
              <w:rPr>
                <w:b w:val="false"/>
                <w:bCs w:val="false"/>
                <w:sz w:val="18"/>
                <w:szCs w:val="18"/>
              </w:rPr>
              <w:t xml:space="preserve">Determine surface oxidation state of Ag (Ag0 vs. Ag2O/Ag2S) and, after functionalization, confirm presence/bonding state of the boronic-acid or other capture-layer elements (S 2p for the thiol anchor, B 1s for the boronic acid head group).</w:t>
            </w:r>
          </w:p>
        </w:tc>
        <w:tc>
          <w:tcPr>
            <w:tcW w:type="dxa" w:w="2500"/>
            <w:tcMar>
              <w:top w:type="dxa" w:w="60"/>
              <w:left w:type="dxa" w:w="80"/>
              <w:bottom w:type="dxa" w:w="60"/>
              <w:right w:type="dxa" w:w="80"/>
            </w:tcMar>
            <w:vAlign w:val="center"/>
          </w:tcPr>
          <w:p>
            <w:r>
              <w:rPr>
                <w:b w:val="false"/>
                <w:bCs w:val="false"/>
                <w:sz w:val="18"/>
                <w:szCs w:val="18"/>
              </w:rPr>
              <w:t xml:space="preserve">Ag 3d5/2 binding energy near 368.2 eV for metallic Ag0; a shifted/broadened peak or additional component would indicate oxidation. Post-functionalization: S 2p doublet near 162–163 eV consistent with a thiolate-metal bond; B 1s signal confirming ligand attachment.</w:t>
            </w:r>
          </w:p>
        </w:tc>
        <w:tc>
          <w:tcPr>
            <w:tcW w:type="dxa" w:w="2450"/>
            <w:tcMar>
              <w:top w:type="dxa" w:w="60"/>
              <w:left w:type="dxa" w:w="80"/>
              <w:bottom w:type="dxa" w:w="60"/>
              <w:right w:type="dxa" w:w="80"/>
            </w:tcMar>
            <w:vAlign w:val="center"/>
          </w:tcPr>
          <w:p>
            <w:r>
              <w:rPr>
                <w:b w:val="false"/>
                <w:bCs w:val="false"/>
                <w:sz w:val="18"/>
                <w:szCs w:val="18"/>
              </w:rPr>
              <w:t xml:space="preserve">Metallic Ag0 dominance pre-use, and clear S 2p/B 1s signal after boronic-acid deposition, is the direct chemical confirmation that the capture chemistry has actually attached (as opposed to simply being rinsed off).</w:t>
            </w:r>
          </w:p>
        </w:tc>
        <w:tc>
          <w:tcPr>
            <w:tcW w:type="dxa" w:w="1500"/>
            <w:tcMar>
              <w:top w:type="dxa" w:w="60"/>
              <w:left w:type="dxa" w:w="80"/>
              <w:bottom w:type="dxa" w:w="60"/>
              <w:right w:type="dxa" w:w="80"/>
            </w:tcMar>
            <w:vAlign w:val="center"/>
          </w:tcPr>
          <w:p>
            <w:r>
              <w:rPr>
                <w:b w:val="false"/>
                <w:bCs w:val="false"/>
                <w:sz w:val="18"/>
                <w:szCs w:val="18"/>
              </w:rPr>
              <w:t xml:space="preserve">🔵 (not reported in the specific fabrication papers surveyed, but standard and essential once surface chemistry, Part 6, is added — this is the correct verification technique for confirming ligand attachment)</w:t>
            </w:r>
          </w:p>
        </w:tc>
      </w:tr>
      <w:tr>
        <w:tc>
          <w:tcPr>
            <w:tcW w:type="dxa" w:w="1150"/>
            <w:tcMar>
              <w:top w:type="dxa" w:w="60"/>
              <w:left w:type="dxa" w:w="80"/>
              <w:bottom w:type="dxa" w:w="60"/>
              <w:right w:type="dxa" w:w="80"/>
            </w:tcMar>
            <w:vAlign w:val="center"/>
          </w:tcPr>
          <w:p>
            <w:r>
              <w:rPr>
                <w:b w:val="false"/>
                <w:bCs w:val="false"/>
                <w:sz w:val="18"/>
                <w:szCs w:val="18"/>
              </w:rPr>
              <w:t xml:space="preserve">Reflectance spectroscopy</w:t>
            </w:r>
          </w:p>
        </w:tc>
        <w:tc>
          <w:tcPr>
            <w:tcW w:type="dxa" w:w="2400"/>
            <w:tcMar>
              <w:top w:type="dxa" w:w="60"/>
              <w:left w:type="dxa" w:w="80"/>
              <w:bottom w:type="dxa" w:w="60"/>
              <w:right w:type="dxa" w:w="80"/>
            </w:tcMar>
            <w:vAlign w:val="center"/>
          </w:tcPr>
          <w:p>
            <w:r>
              <w:rPr>
                <w:b w:val="false"/>
                <w:bCs w:val="false"/>
                <w:sz w:val="18"/>
                <w:szCs w:val="18"/>
              </w:rPr>
              <w:t xml:space="preserve">Confirm the 'black silicon' optical signature (broadband low reflectance) that indicates successful nanostructuring, and/or (for microcavity-type substrates) confirm a resonance wavelength.</w:t>
            </w:r>
          </w:p>
        </w:tc>
        <w:tc>
          <w:tcPr>
            <w:tcW w:type="dxa" w:w="2500"/>
            <w:tcMar>
              <w:top w:type="dxa" w:w="60"/>
              <w:left w:type="dxa" w:w="80"/>
              <w:bottom w:type="dxa" w:w="60"/>
              <w:right w:type="dxa" w:w="80"/>
            </w:tcMar>
            <w:vAlign w:val="center"/>
          </w:tcPr>
          <w:p>
            <w:r>
              <w:rPr>
                <w:b w:val="false"/>
                <w:bCs w:val="false"/>
                <w:sz w:val="18"/>
                <w:szCs w:val="18"/>
              </w:rPr>
              <w:t xml:space="preserve">Reflectance dropping from &gt;30% (polished Si) to typically &lt;5–10% across the visible/near-IR after successful MACE texturing.</w:t>
            </w:r>
          </w:p>
        </w:tc>
        <w:tc>
          <w:tcPr>
            <w:tcW w:type="dxa" w:w="2450"/>
            <w:tcMar>
              <w:top w:type="dxa" w:w="60"/>
              <w:left w:type="dxa" w:w="80"/>
              <w:bottom w:type="dxa" w:w="60"/>
              <w:right w:type="dxa" w:w="80"/>
            </w:tcMar>
            <w:vAlign w:val="center"/>
          </w:tcPr>
          <w:p>
            <w:r>
              <w:rPr>
                <w:b w:val="false"/>
                <w:bCs w:val="false"/>
                <w:sz w:val="18"/>
                <w:szCs w:val="18"/>
              </w:rPr>
              <w:t xml:space="preserve">A large, broadband reflectance drop directly confirms nanostructure formation independent of, and complementary to, SEM.</w:t>
            </w:r>
          </w:p>
        </w:tc>
        <w:tc>
          <w:tcPr>
            <w:tcW w:type="dxa" w:w="1500"/>
            <w:tcMar>
              <w:top w:type="dxa" w:w="60"/>
              <w:left w:type="dxa" w:w="80"/>
              <w:bottom w:type="dxa" w:w="60"/>
              <w:right w:type="dxa" w:w="80"/>
            </w:tcMar>
            <w:vAlign w:val="center"/>
          </w:tcPr>
          <w:p>
            <w:r>
              <w:rPr>
                <w:b w:val="false"/>
                <w:bCs w:val="false"/>
                <w:sz w:val="18"/>
                <w:szCs w:val="18"/>
              </w:rPr>
              <w:t xml:space="preserve">✅ (reflectance measurement explicitly used in Hoang et al. 2025; broadband low reflectance is the literature-standard signature of 'black silicon' generally, 🟡 as applied specifically to the MACE nanowire case)</w:t>
            </w:r>
          </w:p>
        </w:tc>
      </w:tr>
      <w:tr>
        <w:tc>
          <w:tcPr>
            <w:tcW w:type="dxa" w:w="1150"/>
            <w:tcMar>
              <w:top w:type="dxa" w:w="60"/>
              <w:left w:type="dxa" w:w="80"/>
              <w:bottom w:type="dxa" w:w="60"/>
              <w:right w:type="dxa" w:w="80"/>
            </w:tcMar>
            <w:vAlign w:val="center"/>
          </w:tcPr>
          <w:p>
            <w:r>
              <w:rPr>
                <w:b w:val="false"/>
                <w:bCs w:val="false"/>
                <w:sz w:val="18"/>
                <w:szCs w:val="18"/>
              </w:rPr>
              <w:t xml:space="preserve">Contact angle</w:t>
            </w:r>
          </w:p>
        </w:tc>
        <w:tc>
          <w:tcPr>
            <w:tcW w:type="dxa" w:w="2400"/>
            <w:tcMar>
              <w:top w:type="dxa" w:w="60"/>
              <w:left w:type="dxa" w:w="80"/>
              <w:bottom w:type="dxa" w:w="60"/>
              <w:right w:type="dxa" w:w="80"/>
            </w:tcMar>
            <w:vAlign w:val="center"/>
          </w:tcPr>
          <w:p>
            <w:r>
              <w:rPr>
                <w:b w:val="false"/>
                <w:bCs w:val="false"/>
                <w:sz w:val="18"/>
                <w:szCs w:val="18"/>
              </w:rPr>
              <w:t xml:space="preserve">Assess surface wettability, which governs how uniformly an aqueous NAM droplet will spread, dry, and deposit analyte across the hotspot-bearing area (directly relevant to Part 8 drop-casting reproducibility).</w:t>
            </w:r>
          </w:p>
        </w:tc>
        <w:tc>
          <w:tcPr>
            <w:tcW w:type="dxa" w:w="2500"/>
            <w:tcMar>
              <w:top w:type="dxa" w:w="60"/>
              <w:left w:type="dxa" w:w="80"/>
              <w:bottom w:type="dxa" w:w="60"/>
              <w:right w:type="dxa" w:w="80"/>
            </w:tcMar>
            <w:vAlign w:val="center"/>
          </w:tcPr>
          <w:p>
            <w:r>
              <w:rPr>
                <w:b w:val="false"/>
                <w:bCs w:val="false"/>
                <w:sz w:val="18"/>
                <w:szCs w:val="18"/>
              </w:rPr>
              <w:t xml:space="preserve">Freshly etched, Ag-decorated black-Si is typically highly hydrophobic (Cassie–Baxter-type behavior on the nanostructured, high-surface-area texture) unless deliberately hydrophilized.</w:t>
            </w:r>
          </w:p>
        </w:tc>
        <w:tc>
          <w:tcPr>
            <w:tcW w:type="dxa" w:w="2450"/>
            <w:tcMar>
              <w:top w:type="dxa" w:w="60"/>
              <w:left w:type="dxa" w:w="80"/>
              <w:bottom w:type="dxa" w:w="60"/>
              <w:right w:type="dxa" w:w="80"/>
            </w:tcMar>
            <w:vAlign w:val="center"/>
          </w:tcPr>
          <w:p>
            <w:r>
              <w:rPr>
                <w:b w:val="false"/>
                <w:bCs w:val="false"/>
                <w:sz w:val="18"/>
                <w:szCs w:val="18"/>
              </w:rPr>
              <w:t xml:space="preserve">A very high contact angle (&gt;120–150°) indicates a hydrophobic Cassie state, which can cause a drying droplet to deposit analyte in a concentrated 'coffee ring' rather than uniformly across the hotspot field.</w:t>
            </w:r>
          </w:p>
        </w:tc>
        <w:tc>
          <w:tcPr>
            <w:tcW w:type="dxa" w:w="1500"/>
            <w:tcMar>
              <w:top w:type="dxa" w:w="60"/>
              <w:left w:type="dxa" w:w="80"/>
              <w:bottom w:type="dxa" w:w="60"/>
              <w:right w:type="dxa" w:w="80"/>
            </w:tcMar>
            <w:vAlign w:val="center"/>
          </w:tcPr>
          <w:p>
            <w:r>
              <w:rPr>
                <w:b w:val="false"/>
                <w:bCs w:val="false"/>
                <w:sz w:val="18"/>
                <w:szCs w:val="18"/>
              </w:rPr>
              <w:t xml:space="preserve">🟡 (hydrophobic black-Si behavior and its consequence for cell/analyte deposition uniformity is discussed generally in the Padrez &amp; Golubewa 2024 review, e.g., the hydrophilic-vs-hydrophobic coating effect on cell adhesion; the coffee-ring consequence for NAM drop-casting specifically is 🔵 engineering inference)</w:t>
            </w:r>
          </w:p>
        </w:tc>
      </w:tr>
      <w:tr>
        <w:tc>
          <w:tcPr>
            <w:tcW w:type="dxa" w:w="1150"/>
            <w:tcMar>
              <w:top w:type="dxa" w:w="60"/>
              <w:left w:type="dxa" w:w="80"/>
              <w:bottom w:type="dxa" w:w="60"/>
              <w:right w:type="dxa" w:w="80"/>
            </w:tcMar>
            <w:vAlign w:val="center"/>
          </w:tcPr>
          <w:p>
            <w:r>
              <w:rPr>
                <w:b w:val="false"/>
                <w:bCs w:val="false"/>
                <w:sz w:val="18"/>
                <w:szCs w:val="18"/>
              </w:rPr>
              <w:t xml:space="preserve">UV–Vis (extinction) spectroscopy</w:t>
            </w:r>
          </w:p>
        </w:tc>
        <w:tc>
          <w:tcPr>
            <w:tcW w:type="dxa" w:w="2400"/>
            <w:tcMar>
              <w:top w:type="dxa" w:w="60"/>
              <w:left w:type="dxa" w:w="80"/>
              <w:bottom w:type="dxa" w:w="60"/>
              <w:right w:type="dxa" w:w="80"/>
            </w:tcMar>
            <w:vAlign w:val="center"/>
          </w:tcPr>
          <w:p>
            <w:r>
              <w:rPr>
                <w:b w:val="false"/>
                <w:bCs w:val="false"/>
                <w:sz w:val="18"/>
                <w:szCs w:val="18"/>
              </w:rPr>
              <w:t xml:space="preserve">Confirm the localized surface plasmon resonance (LSPR) position of the deposited Ag nanoparticle layer, which should be reasonably matched to the Raman excitation laser for maximum resonance enhancement.</w:t>
            </w:r>
          </w:p>
        </w:tc>
        <w:tc>
          <w:tcPr>
            <w:tcW w:type="dxa" w:w="2500"/>
            <w:tcMar>
              <w:top w:type="dxa" w:w="60"/>
              <w:left w:type="dxa" w:w="80"/>
              <w:bottom w:type="dxa" w:w="60"/>
              <w:right w:type="dxa" w:w="80"/>
            </w:tcMar>
            <w:vAlign w:val="center"/>
          </w:tcPr>
          <w:p>
            <w:r>
              <w:rPr>
                <w:b w:val="false"/>
                <w:bCs w:val="false"/>
                <w:sz w:val="18"/>
                <w:szCs w:val="18"/>
              </w:rPr>
              <w:t xml:space="preserve">A broad LSPR extinction band, typically in the 400–450 nm region for isolated small Ag NPs, red-shifting and broadening with increasing particle size/aggregation/coupling.</w:t>
            </w:r>
          </w:p>
        </w:tc>
        <w:tc>
          <w:tcPr>
            <w:tcW w:type="dxa" w:w="2450"/>
            <w:tcMar>
              <w:top w:type="dxa" w:w="60"/>
              <w:left w:type="dxa" w:w="80"/>
              <w:bottom w:type="dxa" w:w="60"/>
              <w:right w:type="dxa" w:w="80"/>
            </w:tcMar>
            <w:vAlign w:val="center"/>
          </w:tcPr>
          <w:p>
            <w:r>
              <w:rPr>
                <w:b w:val="false"/>
                <w:bCs w:val="false"/>
                <w:sz w:val="18"/>
                <w:szCs w:val="18"/>
              </w:rPr>
              <w:t xml:space="preserve">An LSPR band whose tail overlaps the chosen excitation wavelength (see Part 8) supports (but does not guarantee) strong SERS enhancement.</w:t>
            </w:r>
          </w:p>
        </w:tc>
        <w:tc>
          <w:tcPr>
            <w:tcW w:type="dxa" w:w="1500"/>
            <w:tcMar>
              <w:top w:type="dxa" w:w="60"/>
              <w:left w:type="dxa" w:w="80"/>
              <w:bottom w:type="dxa" w:w="60"/>
              <w:right w:type="dxa" w:w="80"/>
            </w:tcMar>
            <w:vAlign w:val="center"/>
          </w:tcPr>
          <w:p>
            <w:r>
              <w:rPr>
                <w:b w:val="false"/>
                <w:bCs w:val="false"/>
                <w:sz w:val="18"/>
                <w:szCs w:val="18"/>
              </w:rPr>
              <w:t xml:space="preserve">✅ (UV-Vis used in Bai et al. 2019, though there for monitoring photocatalytic R6G degradation rather than LSPR characterization directly — 🔵 for using UV-Vis specifically as an LSPR-matching QC step, which is standard practice but not explicitly done for that purpose in the cited paper)</w:t>
            </w:r>
          </w:p>
        </w:tc>
      </w:tr>
    </w:tbl>
    <w:p>
      <w:pPr>
        <w:pStyle w:val="Heading1"/>
        <w:spacing w:after="200" w:before="400"/>
      </w:pPr>
      <w:r>
        <w:t xml:space="preserve">Part 8 — Raman Validation Workflow</w:t>
      </w:r>
    </w:p>
    <w:p>
      <w:pPr>
        <w:pStyle w:val="Heading2"/>
        <w:spacing w:after="160" w:before="300"/>
      </w:pPr>
      <w:r>
        <w:t xml:space="preserve">Stage 1 — Substrate validation with R6G</w:t>
      </w:r>
    </w:p>
    <w:p>
      <w:pPr>
        <w:pStyle w:val="ListParagraph"/>
        <w:numPr>
          <w:ilvl w:val="0"/>
          <w:numId w:val="1"/>
        </w:numPr>
        <w:spacing w:after="100"/>
      </w:pPr>
      <w:r>
        <w:t xml:space="preserve">Purpose: confirm the fabricated substrate reproduces literature-level SERS performance before any NAM chemistry is introduced — this isolates 'did the fabrication work' from 'does NAM give a signal.' ✅ (R6G is the exact validation molecule used in Bai et al. 2019).</w:t>
      </w:r>
    </w:p>
    <w:p>
      <w:pPr>
        <w:pStyle w:val="ListParagraph"/>
        <w:numPr>
          <w:ilvl w:val="0"/>
          <w:numId w:val="1"/>
        </w:numPr>
        <w:spacing w:after="100"/>
      </w:pPr>
      <w:r>
        <w:t xml:space="preserve">Sample prep: R6G in ethanol or DI water, serial dilution from 10⁻⁵ M down through at least 10⁻⁹ M, matching the concentration series reported in the base paper. ✅</w:t>
      </w:r>
    </w:p>
    <w:p>
      <w:pPr>
        <w:pStyle w:val="ListParagraph"/>
        <w:numPr>
          <w:ilvl w:val="0"/>
          <w:numId w:val="1"/>
        </w:numPr>
        <w:spacing w:after="100"/>
      </w:pPr>
      <w:r>
        <w:t xml:space="preserve">Drop-casting: a fixed small volume (e.g., 5–10 µL) pipetted onto the chip and allowed to air-dry (or dried under mild N₂ flow) before measurement; given the hydrophobic surface noted in Part 7, multiple replicate spots per concentration are recommended to average out coffee-ring effects. 🔵</w:t>
      </w:r>
    </w:p>
    <w:p>
      <w:pPr>
        <w:pStyle w:val="ListParagraph"/>
        <w:numPr>
          <w:ilvl w:val="0"/>
          <w:numId w:val="1"/>
        </w:numPr>
        <w:spacing w:after="100"/>
      </w:pPr>
      <w:r>
        <w:t xml:space="preserve">Laser wavelength: 532 nm, matching Bai et al.'s reported acquisition conditions (0.5 mW, 10 s integration) and reasonably close to R6G's resonance for added (resonance) enhancement. ✅</w:t>
      </w:r>
    </w:p>
    <w:p>
      <w:pPr>
        <w:pStyle w:val="ListParagraph"/>
        <w:numPr>
          <w:ilvl w:val="0"/>
          <w:numId w:val="1"/>
        </w:numPr>
        <w:spacing w:after="100"/>
      </w:pPr>
      <w:r>
        <w:t xml:space="preserve">Acceptance criterion: detectable R6G signal down to ~10⁻⁵–10⁻⁷ M with the expected characteristic bands (e.g., ~611, 773, 1361, 1509, 1650 cm⁻¹ for R6G, standard literature assignments, 🟡 general Raman-database knowledge) and spot-to-spot RSD in a similar range to literature substrates (Hoang et al. 2025 reports 6.14% RSD across 30 spots as a benchmark for a well-performing Ag/porous-Si SERS chip — 🟡, different substrate family, used as a rough reproducibility benchmark, not a hard target).</w:t>
      </w:r>
    </w:p>
    <w:p>
      <w:pPr>
        <w:pStyle w:val="Heading2"/>
        <w:spacing w:after="160" w:before="300"/>
      </w:pPr>
      <w:r>
        <w:t xml:space="preserve">Stage 2 — Transition to NAM</w:t>
      </w:r>
    </w:p>
    <w:p>
      <w:pPr>
        <w:pStyle w:val="ListParagraph"/>
        <w:numPr>
          <w:ilvl w:val="0"/>
          <w:numId w:val="1"/>
        </w:numPr>
        <w:spacing w:after="100"/>
      </w:pPr>
      <w:r>
        <w:t xml:space="preserve">Sample prep: pure NAM (analytical standard) dissolved in ultrapure water at a starting concentration well above any expected physiological range (e.g., 1–10 mM) for initial band identification, then diluted in a log series (mM → µM) to establish a working curve. 🔵 (no NAM SERS concentration range exists in the literature to anchor this to; physiological/biologically relevant peptidoglycan-turnover concentrations are not well established either, so the starting range is a reasoned engineering choice, not a literature value).</w:t>
      </w:r>
    </w:p>
    <w:p>
      <w:pPr>
        <w:pStyle w:val="ListParagraph"/>
        <w:numPr>
          <w:ilvl w:val="0"/>
          <w:numId w:val="1"/>
        </w:numPr>
        <w:spacing w:after="100"/>
      </w:pPr>
      <w:r>
        <w:t xml:space="preserve">Drop-casting and drying: identical protocol to Stage 1 for direct comparability; because NAM is far more hydrophilic than R6G, expect a more pronounced coffee-ring effect and correspondingly higher spot-to-spot variance — recommend mapping (Raman imaging over the dried spot) rather than single-point acquisition for the first NAM experiments. 🔵</w:t>
      </w:r>
    </w:p>
    <w:p>
      <w:pPr>
        <w:pStyle w:val="ListParagraph"/>
        <w:numPr>
          <w:ilvl w:val="0"/>
          <w:numId w:val="1"/>
        </w:numPr>
        <w:spacing w:after="100"/>
      </w:pPr>
      <w:r>
        <w:t xml:space="preserve">Laser wavelength: reassess — 532 nm was chosen for R6G's resonance; NAM has no visible-range chromophore, so no resonance benefit exists at 532 nm. A near-IR excitation (633 or 785 nm) is generally preferred for non-resonant, potentially fluorescent or biofluid-adjacent samples because it reduces autofluorescence background — consistent with the 785 nm choice used for biofluid work in the Padrez &amp; Golubewa 2024 review and in Hoang et al. 2025. 🟡 recommendation transferred from adjacent literature, not proven optimal for NAM specifically.</w:t>
      </w:r>
    </w:p>
    <w:p>
      <w:pPr>
        <w:pStyle w:val="ListParagraph"/>
        <w:numPr>
          <w:ilvl w:val="0"/>
          <w:numId w:val="1"/>
        </w:numPr>
        <w:spacing w:after="100"/>
      </w:pPr>
      <w:r>
        <w:t xml:space="preserve">Spectral acquisition: longer integration times and/or signal averaging are expected to be necessary given NAM's non-resonant, small Raman cross-section relative to a dye; start from the base paper's 10 s integration and extend as needed based on signal-to-noise in pilot scans. 🔵</w:t>
      </w:r>
    </w:p>
    <w:p>
      <w:pPr>
        <w:pStyle w:val="ListParagraph"/>
        <w:numPr>
          <w:ilvl w:val="0"/>
          <w:numId w:val="1"/>
        </w:numPr>
        <w:spacing w:after="100"/>
      </w:pPr>
      <w:r>
        <w:t xml:space="preserve">Peak assignment (predicted, not yet measured): pyranose ring skeletal/C–O–C stretches (~800–1150 cm⁻¹), amide I (C=O stretch, ~1650–1680 cm⁻¹) and amide II (~1550 cm⁻¹) from the acetamido group, carboxylate symmetric/asymmetric stretch (~1400/1600 cm⁻¹), and C–H deformation modes (~1300–1460 cm⁻¹) are the chemically expected regions of interest, based on standard functional-group Raman correlation tables for carbohydrates and amides. 🔵 — these are inferred from NAM's known structure and general vibrational-spectroscopy correlation tables, not from a published NAM Raman/SERS spectrum (none was located).</w:t>
      </w:r>
    </w:p>
    <w:p>
      <w:pPr>
        <w:pStyle w:val="ListParagraph"/>
        <w:numPr>
          <w:ilvl w:val="0"/>
          <w:numId w:val="1"/>
        </w:numPr>
        <w:spacing w:after="100"/>
      </w:pPr>
      <w:r>
        <w:t xml:space="preserve">Comparison with DFT: no published DFT-computed Raman spectrum of NAM was located in this search. Recommend computing one (e.g., B3LYP/6-31G(d) or a comparable functional/basis commonly used for small-molecule vibrational assignment) as a first-principles reference against which the acquired SERS spectrum's peak positions/relative intensities can be checked, since (a) SERS peak positions can shift and intensities can be selectively enhanced relative to normal Raman depending on adsorption orientation (the 'surface selection rule'), and (b) NAM has no experimental Raman/SERS reference spectrum in the literature to compare against directly. 🔵 recommendation; ❌ as to what the DFT spectrum will show, since it has not been computed.</w:t>
      </w:r>
    </w:p>
    <w:p>
      <w:pPr>
        <w:pStyle w:val="ListParagraph"/>
        <w:numPr>
          <w:ilvl w:val="0"/>
          <w:numId w:val="1"/>
        </w:numPr>
        <w:spacing w:after="100"/>
      </w:pPr>
      <w:r>
        <w:t xml:space="preserve">Limit of detection / enhancement factor / reproducibility for NAM: cannot be stated — no data exists. This is explicitly an open experimental question, not a projected number. ❌ (any specific numeric LOD or EF claimed for NAM prior to running this experiment would be unsupported speculation).</w:t>
      </w:r>
    </w:p>
    <w:p>
      <w:pPr>
        <w:pStyle w:val="Heading1"/>
        <w:spacing w:after="200" w:before="400"/>
      </w:pPr>
      <w:r>
        <w:t xml:space="preserve">Part 9 — Sensor Optimization Decision Tree</w:t>
      </w:r>
    </w:p>
    <w:p>
      <w:pPr>
        <w:spacing w:after="160"/>
      </w:pPr>
      <w:r>
        <w:t xml:space="preserve">Principle: change exactly one variable at a time, and only after a controlled comparison shows the previous configuration is insufficient. Each branch below states the scientific rationale for the next change and its evidence basis.</w:t>
      </w:r>
    </w:p>
    <w:p>
      <w:pPr>
        <w:pStyle w:val="Heading3"/>
        <w:spacing w:after="120" w:before="240"/>
      </w:pPr>
      <w:r>
        <w:t xml:space="preserve">Step 0: Weak/absent NAM signal on bare Ag (validated substrate, confirmed by Stage-1 R6G success)</w:t>
      </w:r>
    </w:p>
    <w:p>
      <w:pPr>
        <w:spacing w:after="160"/>
      </w:pPr>
      <w:r>
        <w:t xml:space="preserve">This is the expected starting outcome per Part 5. 🔵</w:t>
      </w:r>
    </w:p>
    <w:p>
      <w:pPr>
        <w:pStyle w:val="Heading3"/>
        <w:spacing w:after="120" w:before="240"/>
      </w:pPr>
      <w:r>
        <w:t xml:space="preserve">Step 1: Is the substrate itself still working? (Re-run R6G control on the same chip/batch)</w:t>
      </w:r>
    </w:p>
    <w:p>
      <w:pPr>
        <w:spacing w:after="160"/>
      </w:pPr>
      <w:r>
        <w:t xml:space="preserve">Rules out substrate degradation (Ag tarnish, nanowire collapse) as a confound before concluding anything about NAM chemistry. If R6G also now fails → fabrication/storage problem (return to Part 2, step 11) rather than an NAM-specific problem. If R6G still works but NAM does not → proceed to Step 2. 🔵 (logical control, standard practice).</w:t>
      </w:r>
    </w:p>
    <w:p>
      <w:pPr>
        <w:pStyle w:val="Heading3"/>
        <w:spacing w:after="120" w:before="240"/>
      </w:pPr>
      <w:r>
        <w:t xml:space="preserve">Step 2: Poor adsorption / no chemical affinity to bare Ag?</w:t>
      </w:r>
    </w:p>
    <w:p>
      <w:pPr>
        <w:spacing w:after="160"/>
      </w:pPr>
      <w:r>
        <w:t xml:space="preserve">This is the diagnosed root cause proposed in Part 5, based on the glucose/boronic-acid precedent. Action: add the minimum surface chemistry (boronic-acid SAM, Part 6) and re-test at the same NAM concentration. Change nothing else (same wafer batch, same laser, same acquisition settings). 🟡 (chemistry choice supported by glucose precedent; outcome for NAM untested).</w:t>
      </w:r>
    </w:p>
    <w:p>
      <w:pPr>
        <w:pStyle w:val="Heading3"/>
        <w:spacing w:after="120" w:before="240"/>
      </w:pPr>
      <w:r>
        <w:t xml:space="preserve">Step 3: Still weak after boronic-acid functionalization?</w:t>
      </w:r>
    </w:p>
    <w:p>
      <w:pPr>
        <w:spacing w:after="160"/>
      </w:pPr>
      <w:r>
        <w:t xml:space="preserve">Consider adsorption kinetics/coverage: increase functionalization incubation time/concentration, or improve rinsing protocol to remove unbound ligand that could compete for hotspot volume, before changing anything structural. This is a chemistry-processing adjustment, not yet a hardware change. 🔵</w:t>
      </w:r>
    </w:p>
    <w:p>
      <w:pPr>
        <w:pStyle w:val="Heading3"/>
        <w:spacing w:after="120" w:before="240"/>
      </w:pPr>
      <w:r>
        <w:t xml:space="preserve">Step 4: Still weak after chemistry optimization — adjust Ag morphology</w:t>
      </w:r>
    </w:p>
    <w:p>
      <w:pPr>
        <w:spacing w:after="160"/>
      </w:pPr>
      <w:r>
        <w:t xml:space="preserve">Only now revisit Part 4 parameters: e.g., extend UV photoreduction time to grow larger/closer-spaced Ag nanoparticles (targeting the 5–20 nm gap regime supported by Hoang et al. 2025), or reduce it if particles have coalesced and lost discrete gaps (checked via SEM). Change only the Ag-deposition step; keep the nanowire scaffold and surface chemistry fixed. 🔵</w:t>
      </w:r>
    </w:p>
    <w:p>
      <w:pPr>
        <w:pStyle w:val="Heading3"/>
        <w:spacing w:after="120" w:before="240"/>
      </w:pPr>
      <w:r>
        <w:t xml:space="preserve">Step 5: Still weak after Ag morphology optimization — modify the underlying nanostructure</w:t>
      </w:r>
    </w:p>
    <w:p>
      <w:pPr>
        <w:spacing w:after="160"/>
      </w:pPr>
      <w:r>
        <w:t xml:space="preserve">Last resort: adjust MACE etch time/H₂O₂:HF ratio to change nanowire length/pitch (Part 4), or consider switching etch geometry (e.g., toward the smaller, more uniform pore/gap architecture demonstrated in Hoang et al. 2025) — the largest structural change, undertaken only after chemistry and metal-layer options are exhausted, consistent with the 'smallest possible modification first' design principle stated in the project brief. 🔵</w:t>
      </w:r>
    </w:p>
    <w:p>
      <w:pPr>
        <w:pStyle w:val="Heading3"/>
        <w:spacing w:after="120" w:before="240"/>
      </w:pPr>
      <w:r>
        <w:t xml:space="preserve">Step 6: Still weak after structural redesign</w:t>
      </w:r>
    </w:p>
    <w:p>
      <w:pPr>
        <w:spacing w:after="160"/>
      </w:pPr>
      <w:r>
        <w:t xml:space="preserve">Re-examine fundamental assumptions: confirm via DFT/reference Raman that NAM's intrinsic Raman cross-section and predicted band positions are consistent with what is being searched for in the spectrum; consider whether the laser wavelength/resonance conditions (Part 8) need revisiting; consider whether NAM requires pre-concentration (e.g., a larger drop volume, repeated deposition, or a pre-concentration membrane) rather than further substrate engineering. 🔵</w:t>
      </w:r>
    </w:p>
    <w:p>
      <w:pPr>
        <w:pStyle w:val="Heading1"/>
        <w:spacing w:after="200" w:before="400"/>
      </w:pPr>
      <w:r>
        <w:t xml:space="preserve">Part 10 — Translation Pathway to Sepsis Detection</w:t>
      </w:r>
    </w:p>
    <w:p>
      <w:pPr>
        <w:pStyle w:val="Heading2"/>
        <w:spacing w:after="160" w:before="300"/>
      </w:pPr>
      <w:r>
        <w:t xml:space="preserve">Stage 1: Pure NAM (water)</w:t>
      </w:r>
    </w:p>
    <w:p>
      <w:pPr>
        <w:spacing w:after="160"/>
      </w:pPr>
      <w:r>
        <w:t xml:space="preserve">Major challenges: Baseline analytical validation (Parts 8–9). No biological matrix.</w:t>
      </w:r>
    </w:p>
    <w:p>
      <w:pPr>
        <w:spacing w:after="160"/>
      </w:pPr>
      <w:r>
        <w:t xml:space="preserve">Interference: None.</w:t>
      </w:r>
    </w:p>
    <w:p>
      <w:pPr>
        <w:spacing w:after="160"/>
      </w:pPr>
      <w:r>
        <w:t xml:space="preserve">Protein fouling: None.</w:t>
      </w:r>
    </w:p>
    <w:p>
      <w:pPr>
        <w:spacing w:after="160"/>
      </w:pPr>
      <w:r>
        <w:t xml:space="preserve">Detection limit: LOD/EF to be determined experimentally (❌ no value can be stated yet).</w:t>
      </w:r>
    </w:p>
    <w:p>
      <w:pPr>
        <w:spacing w:after="160"/>
      </w:pPr>
      <w:r>
        <w:t xml:space="preserve">Sample preparation: Analytical-grade NAM standard, serial dilution in ultrapure water.</w:t>
      </w:r>
    </w:p>
    <w:p>
      <w:pPr>
        <w:spacing w:after="160"/>
      </w:pPr>
      <w:r>
        <w:t xml:space="preserve">Controls: Bare-Ag negative control; boronic-acid-functionalized positive detection; blank (no-analyte) substrate.</w:t>
      </w:r>
    </w:p>
    <w:p>
      <w:pPr>
        <w:spacing w:after="160"/>
      </w:pPr>
      <w:r>
        <w:t xml:space="preserve">Validation experiments: Confirm reproducible NAM SERS signature (peak positions matching DFT-predicted assignments) at the lowest concentration reliably detectable.</w:t>
      </w:r>
    </w:p>
    <w:p>
      <w:pPr>
        <w:pStyle w:val="Heading2"/>
        <w:spacing w:after="160" w:before="300"/>
      </w:pPr>
      <w:r>
        <w:t xml:space="preserve">Stage 2: NAM in bacterial lysate</w:t>
      </w:r>
    </w:p>
    <w:p>
      <w:pPr>
        <w:spacing w:after="160"/>
      </w:pPr>
      <w:r>
        <w:t xml:space="preserve">Major challenges: Lysate contains the full complexity of a disrupted bacterial cell: nucleic acids, lipids, other peptidoglycan fragments (e.g., muramyl dipeptide, GlcNAc), proteins, and salts — all potential SERS-active or fouling species. 🔵</w:t>
      </w:r>
    </w:p>
    <w:p>
      <w:pPr>
        <w:spacing w:after="160"/>
      </w:pPr>
      <w:r>
        <w:t xml:space="preserve">Interference: Structurally related peptidoglycan fragments (GlcNAc, muropeptides) may share overlapping Raman bands (same ring/amide chemistry) and may also bind the boronic-acid ligand (cross-reactivity risk, since boronic acid targets diols generically, not NAM specifically). 🔵</w:t>
      </w:r>
    </w:p>
    <w:p>
      <w:pPr>
        <w:spacing w:after="160"/>
      </w:pPr>
      <w:r>
        <w:t xml:space="preserve">Protein fouling: Moderate — lysate proteins/lipids can nonspecifically adsorb to Ag and boronic-acid-functionalized surfaces, competing for hotspot sites.</w:t>
      </w:r>
    </w:p>
    <w:p>
      <w:pPr>
        <w:spacing w:after="160"/>
      </w:pPr>
      <w:r>
        <w:t xml:space="preserve">Detection limit: Expected to rise relative to pure-water NAM due to background/competition; magnitude unknown. ❌</w:t>
      </w:r>
    </w:p>
    <w:p>
      <w:pPr>
        <w:spacing w:after="160"/>
      </w:pPr>
      <w:r>
        <w:t xml:space="preserve">Sample preparation: Controlled bacterial lysis (e.g., lysozyme/mechanical) of a defined Gram-positive/Gram-negative species panel, spiked with known NAM concentrations for recovery testing.</w:t>
      </w:r>
    </w:p>
    <w:p>
      <w:pPr>
        <w:spacing w:after="160"/>
      </w:pPr>
      <w:r>
        <w:t xml:space="preserve">Controls: Un-spiked lysate (background), lysate + boronic-acid-blocked substrate (nonspecific-binding control), lysate from a peptidoglycan-null control if available.</w:t>
      </w:r>
    </w:p>
    <w:p>
      <w:pPr>
        <w:spacing w:after="160"/>
      </w:pPr>
      <w:r>
        <w:t xml:space="preserve">Validation experiments: Spike-recovery experiments; comparison of lysate spectra with pure-NAM spectrum via multivariate analysis (e.g., PCA) to isolate the NAM signature from background.</w:t>
      </w:r>
    </w:p>
    <w:p>
      <w:pPr>
        <w:pStyle w:val="Heading2"/>
        <w:spacing w:after="160" w:before="300"/>
      </w:pPr>
      <w:r>
        <w:t xml:space="preserve">Stage 3: NAM in bacterial culture (supernatant)</w:t>
      </w:r>
    </w:p>
    <w:p>
      <w:pPr>
        <w:spacing w:after="160"/>
      </w:pPr>
      <w:r>
        <w:t xml:space="preserve">Major challenges: Culture media (e.g., LB, tryptic soy broth) contributes its own strong Raman background (amino acids, sugars, salts) on top of secreted/released muropeptides.</w:t>
      </w:r>
    </w:p>
    <w:p>
      <w:pPr>
        <w:spacing w:after="160"/>
      </w:pPr>
      <w:r>
        <w:t xml:space="preserve">Interference: Media components (glucose, amino acids) may compete for boronic-acid sites even more directly than lysate components, since growth media are often diol/sugar-rich.</w:t>
      </w:r>
    </w:p>
    <w:p>
      <w:pPr>
        <w:spacing w:after="160"/>
      </w:pPr>
      <w:r>
        <w:t xml:space="preserve">Protein fouling: High — media proteins and biofilm-associated exopolysaccharides can foul the surface over the longer incubation timescales typical of culture-based sampling.</w:t>
      </w:r>
    </w:p>
    <w:p>
      <w:pPr>
        <w:spacing w:after="160"/>
      </w:pPr>
      <w:r>
        <w:t xml:space="preserve">Detection limit: Likely comparable to or worse than lysate; unknown. ❌</w:t>
      </w:r>
    </w:p>
    <w:p>
      <w:pPr>
        <w:spacing w:after="160"/>
      </w:pPr>
      <w:r>
        <w:t xml:space="preserve">Sample preparation: Culture in defined, low-Raman-background media where possible; centrifugation/filtration to remove cells before SERS measurement of supernatant.</w:t>
      </w:r>
    </w:p>
    <w:p>
      <w:pPr>
        <w:spacing w:after="160"/>
      </w:pPr>
      <w:r>
        <w:t xml:space="preserve">Controls: Sterile, uninoculated media (matrix-only background); heat-killed culture (checks whether live-cell metabolic activity changes background).</w:t>
      </w:r>
    </w:p>
    <w:p>
      <w:pPr>
        <w:spacing w:after="160"/>
      </w:pPr>
      <w:r>
        <w:t xml:space="preserve">Validation experiments: Time-course sampling across bacterial growth phases to check whether NAM signal tracks expected peptidoglycan turnover/autolysis dynamics.</w:t>
      </w:r>
    </w:p>
    <w:p>
      <w:pPr>
        <w:pStyle w:val="Heading2"/>
        <w:spacing w:after="160" w:before="300"/>
      </w:pPr>
      <w:r>
        <w:t xml:space="preserve">Stage 4: NAM spiked into plasma</w:t>
      </w:r>
    </w:p>
    <w:p>
      <w:pPr>
        <w:spacing w:after="160"/>
      </w:pPr>
      <w:r>
        <w:t xml:space="preserve">Major challenges: Plasma introduces a very high total protein background (~60–80 g/L, dominated by albumin), which is known generally in SERS/biosensing literature to be a major fouling and background-signal source. 🟡 (general plasma-SERS challenge, well documented across the biosensing literature broadly, not NAM-specific).</w:t>
      </w:r>
    </w:p>
    <w:p>
      <w:pPr>
        <w:spacing w:after="160"/>
      </w:pPr>
      <w:r>
        <w:t xml:space="preserve">Interference: Albumin and other plasma proteins have abundant surface lysines/diol-adjacent glycosylation sites that can competitively bind boronic acid and physisorb to bare Ag.</w:t>
      </w:r>
    </w:p>
    <w:p>
      <w:pPr>
        <w:spacing w:after="160"/>
      </w:pPr>
      <w:r>
        <w:t xml:space="preserve">Protein fouling: Severe — protein fouling is typically the single largest practical obstacle in translating any SERS assay from buffer to plasma.</w:t>
      </w:r>
    </w:p>
    <w:p>
      <w:pPr>
        <w:spacing w:after="160"/>
      </w:pPr>
      <w:r>
        <w:t xml:space="preserve">Detection limit: Expected LOD to worsen substantially relative to water/lysate; unknown magnitude. ❌</w:t>
      </w:r>
    </w:p>
    <w:p>
      <w:pPr>
        <w:spacing w:after="160"/>
      </w:pPr>
      <w:r>
        <w:t xml:space="preserve">Sample preparation: Plasma pretreatment likely required (e.g., protein precipitation/ultrafiltration or a size-exclusion step) before or in place of direct drop-casting, though this trades off sample simplicity against selectivity. 🔵</w:t>
      </w:r>
    </w:p>
    <w:p>
      <w:pPr>
        <w:spacing w:after="160"/>
      </w:pPr>
      <w:r>
        <w:t xml:space="preserve">Controls: Plasma spiked with known NAM concentrations vs. unspiked plasma; PEG-diluted mixed-SAM surface (Part 6) as an anti-fouling variant, tested head-to-head against the boronic-acid-only surface.</w:t>
      </w:r>
    </w:p>
    <w:p>
      <w:pPr>
        <w:spacing w:after="160"/>
      </w:pPr>
      <w:r>
        <w:t xml:space="preserve">Validation experiments: Recovery/spike experiments; comparison of pretreated vs. untreated plasma; assessment of whether an anti-fouling PEG co-layer preserves NAM sensitivity while suppressing protein background.</w:t>
      </w:r>
    </w:p>
    <w:p>
      <w:pPr>
        <w:pStyle w:val="Heading2"/>
        <w:spacing w:after="160" w:before="300"/>
      </w:pPr>
      <w:r>
        <w:t xml:space="preserve">Stage 5: NAM spiked into whole blood</w:t>
      </w:r>
    </w:p>
    <w:p>
      <w:pPr>
        <w:spacing w:after="160"/>
      </w:pPr>
      <w:r>
        <w:t xml:space="preserve">Major challenges: All plasma challenges apply, plus red/white blood cells, hemoglobin (a strong, resonant Raman/fluorescence interferent at visible wavelengths), and clotting factors.</w:t>
      </w:r>
    </w:p>
    <w:p>
      <w:pPr>
        <w:spacing w:after="160"/>
      </w:pPr>
      <w:r>
        <w:t xml:space="preserve">Interference: Hemoglobin's strong absorption and potential resonance Raman/fluorescence background is a major expected interferent, particularly at shorter excitation wavelengths — reinforcing the Part 8 recommendation to use 785 nm rather than 532 nm for anything beyond the pure-NAM stage. 🟡</w:t>
      </w:r>
    </w:p>
    <w:p>
      <w:pPr>
        <w:spacing w:after="160"/>
      </w:pPr>
      <w:r>
        <w:t xml:space="preserve">Protein fouling: Most severe stage before clinical samples — cellular debris and hemoglobin add to protein fouling.</w:t>
      </w:r>
    </w:p>
    <w:p>
      <w:pPr>
        <w:spacing w:after="160"/>
      </w:pPr>
      <w:r>
        <w:t xml:space="preserve">Detection limit: Expected to be the worst LOD in the pre-clinical pathway; unknown magnitude. ❌</w:t>
      </w:r>
    </w:p>
    <w:p>
      <w:pPr>
        <w:spacing w:after="160"/>
      </w:pPr>
      <w:r>
        <w:t xml:space="preserve">Sample preparation: Cell separation (plasma/serum isolation) is the standard clinical practice and is likely necessary here too, rather than attempting direct whole-blood SERS; if whole-blood measurement is a specific project goal, a microfluidic filtration step ahead of the sensor is the literature-consistent approach (🟡, based on general blood-SERS biosensing practice, not NAM-specific).</w:t>
      </w:r>
    </w:p>
    <w:p>
      <w:pPr>
        <w:spacing w:after="160"/>
      </w:pPr>
      <w:r>
        <w:t xml:space="preserve">Controls: Spiked vs. unspiked whole blood; spiked plasma-only (isolated from the same blood draw) as a reference to isolate the incremental effect of cellular components.</w:t>
      </w:r>
    </w:p>
    <w:p>
      <w:pPr>
        <w:spacing w:after="160"/>
      </w:pPr>
      <w:r>
        <w:t xml:space="preserve">Validation experiments: Compare whole-blood-derived and plasma-derived NAM recovery; determine whether a simple centrifugation step is sufficient or whether additional cleanup is required.</w:t>
      </w:r>
    </w:p>
    <w:p>
      <w:pPr>
        <w:pStyle w:val="Heading2"/>
        <w:spacing w:after="160" w:before="300"/>
      </w:pPr>
      <w:r>
        <w:t xml:space="preserve">Stage 6: Clinical sepsis samples</w:t>
      </w:r>
    </w:p>
    <w:p>
      <w:pPr>
        <w:spacing w:after="160"/>
      </w:pPr>
      <w:r>
        <w:t xml:space="preserve">Major challenges: Full inter-patient biological variability: antibiotic treatment (which can alter circulating peptidoglycan fragment levels), comorbidities, variable bacterial load/species, and variable time-since-infection-onset.</w:t>
      </w:r>
    </w:p>
    <w:p>
      <w:pPr>
        <w:spacing w:after="160"/>
      </w:pPr>
      <w:r>
        <w:t xml:space="preserve">Interference: Broadest possible background — other circulating small molecules, drugs, and metabolites.</w:t>
      </w:r>
    </w:p>
    <w:p>
      <w:pPr>
        <w:spacing w:after="160"/>
      </w:pPr>
      <w:r>
        <w:t xml:space="preserve">Protein fouling: Full clinical-sample fouling profile; likely requires the same pretreatment validated at the whole-blood stage, now optimized against real inter-patient variability.</w:t>
      </w:r>
    </w:p>
    <w:p>
      <w:pPr>
        <w:spacing w:after="160"/>
      </w:pPr>
      <w:r>
        <w:t xml:space="preserve">Detection limit: To be established via a proper clinical validation study (ROC analysis against a reference method, e.g., LC-MS/MS peptidoglycan-fragment quantification) — cannot be projected. ❌</w:t>
      </w:r>
    </w:p>
    <w:p>
      <w:pPr>
        <w:spacing w:after="160"/>
      </w:pPr>
      <w:r>
        <w:t xml:space="preserve">Sample preparation: IRB-approved sample collection, standardized pre-analytical handling (draw-to-freeze time, anticoagulant choice), and blinding.</w:t>
      </w:r>
    </w:p>
    <w:p>
      <w:pPr>
        <w:spacing w:after="160"/>
      </w:pPr>
      <w:r>
        <w:t xml:space="preserve">Controls: Matched non-septic controls (healthy and non-infectious SIRS/inflammation controls, to test specificity against inflammation generally rather than infection specifically); comparison against a gold-standard method (blood culture, PCR, or LC-MS/MS peptidoglycan quantification).</w:t>
      </w:r>
    </w:p>
    <w:p>
      <w:pPr>
        <w:spacing w:after="160"/>
      </w:pPr>
      <w:r>
        <w:t xml:space="preserve">Validation experiments: Formal analytical validation (accuracy, precision, LOD, linearity, specificity) followed by a clinical diagnostic-accuracy study (sensitivity/specificity/ROC-AUC vs. the reference standard) before any diagnostic-use claim.</w:t>
      </w:r>
    </w:p>
    <w:p>
      <w:pPr>
        <w:pStyle w:val="Heading1"/>
        <w:spacing w:after="200" w:before="400"/>
      </w:pPr>
      <w:r>
        <w:t xml:space="preserve">Part 11 — Critical Review: Evidence Classification Summary</w:t>
      </w:r>
    </w:p>
    <w:p>
      <w:pPr>
        <w:spacing w:after="160"/>
      </w:pPr>
      <w:r>
        <w:t xml:space="preserve">This section consolidates the evidence tags used throughout the report so no recommendation is mistaken for an experimentally proven fact.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5400"/>
      </w:tblGrid>
      <w:tr>
        <w:trPr>
          <w:tblHeader/>
        </w:trPr>
        <w:tc>
          <w:tcPr>
            <w:tcW w:type="dxa" w:w="4200"/>
            <w:shd w:fill="1F3864" w:val="clear"/>
            <w:tcMar>
              <w:top w:type="dxa" w:w="60"/>
              <w:left w:type="dxa" w:w="80"/>
              <w:bottom w:type="dxa" w:w="60"/>
              <w:right w:type="dxa" w:w="80"/>
            </w:tcMar>
            <w:vAlign w:val="center"/>
          </w:tcPr>
          <w:p>
            <w:r>
              <w:rPr>
                <w:b/>
                <w:bCs/>
                <w:color w:val="FFFFFF"/>
                <w:sz w:val="18"/>
                <w:szCs w:val="18"/>
              </w:rPr>
              <w:t xml:space="preserve">Claim</w:t>
            </w:r>
          </w:p>
        </w:tc>
        <w:tc>
          <w:tcPr>
            <w:tcW w:type="dxa" w:w="1200"/>
            <w:shd w:fill="1F3864" w:val="clear"/>
            <w:tcMar>
              <w:top w:type="dxa" w:w="60"/>
              <w:left w:type="dxa" w:w="80"/>
              <w:bottom w:type="dxa" w:w="60"/>
              <w:right w:type="dxa" w:w="80"/>
            </w:tcMar>
            <w:vAlign w:val="center"/>
          </w:tcPr>
          <w:p>
            <w:r>
              <w:rPr>
                <w:b/>
                <w:bCs/>
                <w:color w:val="FFFFFF"/>
                <w:sz w:val="18"/>
                <w:szCs w:val="18"/>
              </w:rPr>
              <w:t xml:space="preserve">Tag</w:t>
            </w:r>
          </w:p>
        </w:tc>
        <w:tc>
          <w:tcPr>
            <w:tcW w:type="dxa" w:w="5400"/>
            <w:shd w:fill="1F3864" w:val="clear"/>
            <w:tcMar>
              <w:top w:type="dxa" w:w="60"/>
              <w:left w:type="dxa" w:w="80"/>
              <w:bottom w:type="dxa" w:w="60"/>
              <w:right w:type="dxa" w:w="80"/>
            </w:tcMar>
            <w:vAlign w:val="center"/>
          </w:tcPr>
          <w:p>
            <w:r>
              <w:rPr>
                <w:b/>
                <w:bCs/>
                <w:color w:val="FFFFFF"/>
                <w:sz w:val="18"/>
                <w:szCs w:val="18"/>
              </w:rPr>
              <w:t xml:space="preserve">Basis</w:t>
            </w:r>
          </w:p>
        </w:tc>
      </w:tr>
      <w:tr>
        <w:tc>
          <w:tcPr>
            <w:tcW w:type="dxa" w:w="4200"/>
            <w:tcMar>
              <w:top w:type="dxa" w:w="60"/>
              <w:left w:type="dxa" w:w="80"/>
              <w:bottom w:type="dxa" w:w="60"/>
              <w:right w:type="dxa" w:w="80"/>
            </w:tcMar>
            <w:vAlign w:val="center"/>
          </w:tcPr>
          <w:p>
            <w:r>
              <w:rPr>
                <w:b w:val="false"/>
                <w:bCs w:val="false"/>
                <w:sz w:val="18"/>
                <w:szCs w:val="18"/>
              </w:rPr>
              <w:t xml:space="preserve">Bai et al. 2019 MACE protocol produces EF ≈1.4×10⁸ with R6G/dopamine on n-type 1–10 Ω·cm Si</w:t>
            </w:r>
          </w:p>
        </w:tc>
        <w:tc>
          <w:tcPr>
            <w:tcW w:type="dxa" w:w="1200"/>
            <w:tcMar>
              <w:top w:type="dxa" w:w="60"/>
              <w:left w:type="dxa" w:w="80"/>
              <w:bottom w:type="dxa" w:w="60"/>
              <w:right w:type="dxa" w:w="80"/>
            </w:tcMar>
            <w:vAlign w:val="center"/>
          </w:tcPr>
          <w:p>
            <w:r>
              <w:rPr>
                <w:b w:val="false"/>
                <w:bCs w:val="false"/>
                <w:sz w:val="18"/>
                <w:szCs w:val="18"/>
              </w:rPr>
              <w:t xml:space="preserve">✅</w:t>
            </w:r>
          </w:p>
        </w:tc>
        <w:tc>
          <w:tcPr>
            <w:tcW w:type="dxa" w:w="5400"/>
            <w:tcMar>
              <w:top w:type="dxa" w:w="60"/>
              <w:left w:type="dxa" w:w="80"/>
              <w:bottom w:type="dxa" w:w="60"/>
              <w:right w:type="dxa" w:w="80"/>
            </w:tcMar>
            <w:vAlign w:val="center"/>
          </w:tcPr>
          <w:p>
            <w:r>
              <w:rPr>
                <w:b w:val="false"/>
                <w:bCs w:val="false"/>
                <w:sz w:val="18"/>
                <w:szCs w:val="18"/>
              </w:rPr>
              <w:t xml:space="preserve">Directly reported in the cited, verified paper.</w:t>
            </w:r>
          </w:p>
        </w:tc>
      </w:tr>
      <w:tr>
        <w:tc>
          <w:tcPr>
            <w:tcW w:type="dxa" w:w="4200"/>
            <w:tcMar>
              <w:top w:type="dxa" w:w="60"/>
              <w:left w:type="dxa" w:w="80"/>
              <w:bottom w:type="dxa" w:w="60"/>
              <w:right w:type="dxa" w:w="80"/>
            </w:tcMar>
            <w:vAlign w:val="center"/>
          </w:tcPr>
          <w:p>
            <w:r>
              <w:rPr>
                <w:b w:val="false"/>
                <w:bCs w:val="false"/>
                <w:sz w:val="18"/>
                <w:szCs w:val="18"/>
              </w:rPr>
              <w:t xml:space="preserve">This protocol is directly reproducible on the specified wafer with no etch-chemistry redesign</w:t>
            </w:r>
          </w:p>
        </w:tc>
        <w:tc>
          <w:tcPr>
            <w:tcW w:type="dxa" w:w="1200"/>
            <w:tcMar>
              <w:top w:type="dxa" w:w="60"/>
              <w:left w:type="dxa" w:w="80"/>
              <w:bottom w:type="dxa" w:w="60"/>
              <w:right w:type="dxa" w:w="80"/>
            </w:tcMar>
            <w:vAlign w:val="center"/>
          </w:tcPr>
          <w:p>
            <w:r>
              <w:rPr>
                <w:b w:val="false"/>
                <w:bCs w:val="false"/>
                <w:sz w:val="18"/>
                <w:szCs w:val="18"/>
              </w:rPr>
              <w:t xml:space="preserve">🟡</w:t>
            </w:r>
          </w:p>
        </w:tc>
        <w:tc>
          <w:tcPr>
            <w:tcW w:type="dxa" w:w="5400"/>
            <w:tcMar>
              <w:top w:type="dxa" w:w="60"/>
              <w:left w:type="dxa" w:w="80"/>
              <w:bottom w:type="dxa" w:w="60"/>
              <w:right w:type="dxa" w:w="80"/>
            </w:tcMar>
            <w:vAlign w:val="center"/>
          </w:tcPr>
          <w:p>
            <w:r>
              <w:rPr>
                <w:b w:val="false"/>
                <w:bCs w:val="false"/>
                <w:sz w:val="18"/>
                <w:szCs w:val="18"/>
              </w:rPr>
              <w:t xml:space="preserve">The published wafer spec closely matches (same doping type/resistivity band) but is not textually identical (exact resistivity, orientation confirmation not all cross-checked); treated as a strong but not 100%-confirmed match.</w:t>
            </w:r>
          </w:p>
        </w:tc>
      </w:tr>
      <w:tr>
        <w:tc>
          <w:tcPr>
            <w:tcW w:type="dxa" w:w="4200"/>
            <w:tcMar>
              <w:top w:type="dxa" w:w="60"/>
              <w:left w:type="dxa" w:w="80"/>
              <w:bottom w:type="dxa" w:w="60"/>
              <w:right w:type="dxa" w:w="80"/>
            </w:tcMar>
            <w:vAlign w:val="center"/>
          </w:tcPr>
          <w:p>
            <w:r>
              <w:rPr>
                <w:b w:val="false"/>
                <w:bCs w:val="false"/>
                <w:sz w:val="18"/>
                <w:szCs w:val="18"/>
              </w:rPr>
              <w:t xml:space="preserve">Ag/porous-Si and Ag/black-Si substrates tolerate real biofluids (blood, CSF, urine) for direct Raman</w:t>
            </w:r>
          </w:p>
        </w:tc>
        <w:tc>
          <w:tcPr>
            <w:tcW w:type="dxa" w:w="1200"/>
            <w:tcMar>
              <w:top w:type="dxa" w:w="60"/>
              <w:left w:type="dxa" w:w="80"/>
              <w:bottom w:type="dxa" w:w="60"/>
              <w:right w:type="dxa" w:w="80"/>
            </w:tcMar>
            <w:vAlign w:val="center"/>
          </w:tcPr>
          <w:p>
            <w:r>
              <w:rPr>
                <w:b w:val="false"/>
                <w:bCs w:val="false"/>
                <w:sz w:val="18"/>
                <w:szCs w:val="18"/>
              </w:rPr>
              <w:t xml:space="preserve">🟡</w:t>
            </w:r>
          </w:p>
        </w:tc>
        <w:tc>
          <w:tcPr>
            <w:tcW w:type="dxa" w:w="5400"/>
            <w:tcMar>
              <w:top w:type="dxa" w:w="60"/>
              <w:left w:type="dxa" w:w="80"/>
              <w:bottom w:type="dxa" w:w="60"/>
              <w:right w:type="dxa" w:w="80"/>
            </w:tcMar>
            <w:vAlign w:val="center"/>
          </w:tcPr>
          <w:p>
            <w:r>
              <w:rPr>
                <w:b w:val="false"/>
                <w:bCs w:val="false"/>
                <w:sz w:val="18"/>
                <w:szCs w:val="18"/>
              </w:rPr>
              <w:t xml:space="preserve">Reported in studies cited within the Padrez &amp; Golubewa 2024 review, not independently re-verified in primary form in this pass.</w:t>
            </w:r>
          </w:p>
        </w:tc>
      </w:tr>
      <w:tr>
        <w:tc>
          <w:tcPr>
            <w:tcW w:type="dxa" w:w="4200"/>
            <w:tcMar>
              <w:top w:type="dxa" w:w="60"/>
              <w:left w:type="dxa" w:w="80"/>
              <w:bottom w:type="dxa" w:w="60"/>
              <w:right w:type="dxa" w:w="80"/>
            </w:tcMar>
            <w:vAlign w:val="center"/>
          </w:tcPr>
          <w:p>
            <w:r>
              <w:rPr>
                <w:b w:val="false"/>
                <w:bCs w:val="false"/>
                <w:sz w:val="18"/>
                <w:szCs w:val="18"/>
              </w:rPr>
              <w:t xml:space="preserve">A boronic-acid SAM is the correct minimal capture chemistry for a small carbohydrate on a metal SERS surface</w:t>
            </w:r>
          </w:p>
        </w:tc>
        <w:tc>
          <w:tcPr>
            <w:tcW w:type="dxa" w:w="1200"/>
            <w:tcMar>
              <w:top w:type="dxa" w:w="60"/>
              <w:left w:type="dxa" w:w="80"/>
              <w:bottom w:type="dxa" w:w="60"/>
              <w:right w:type="dxa" w:w="80"/>
            </w:tcMar>
            <w:vAlign w:val="center"/>
          </w:tcPr>
          <w:p>
            <w:r>
              <w:rPr>
                <w:b w:val="false"/>
                <w:bCs w:val="false"/>
                <w:sz w:val="18"/>
                <w:szCs w:val="18"/>
              </w:rPr>
              <w:t xml:space="preserve">🟡</w:t>
            </w:r>
          </w:p>
        </w:tc>
        <w:tc>
          <w:tcPr>
            <w:tcW w:type="dxa" w:w="5400"/>
            <w:tcMar>
              <w:top w:type="dxa" w:w="60"/>
              <w:left w:type="dxa" w:w="80"/>
              <w:bottom w:type="dxa" w:w="60"/>
              <w:right w:type="dxa" w:w="80"/>
            </w:tcMar>
            <w:vAlign w:val="center"/>
          </w:tcPr>
          <w:p>
            <w:r>
              <w:rPr>
                <w:b w:val="false"/>
                <w:bCs w:val="false"/>
                <w:sz w:val="18"/>
                <w:szCs w:val="18"/>
              </w:rPr>
              <w:t xml:space="preserve">Directly demonstrated for glucose/Au (Gonzalez-Rodriguez et al. 2024); extrapolated to NAM/Ag by chemical analogy (shared diol chemistry), not tested on NAM.</w:t>
            </w:r>
          </w:p>
        </w:tc>
      </w:tr>
      <w:tr>
        <w:tc>
          <w:tcPr>
            <w:tcW w:type="dxa" w:w="4200"/>
            <w:tcMar>
              <w:top w:type="dxa" w:w="60"/>
              <w:left w:type="dxa" w:w="80"/>
              <w:bottom w:type="dxa" w:w="60"/>
              <w:right w:type="dxa" w:w="80"/>
            </w:tcMar>
            <w:vAlign w:val="center"/>
          </w:tcPr>
          <w:p>
            <w:r>
              <w:rPr>
                <w:b w:val="false"/>
                <w:bCs w:val="false"/>
                <w:sz w:val="18"/>
                <w:szCs w:val="18"/>
              </w:rPr>
              <w:t xml:space="preserve">Bare Ag alone will be insufficient for pure NAM detection</w:t>
            </w:r>
          </w:p>
        </w:tc>
        <w:tc>
          <w:tcPr>
            <w:tcW w:type="dxa" w:w="1200"/>
            <w:tcMar>
              <w:top w:type="dxa" w:w="60"/>
              <w:left w:type="dxa" w:w="80"/>
              <w:bottom w:type="dxa" w:w="60"/>
              <w:right w:type="dxa" w:w="80"/>
            </w:tcMar>
            <w:vAlign w:val="center"/>
          </w:tcPr>
          <w:p>
            <w:r>
              <w:rPr>
                <w:b w:val="false"/>
                <w:bCs w:val="false"/>
                <w:sz w:val="18"/>
                <w:szCs w:val="18"/>
              </w:rPr>
              <w:t xml:space="preserve">🔵</w:t>
            </w:r>
          </w:p>
        </w:tc>
        <w:tc>
          <w:tcPr>
            <w:tcW w:type="dxa" w:w="5400"/>
            <w:tcMar>
              <w:top w:type="dxa" w:w="60"/>
              <w:left w:type="dxa" w:w="80"/>
              <w:bottom w:type="dxa" w:w="60"/>
              <w:right w:type="dxa" w:w="80"/>
            </w:tcMar>
            <w:vAlign w:val="center"/>
          </w:tcPr>
          <w:p>
            <w:r>
              <w:rPr>
                <w:b w:val="false"/>
                <w:bCs w:val="false"/>
                <w:sz w:val="18"/>
                <w:szCs w:val="18"/>
              </w:rPr>
              <w:t xml:space="preserve">Reasoned inference from (a) NAM's lack of a strong chemisorptive anchor and (b) the glucose/bare-metal precedent; not tested.</w:t>
            </w:r>
          </w:p>
        </w:tc>
      </w:tr>
      <w:tr>
        <w:tc>
          <w:tcPr>
            <w:tcW w:type="dxa" w:w="4200"/>
            <w:tcMar>
              <w:top w:type="dxa" w:w="60"/>
              <w:left w:type="dxa" w:w="80"/>
              <w:bottom w:type="dxa" w:w="60"/>
              <w:right w:type="dxa" w:w="80"/>
            </w:tcMar>
            <w:vAlign w:val="center"/>
          </w:tcPr>
          <w:p>
            <w:r>
              <w:rPr>
                <w:b w:val="false"/>
                <w:bCs w:val="false"/>
                <w:sz w:val="18"/>
                <w:szCs w:val="18"/>
              </w:rPr>
              <w:t xml:space="preserve">NAM hydrated size is ~1–2 nm</w:t>
            </w:r>
          </w:p>
        </w:tc>
        <w:tc>
          <w:tcPr>
            <w:tcW w:type="dxa" w:w="1200"/>
            <w:tcMar>
              <w:top w:type="dxa" w:w="60"/>
              <w:left w:type="dxa" w:w="80"/>
              <w:bottom w:type="dxa" w:w="60"/>
              <w:right w:type="dxa" w:w="80"/>
            </w:tcMar>
            <w:vAlign w:val="center"/>
          </w:tcPr>
          <w:p>
            <w:r>
              <w:rPr>
                <w:b w:val="false"/>
                <w:bCs w:val="false"/>
                <w:sz w:val="18"/>
                <w:szCs w:val="18"/>
              </w:rPr>
              <w:t xml:space="preserve">🔵</w:t>
            </w:r>
          </w:p>
        </w:tc>
        <w:tc>
          <w:tcPr>
            <w:tcW w:type="dxa" w:w="5400"/>
            <w:tcMar>
              <w:top w:type="dxa" w:w="60"/>
              <w:left w:type="dxa" w:w="80"/>
              <w:bottom w:type="dxa" w:w="60"/>
              <w:right w:type="dxa" w:w="80"/>
            </w:tcMar>
            <w:vAlign w:val="center"/>
          </w:tcPr>
          <w:p>
            <w:r>
              <w:rPr>
                <w:b w:val="false"/>
                <w:bCs w:val="false"/>
                <w:sz w:val="18"/>
                <w:szCs w:val="18"/>
              </w:rPr>
              <w:t xml:space="preserve">Estimated by scaling from comparable small sugars; no direct measurement located.</w:t>
            </w:r>
          </w:p>
        </w:tc>
      </w:tr>
      <w:tr>
        <w:tc>
          <w:tcPr>
            <w:tcW w:type="dxa" w:w="4200"/>
            <w:tcMar>
              <w:top w:type="dxa" w:w="60"/>
              <w:left w:type="dxa" w:w="80"/>
              <w:bottom w:type="dxa" w:w="60"/>
              <w:right w:type="dxa" w:w="80"/>
            </w:tcMar>
            <w:vAlign w:val="center"/>
          </w:tcPr>
          <w:p>
            <w:r>
              <w:rPr>
                <w:b w:val="false"/>
                <w:bCs w:val="false"/>
                <w:sz w:val="18"/>
                <w:szCs w:val="18"/>
              </w:rPr>
              <w:t xml:space="preserve">Predicted NAM Raman/SERS peak positions (amide I/II, ring C–O–C, carboxylate)</w:t>
            </w:r>
          </w:p>
        </w:tc>
        <w:tc>
          <w:tcPr>
            <w:tcW w:type="dxa" w:w="1200"/>
            <w:tcMar>
              <w:top w:type="dxa" w:w="60"/>
              <w:left w:type="dxa" w:w="80"/>
              <w:bottom w:type="dxa" w:w="60"/>
              <w:right w:type="dxa" w:w="80"/>
            </w:tcMar>
            <w:vAlign w:val="center"/>
          </w:tcPr>
          <w:p>
            <w:r>
              <w:rPr>
                <w:b w:val="false"/>
                <w:bCs w:val="false"/>
                <w:sz w:val="18"/>
                <w:szCs w:val="18"/>
              </w:rPr>
              <w:t xml:space="preserve">🔵</w:t>
            </w:r>
          </w:p>
        </w:tc>
        <w:tc>
          <w:tcPr>
            <w:tcW w:type="dxa" w:w="5400"/>
            <w:tcMar>
              <w:top w:type="dxa" w:w="60"/>
              <w:left w:type="dxa" w:w="80"/>
              <w:bottom w:type="dxa" w:w="60"/>
              <w:right w:type="dxa" w:w="80"/>
            </w:tcMar>
            <w:vAlign w:val="center"/>
          </w:tcPr>
          <w:p>
            <w:r>
              <w:rPr>
                <w:b w:val="false"/>
                <w:bCs w:val="false"/>
                <w:sz w:val="18"/>
                <w:szCs w:val="18"/>
              </w:rPr>
              <w:t xml:space="preserve">Inferred from NAM's known chemical structure and general vibrational correlation tables; no published NAM Raman spectrum exists to confirm.</w:t>
            </w:r>
          </w:p>
        </w:tc>
      </w:tr>
      <w:tr>
        <w:tc>
          <w:tcPr>
            <w:tcW w:type="dxa" w:w="4200"/>
            <w:tcMar>
              <w:top w:type="dxa" w:w="60"/>
              <w:left w:type="dxa" w:w="80"/>
              <w:bottom w:type="dxa" w:w="60"/>
              <w:right w:type="dxa" w:w="80"/>
            </w:tcMar>
            <w:vAlign w:val="center"/>
          </w:tcPr>
          <w:p>
            <w:r>
              <w:rPr>
                <w:b w:val="false"/>
                <w:bCs w:val="false"/>
                <w:sz w:val="18"/>
                <w:szCs w:val="18"/>
              </w:rPr>
              <w:t xml:space="preserve">5–20 nm Ag inter-particle gaps are near-optimal for hotspot field enhancement while remaining accessible to a ~1–2 nm analyte</w:t>
            </w:r>
          </w:p>
        </w:tc>
        <w:tc>
          <w:tcPr>
            <w:tcW w:type="dxa" w:w="1200"/>
            <w:tcMar>
              <w:top w:type="dxa" w:w="60"/>
              <w:left w:type="dxa" w:w="80"/>
              <w:bottom w:type="dxa" w:w="60"/>
              <w:right w:type="dxa" w:w="80"/>
            </w:tcMar>
            <w:vAlign w:val="center"/>
          </w:tcPr>
          <w:p>
            <w:r>
              <w:rPr>
                <w:b w:val="false"/>
                <w:bCs w:val="false"/>
                <w:sz w:val="18"/>
                <w:szCs w:val="18"/>
              </w:rPr>
              <w:t xml:space="preserve">🟡 / 🔵</w:t>
            </w:r>
          </w:p>
        </w:tc>
        <w:tc>
          <w:tcPr>
            <w:tcW w:type="dxa" w:w="5400"/>
            <w:tcMar>
              <w:top w:type="dxa" w:w="60"/>
              <w:left w:type="dxa" w:w="80"/>
              <w:bottom w:type="dxa" w:w="60"/>
              <w:right w:type="dxa" w:w="80"/>
            </w:tcMar>
            <w:vAlign w:val="center"/>
          </w:tcPr>
          <w:p>
            <w:r>
              <w:rPr>
                <w:b w:val="false"/>
                <w:bCs w:val="false"/>
                <w:sz w:val="18"/>
                <w:szCs w:val="18"/>
              </w:rPr>
              <w:t xml:space="preserve">Gap-size/EF relationship is 🟡 (from Hoang et al. 2025, a different but related substrate); accessibility conclusion for NAM specifically is 🔵 inference.</w:t>
            </w:r>
          </w:p>
        </w:tc>
      </w:tr>
      <w:tr>
        <w:tc>
          <w:tcPr>
            <w:tcW w:type="dxa" w:w="4200"/>
            <w:tcMar>
              <w:top w:type="dxa" w:w="60"/>
              <w:left w:type="dxa" w:w="80"/>
              <w:bottom w:type="dxa" w:w="60"/>
              <w:right w:type="dxa" w:w="80"/>
            </w:tcMar>
            <w:vAlign w:val="center"/>
          </w:tcPr>
          <w:p>
            <w:r>
              <w:rPr>
                <w:b w:val="false"/>
                <w:bCs w:val="false"/>
                <w:sz w:val="18"/>
                <w:szCs w:val="18"/>
              </w:rPr>
              <w:t xml:space="preserve">Any specific NAM LOD, EF, or reproducibility (RSD) value</w:t>
            </w:r>
          </w:p>
        </w:tc>
        <w:tc>
          <w:tcPr>
            <w:tcW w:type="dxa" w:w="1200"/>
            <w:tcMar>
              <w:top w:type="dxa" w:w="60"/>
              <w:left w:type="dxa" w:w="80"/>
              <w:bottom w:type="dxa" w:w="60"/>
              <w:right w:type="dxa" w:w="80"/>
            </w:tcMar>
            <w:vAlign w:val="center"/>
          </w:tcPr>
          <w:p>
            <w:r>
              <w:rPr>
                <w:b w:val="false"/>
                <w:bCs w:val="false"/>
                <w:sz w:val="18"/>
                <w:szCs w:val="18"/>
              </w:rPr>
              <w:t xml:space="preserve">❌ (until measured)</w:t>
            </w:r>
          </w:p>
        </w:tc>
        <w:tc>
          <w:tcPr>
            <w:tcW w:type="dxa" w:w="5400"/>
            <w:tcMar>
              <w:top w:type="dxa" w:w="60"/>
              <w:left w:type="dxa" w:w="80"/>
              <w:bottom w:type="dxa" w:w="60"/>
              <w:right w:type="dxa" w:w="80"/>
            </w:tcMar>
            <w:vAlign w:val="center"/>
          </w:tcPr>
          <w:p>
            <w:r>
              <w:rPr>
                <w:b w:val="false"/>
                <w:bCs w:val="false"/>
                <w:sz w:val="18"/>
                <w:szCs w:val="18"/>
              </w:rPr>
              <w:t xml:space="preserve">No such data exists in the literature; explicitly flagged wherever the report might otherwise imply a number.</w:t>
            </w:r>
          </w:p>
        </w:tc>
      </w:tr>
      <w:tr>
        <w:tc>
          <w:tcPr>
            <w:tcW w:type="dxa" w:w="4200"/>
            <w:tcMar>
              <w:top w:type="dxa" w:w="60"/>
              <w:left w:type="dxa" w:w="80"/>
              <w:bottom w:type="dxa" w:w="60"/>
              <w:right w:type="dxa" w:w="80"/>
            </w:tcMar>
            <w:vAlign w:val="center"/>
          </w:tcPr>
          <w:p>
            <w:r>
              <w:rPr>
                <w:b w:val="false"/>
                <w:bCs w:val="false"/>
                <w:sz w:val="18"/>
                <w:szCs w:val="18"/>
              </w:rPr>
              <w:t xml:space="preserve">MIP or antibody/aptamer-based NAM capture chemistries</w:t>
            </w:r>
          </w:p>
        </w:tc>
        <w:tc>
          <w:tcPr>
            <w:tcW w:type="dxa" w:w="1200"/>
            <w:tcMar>
              <w:top w:type="dxa" w:w="60"/>
              <w:left w:type="dxa" w:w="80"/>
              <w:bottom w:type="dxa" w:w="60"/>
              <w:right w:type="dxa" w:w="80"/>
            </w:tcMar>
            <w:vAlign w:val="center"/>
          </w:tcPr>
          <w:p>
            <w:r>
              <w:rPr>
                <w:b w:val="false"/>
                <w:bCs w:val="false"/>
                <w:sz w:val="18"/>
                <w:szCs w:val="18"/>
              </w:rPr>
              <w:t xml:space="preserve">❌ (for NAM specifically) / 🟡 (as general classes for other analytes)</w:t>
            </w:r>
          </w:p>
        </w:tc>
        <w:tc>
          <w:tcPr>
            <w:tcW w:type="dxa" w:w="5400"/>
            <w:tcMar>
              <w:top w:type="dxa" w:w="60"/>
              <w:left w:type="dxa" w:w="80"/>
              <w:bottom w:type="dxa" w:w="60"/>
              <w:right w:type="dxa" w:w="80"/>
            </w:tcMar>
            <w:vAlign w:val="center"/>
          </w:tcPr>
          <w:p>
            <w:r>
              <w:rPr>
                <w:b w:val="false"/>
                <w:bCs w:val="false"/>
                <w:sz w:val="18"/>
                <w:szCs w:val="18"/>
              </w:rPr>
              <w:t xml:space="preserve">No NAM-specific study located; included only as later-stage options, not as the recommended first step.</w:t>
            </w:r>
          </w:p>
        </w:tc>
      </w:tr>
      <w:tr>
        <w:tc>
          <w:tcPr>
            <w:tcW w:type="dxa" w:w="4200"/>
            <w:tcMar>
              <w:top w:type="dxa" w:w="60"/>
              <w:left w:type="dxa" w:w="80"/>
              <w:bottom w:type="dxa" w:w="60"/>
              <w:right w:type="dxa" w:w="80"/>
            </w:tcMar>
            <w:vAlign w:val="center"/>
          </w:tcPr>
          <w:p>
            <w:r>
              <w:rPr>
                <w:b w:val="false"/>
                <w:bCs w:val="false"/>
                <w:sz w:val="18"/>
                <w:szCs w:val="18"/>
              </w:rPr>
              <w:t xml:space="preserve">Plasma/whole-blood protein fouling will substantially raise LOD</w:t>
            </w:r>
          </w:p>
        </w:tc>
        <w:tc>
          <w:tcPr>
            <w:tcW w:type="dxa" w:w="1200"/>
            <w:tcMar>
              <w:top w:type="dxa" w:w="60"/>
              <w:left w:type="dxa" w:w="80"/>
              <w:bottom w:type="dxa" w:w="60"/>
              <w:right w:type="dxa" w:w="80"/>
            </w:tcMar>
            <w:vAlign w:val="center"/>
          </w:tcPr>
          <w:p>
            <w:r>
              <w:rPr>
                <w:b w:val="false"/>
                <w:bCs w:val="false"/>
                <w:sz w:val="18"/>
                <w:szCs w:val="18"/>
              </w:rPr>
              <w:t xml:space="preserve">🟡</w:t>
            </w:r>
          </w:p>
        </w:tc>
        <w:tc>
          <w:tcPr>
            <w:tcW w:type="dxa" w:w="5400"/>
            <w:tcMar>
              <w:top w:type="dxa" w:w="60"/>
              <w:left w:type="dxa" w:w="80"/>
              <w:bottom w:type="dxa" w:w="60"/>
              <w:right w:type="dxa" w:w="80"/>
            </w:tcMar>
            <w:vAlign w:val="center"/>
          </w:tcPr>
          <w:p>
            <w:r>
              <w:rPr>
                <w:b w:val="false"/>
                <w:bCs w:val="false"/>
                <w:sz w:val="18"/>
                <w:szCs w:val="18"/>
              </w:rPr>
              <w:t xml:space="preserve">Well-established general challenge in SERS/blood biosensing literature; direction of the effect is well supported even though NAM-specific magnitude is unknown.</w:t>
            </w:r>
          </w:p>
        </w:tc>
      </w:tr>
    </w:tbl>
    <w:p>
      <w:pPr>
        <w:pStyle w:val="Heading1"/>
        <w:spacing w:after="200" w:before="400"/>
      </w:pPr>
      <w:r>
        <w:t xml:space="preserve">Part 12 — Final Recommendation</w:t>
      </w:r>
    </w:p>
    <w:p>
      <w:pPr>
        <w:pStyle w:val="Heading3"/>
        <w:spacing w:after="120" w:before="240"/>
      </w:pPr>
      <w:r>
        <w:t xml:space="preserve">1. Which published Ag/Black-Silicon fabrication protocol should be reproduced exactly?</w:t>
      </w:r>
    </w:p>
    <w:p>
      <w:pPr>
        <w:spacing w:after="160"/>
      </w:pPr>
      <w:r>
        <w:t xml:space="preserve">Bai, Du, Wang, Wu &amp; Sugioka, Nanomaterials 2019, 9(11), 1531 (DOI 10.3390/nano9111531): MACE nanowire formation (HF/AgNO₃ nucleation → HF/H₂O₂ etch → HNO₃ Ag strip) followed by UV photonic-reduction deposition of citrate-capped Ag nanoparticles. ✅ chosen primarily because it was demonstrated on n-type, 1–10 Ω·cm silicon — matching the specified wafer's doping type and resistivity band — and reports a high, reproducible EF with a fully disclosed, cleanroom-reproducible wet-chemistry recipe.</w:t>
      </w:r>
    </w:p>
    <w:p>
      <w:pPr>
        <w:pStyle w:val="Heading3"/>
        <w:spacing w:after="120" w:before="240"/>
      </w:pPr>
      <w:r>
        <w:t xml:space="preserve">2. Which fabrication parameters should never be changed (initially)?</w:t>
      </w:r>
    </w:p>
    <w:p>
      <w:pPr>
        <w:pStyle w:val="ListParagraph"/>
        <w:numPr>
          <w:ilvl w:val="0"/>
          <w:numId w:val="1"/>
        </w:numPr>
        <w:spacing w:after="100"/>
      </w:pPr>
      <w:r>
        <w:t xml:space="preserve">HF concentration and Ag⁺ concentration in the nucleation bath (4.8 M HF / 0.005 M AgNO₃) — these set the nucleation density that templates the entire nanowire array. ✅</w:t>
      </w:r>
    </w:p>
    <w:p>
      <w:pPr>
        <w:pStyle w:val="ListParagraph"/>
        <w:numPr>
          <w:ilvl w:val="0"/>
          <w:numId w:val="1"/>
        </w:numPr>
        <w:spacing w:after="100"/>
      </w:pPr>
      <w:r>
        <w:t xml:space="preserve">HF/H₂O₂ ratio in the etch bath (4.8 M HF / 0.1 M H₂O₂) — this ratio is what makes the etch anisotropic rather than isotropic; changing it risks losing the nanowire morphology entirely. ✅</w:t>
      </w:r>
    </w:p>
    <w:p>
      <w:pPr>
        <w:pStyle w:val="ListParagraph"/>
        <w:numPr>
          <w:ilvl w:val="0"/>
          <w:numId w:val="1"/>
        </w:numPr>
        <w:spacing w:after="100"/>
      </w:pPr>
      <w:r>
        <w:t xml:space="preserve">The photonic-reduction citrate/AgNO₃/HF recipe composition — controls Ag nanoparticle nucleation chemistry and stability. ✅ (UV exposure time, by contrast, is an intended tuning knob — see below).</w:t>
      </w:r>
    </w:p>
    <w:p>
      <w:pPr>
        <w:pStyle w:val="Heading3"/>
        <w:spacing w:after="120" w:before="240"/>
      </w:pPr>
      <w:r>
        <w:t xml:space="preserve">3. Which parameters may be optimized later?</w:t>
      </w:r>
    </w:p>
    <w:p>
      <w:pPr>
        <w:pStyle w:val="ListParagraph"/>
        <w:numPr>
          <w:ilvl w:val="0"/>
          <w:numId w:val="1"/>
        </w:numPr>
        <w:spacing w:after="100"/>
      </w:pPr>
      <w:r>
        <w:t xml:space="preserve">UV photoreduction exposure time (2–10 min), to tune final Ag nanoparticle size/gap spacing (Part 4, Part 9 Step 4). 🔵</w:t>
      </w:r>
    </w:p>
    <w:p>
      <w:pPr>
        <w:pStyle w:val="ListParagraph"/>
        <w:numPr>
          <w:ilvl w:val="0"/>
          <w:numId w:val="1"/>
        </w:numPr>
        <w:spacing w:after="100"/>
      </w:pPr>
      <w:r>
        <w:t xml:space="preserve">Etch time (nanowire length) and, more cautiously, the base nucleation Ag⁺ concentration/time (pitch), only after chemistry-level optimization is exhausted (Part 9 Step 5). 🔵</w:t>
      </w:r>
    </w:p>
    <w:p>
      <w:pPr>
        <w:pStyle w:val="ListParagraph"/>
        <w:numPr>
          <w:ilvl w:val="0"/>
          <w:numId w:val="1"/>
        </w:numPr>
        <w:spacing w:after="100"/>
      </w:pPr>
      <w:r>
        <w:t xml:space="preserve">Surface chemistry layer (bare Ag → boronic-acid SAM → mixed boronic-acid/PEG SAM), the primary and most literature-supported optimization axis for this specific analyte. 🟡</w:t>
      </w:r>
    </w:p>
    <w:p>
      <w:pPr>
        <w:pStyle w:val="Heading3"/>
        <w:spacing w:after="120" w:before="240"/>
      </w:pPr>
      <w:r>
        <w:t xml:space="preserve">4. Can this sensor realistically detect pure NAM?</w:t>
      </w:r>
    </w:p>
    <w:p>
      <w:pPr>
        <w:spacing w:after="160"/>
      </w:pPr>
      <w:r>
        <w:t xml:space="preserve">Plausible but unproven. The fabrication route is well precedented and should reliably reproduce literature-level SERS performance on standard test molecules (R6G, dopamine) — that part of the plan rests on ✅ evidence. Whether the resulting substrate, with or without a boronic-acid capture layer, can detect pure NAM at a useful concentration is an open experimental question (❌ for any specific numeric claim), though the chemical reasoning and the closest available analog (glucose/boronic-acid/Au) both support (🟡) feasibility in principle, provided a capture chemistry is added rather than relying on bare Ag.</w:t>
      </w:r>
    </w:p>
    <w:p>
      <w:pPr>
        <w:pStyle w:val="Heading3"/>
        <w:spacing w:after="120" w:before="240"/>
      </w:pPr>
      <w:r>
        <w:t xml:space="preserve">5. What are the biggest scientific risks?</w:t>
      </w:r>
    </w:p>
    <w:p>
      <w:pPr>
        <w:pStyle w:val="ListParagraph"/>
        <w:numPr>
          <w:ilvl w:val="0"/>
          <w:numId w:val="1"/>
        </w:numPr>
        <w:spacing w:after="100"/>
      </w:pPr>
      <w:r>
        <w:t xml:space="preserve">No direct literature precedent exists for NAM SERS on any substrate — every quantitative outcome (LOD, EF, peak positions) must be established from scratch. ❌ risk of the whole analyte class simply being SERS-difficult (weak, non-resonant, small, low-polarizability functional groups) even with a capture layer.</w:t>
      </w:r>
    </w:p>
    <w:p>
      <w:pPr>
        <w:pStyle w:val="ListParagraph"/>
        <w:numPr>
          <w:ilvl w:val="0"/>
          <w:numId w:val="1"/>
        </w:numPr>
        <w:spacing w:after="100"/>
      </w:pPr>
      <w:r>
        <w:t xml:space="preserve">Boronic-acid chemistry is not NAM-selective — it binds any cis-diol, so cross-reactivity with glucose and other blood sugars is a first-order selectivity risk for the later translation stages (Part 10). 🟡</w:t>
      </w:r>
    </w:p>
    <w:p>
      <w:pPr>
        <w:pStyle w:val="ListParagraph"/>
        <w:numPr>
          <w:ilvl w:val="0"/>
          <w:numId w:val="1"/>
        </w:numPr>
        <w:spacing w:after="100"/>
      </w:pPr>
      <w:r>
        <w:t xml:space="preserve">Ag surface stability/storage (oxidation, sulfidation) could undermine reproducibility if storage practice (Part 2, step 11) is not tightly controlled — this is a 🟡/🔵 risk inferred from the base paper's demonstrated need for a UV-cleaning reuse protocol.</w:t>
      </w:r>
    </w:p>
    <w:p>
      <w:pPr>
        <w:pStyle w:val="ListParagraph"/>
        <w:numPr>
          <w:ilvl w:val="0"/>
          <w:numId w:val="1"/>
        </w:numPr>
        <w:spacing w:after="100"/>
      </w:pPr>
      <w:r>
        <w:t xml:space="preserve">High-aspect-ratio nanowire collapse during drying is a well-known general failure mode for this substrate family and could silently degrade batch-to-batch reproducibility if not explicitly controlled for (Part 2, step 9). 🔵</w:t>
      </w:r>
    </w:p>
    <w:p>
      <w:pPr>
        <w:pStyle w:val="Heading3"/>
        <w:spacing w:after="120" w:before="240"/>
      </w:pPr>
      <w:r>
        <w:t xml:space="preserve">6. What experiments should be performed first, before attempting blood samples?</w:t>
      </w:r>
    </w:p>
    <w:p>
      <w:pPr>
        <w:pStyle w:val="ListParagraph"/>
        <w:numPr>
          <w:ilvl w:val="0"/>
          <w:numId w:val="1"/>
        </w:numPr>
        <w:spacing w:after="100"/>
      </w:pPr>
      <w:r>
        <w:t xml:space="preserve">Reproduce the base fabrication and validate with R6G against the literature EF/LOD benchmark (Stage 1, Part 8).</w:t>
      </w:r>
    </w:p>
    <w:p>
      <w:pPr>
        <w:pStyle w:val="ListParagraph"/>
        <w:numPr>
          <w:ilvl w:val="0"/>
          <w:numId w:val="1"/>
        </w:numPr>
        <w:spacing w:after="100"/>
      </w:pPr>
      <w:r>
        <w:t xml:space="preserve">Test pure NAM in water on bare Ag as the null/control experiment (Part 5, Part 9 Step 0).</w:t>
      </w:r>
    </w:p>
    <w:p>
      <w:pPr>
        <w:pStyle w:val="ListParagraph"/>
        <w:numPr>
          <w:ilvl w:val="0"/>
          <w:numId w:val="1"/>
        </w:numPr>
        <w:spacing w:after="100"/>
      </w:pPr>
      <w:r>
        <w:t xml:space="preserve">If negative/weak, add the boronic-acid SAM and re-test pure NAM in water (Part 9 Step 2) — establish a working NAM SERS spectrum and, ideally, a DFT-computed reference spectrum for peak assignment (Part 8).</w:t>
      </w:r>
    </w:p>
    <w:p>
      <w:pPr>
        <w:pStyle w:val="ListParagraph"/>
        <w:numPr>
          <w:ilvl w:val="0"/>
          <w:numId w:val="1"/>
        </w:numPr>
        <w:spacing w:after="100"/>
      </w:pPr>
      <w:r>
        <w:t xml:space="preserve">Establish a NAM concentration–response (working) curve in water to obtain the first real LOD/EF numbers for this analyte.</w:t>
      </w:r>
    </w:p>
    <w:p>
      <w:pPr>
        <w:pStyle w:val="ListParagraph"/>
        <w:numPr>
          <w:ilvl w:val="0"/>
          <w:numId w:val="1"/>
        </w:numPr>
        <w:spacing w:after="100"/>
      </w:pPr>
      <w:r>
        <w:t xml:space="preserve">Only after a validated, reproducible pure-water NAM signal exists, proceed stepwise through lysate → culture supernatant → plasma (Part 10), each with matched spike-recovery controls, before any whole-blood or clinical-sample work.</w:t>
      </w:r>
    </w:p>
    <w:p>
      <w:pPr>
        <w:pStyle w:val="Heading3"/>
        <w:spacing w:after="120" w:before="240"/>
      </w:pPr>
      <w:r>
        <w:t xml:space="preserve">7. What evidence supports every recommendation?</w:t>
      </w:r>
    </w:p>
    <w:p>
      <w:pPr>
        <w:spacing w:after="160"/>
      </w:pPr>
      <w:r>
        <w:t xml:space="preserve">Every recommendation above is traceable to the tag assigned to it earlier in this report (Part 11 table); recommendations tagged ✅ are direct, verified literature results (fabrication protocol and its demonstrated performance); recommendations tagged 🟡 are literature-supported by close analogy (chiefly the glucose/boronic-acid precedent and general black-Si/biofluid tolerance literature); recommendations tagged 🔵 are this report's own engineering reasoning, offered as a starting hypothesis; and every place a specific NAM performance number might have been implied, it is instead explicitly marked ❌ and identified as an experiment yet to be run.</w:t>
      </w:r>
    </w:p>
    <w:p>
      <w:pPr>
        <w:pStyle w:val="Heading1"/>
        <w:spacing w:after="200" w:before="400"/>
      </w:pPr>
      <w:r>
        <w:t xml:space="preserve">References</w:t>
      </w:r>
    </w:p>
    <w:p>
      <w:pPr>
        <w:pStyle w:val="ListParagraph"/>
        <w:numPr>
          <w:ilvl w:val="0"/>
          <w:numId w:val="1"/>
        </w:numPr>
        <w:spacing w:after="100"/>
      </w:pPr>
      <w:r>
        <w:t xml:space="preserve">Bai, S.; Du, Y.; Wang, C.; Wu, J.; Sugioka, K. Reusable Surface-Enhanced Raman Spectroscopy Substrates Made of Silicon Nanowire Array Coated with Silver Nanoparticles Fabricated by Metal-Assisted Chemical Etching and Photonic Reduction. Nanomaterials 2019, 9(11), 1531. https://doi.org/10.3390/nano9111531</w:t>
      </w:r>
    </w:p>
    <w:p>
      <w:pPr>
        <w:pStyle w:val="ListParagraph"/>
        <w:numPr>
          <w:ilvl w:val="0"/>
          <w:numId w:val="1"/>
        </w:numPr>
        <w:spacing w:after="100"/>
      </w:pPr>
      <w:r>
        <w:t xml:space="preserve">Padrez, Y.; Golubewa, L. Black Silicon Surface-Enhanced Raman Spectroscopy Biosensors: Current Advances and Prospects. Biosensors 2024, 14(10), 453. https://doi.org/10.3390/bios14100453</w:t>
      </w:r>
    </w:p>
    <w:p>
      <w:pPr>
        <w:pStyle w:val="ListParagraph"/>
        <w:numPr>
          <w:ilvl w:val="0"/>
          <w:numId w:val="1"/>
        </w:numPr>
        <w:spacing w:after="100"/>
      </w:pPr>
      <w:r>
        <w:t xml:space="preserve">Hoang, M.T.; Bui, H.; Hoang, T.H.C.; Pham, V.H.; Loan, N.T.; Le, L.V.; Pham, T.B.; Duc, C.V.; Do, T.C.; Kim, T.J.; Pham, V.H.; Nguyen, T.V. Silver Nanoparticles-Decorated Porous Silicon Microcavity as a High-Performance SERS Substrate for Ultrasensitive Detection of Trace-Level Molecules. Nanomaterials 2025, 15(13), 1007. https://doi.org/10.3390/nano15131007</w:t>
      </w:r>
    </w:p>
    <w:p>
      <w:pPr>
        <w:pStyle w:val="ListParagraph"/>
        <w:numPr>
          <w:ilvl w:val="0"/>
          <w:numId w:val="1"/>
        </w:numPr>
        <w:spacing w:after="100"/>
      </w:pPr>
      <w:r>
        <w:t xml:space="preserve">Gonzalez-Rodriguez, R.; Hathaway, E.; Coffer, J.L.; del Castillo, R.M.; Lin, Y.; Cui, J. Gold Nanoparticles in Porous Silicon Nanotubes for Glucose Detection. Chemosensors 2024, 12(4), 63. https://doi.org/10.3390/chemosensors12040063</w:t>
      </w:r>
    </w:p>
    <w:p>
      <w:pPr>
        <w:pStyle w:val="ListParagraph"/>
        <w:numPr>
          <w:ilvl w:val="0"/>
          <w:numId w:val="1"/>
        </w:numPr>
        <w:spacing w:after="100"/>
      </w:pPr>
      <w:r>
        <w:t xml:space="preserve">Wang, Z.; Zhu, Q.; Wang, Y.; Dou, S.; Chen, Q.; Lu, N. Silver-nanoparticle-grafted silicon nanocones for reproducible Raman detection of trace contaminants in complex liquid environments. Spectrochimica Acta Part A: Molecular and Biomolecular Spectroscopy 2021, 251, 119447. https://doi.org/10.1016/j.saa.2021.119447 (title/journal/year/DOI verified via Crossref; full-text methodological details not independently accessed — cited only as a lower-confidence, secondary entry.)</w:t>
      </w:r>
    </w:p>
    <w:p>
      <w:pPr>
        <w:pStyle w:val="ListParagraph"/>
        <w:numPr>
          <w:ilvl w:val="0"/>
          <w:numId w:val="1"/>
        </w:numPr>
        <w:spacing w:after="100"/>
      </w:pPr>
      <w:r>
        <w:t xml:space="preserve">Chartier, C.; Bastide, S.; Lévy-Clément, C. Metal-assisted chemical etching of silicon in HF–H2O2. Electrochimica Acta 2008 (general MACE mechanism reference; cited for the well-established HF/H2O2 MACE reaction chemistry used in Part 3 — mechanism as commonly reported across the MACE literature).</w:t>
      </w:r>
    </w:p>
    <w:p>
      <w:pPr>
        <w:spacing w:after="160"/>
      </w:pPr>
      <w:r>
        <w:rPr>
          <w:i/>
          <w:iCs/>
          <w:color w:val="666666"/>
          <w:sz w:val="18"/>
          <w:szCs w:val="18"/>
        </w:rPr>
        <w:t xml:space="preserve">Note on citation confidence: all DOIs and bibliographic details above were checked against Crossref and/or the publisher's page during this research session (July 2026). Where full-text access was blocked (paywall/robots restrictions), this is explicitly noted rather than the missing detail being filled in from inference.</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Ag/Black-Si SERS Sensor for NAM — Deep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2026-07-29T10:50:44.559Z</dcterms:created>
  <dcterms:modified xsi:type="dcterms:W3CDTF">2026-07-29T10:50:44.559Z</dcterms:modified>
</cp:coreProperties>
</file>

<file path=docProps/custom.xml><?xml version="1.0" encoding="utf-8"?>
<Properties xmlns="http://schemas.openxmlformats.org/officeDocument/2006/custom-properties" xmlns:vt="http://schemas.openxmlformats.org/officeDocument/2006/docPropsVTypes"/>
</file>