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Next Experiment Plan</w:t>
      </w:r>
    </w:p>
    <w:p>
      <w:pPr>
        <w:spacing w:after="120"/>
        <w:jc w:val="center"/>
      </w:pPr>
      <w:r>
        <w:rPr>
          <w:b w:val="0"/>
          <w:i/>
          <w:sz w:val="25"/>
        </w:rPr>
        <w:t>Optimizing Bare Ag/Black-Si Substrates for NAM Detection (No Capture Chemistry)</w:t>
      </w:r>
    </w:p>
    <w:p>
      <w:pPr>
        <w:jc w:val="center"/>
      </w:pPr>
      <w:r>
        <w:rPr>
          <w:color w:val="0E5F6B"/>
        </w:rPr>
        <w:t>____________________________________________________________</w:t>
      </w:r>
    </w:p>
    <w:p/>
    <w:p>
      <w:pPr>
        <w:spacing w:after="120"/>
        <w:jc w:val="center"/>
      </w:pPr>
      <w:r>
        <w:rPr>
          <w:b w:val="0"/>
          <w:i w:val="0"/>
          <w:sz w:val="20"/>
        </w:rPr>
        <w:t>Sukesh P (M24IM1007)  |  IIT Jodhpur &amp; AIIMS Jodhpur Joint IDRP  |  12 August 2026</w:t>
      </w:r>
    </w:p>
    <w:p>
      <w:pPr>
        <w:spacing w:after="120"/>
        <w:jc w:val="center"/>
      </w:pPr>
      <w:r>
        <w:rPr>
          <w:b w:val="0"/>
          <w:i/>
          <w:sz w:val="19"/>
        </w:rPr>
        <w:t>Follow-up to: Experiment_Report_R6G_NAM_2m5m10m_12Aug2026.docx</w:t>
      </w:r>
    </w:p>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Constraint honored throughout this plan: MPBA/boronic-acid capture chemistry is treated as unavailable. Every recommendation below works on bare Ag only.</w:t>
            </w:r>
          </w:p>
        </w:tc>
      </w:tr>
    </w:tbl>
    <w:p>
      <w:pPr>
        <w:spacing w:after="80"/>
      </w:pPr>
    </w:p>
    <w:tbl>
      <w:tblPr>
        <w:tblStyle w:val="TableGrid"/>
        <w:tblW w:type="auto" w:w="0"/>
        <w:tblLook w:firstColumn="1" w:firstRow="1" w:lastColumn="0" w:lastRow="0" w:noHBand="0" w:noVBand="1" w:val="04A0"/>
      </w:tblPr>
      <w:tblGrid>
        <w:gridCol w:w="9749"/>
      </w:tblGrid>
      <w:tr>
        <w:tc>
          <w:tcPr>
            <w:tcW w:type="dxa" w:w="9749"/>
            <w:shd w:val="clear" w:fill="FCEFDD"/>
          </w:tcPr>
          <w:p>
            <w:r/>
            <w:r>
              <w:rPr>
                <w:b/>
                <w:color w:val="B56A0A"/>
                <w:sz w:val="19"/>
              </w:rPr>
              <w:t>MISSING VALUE — A few values needed for a fully locked-in plan were not found in your records (HF stock concentration, exact laser mW, per-file R6G concentration mapping). NAM stock concentration (1 mg/mL, confirmed) is now resolved and used throughout. Remaining gaps are flagged where they matter, with the final list at the end of this document.</w:t>
            </w:r>
          </w:p>
        </w:tc>
      </w:tr>
    </w:tbl>
    <w:p>
      <w:pPr>
        <w:spacing w:after="80"/>
      </w:pPr>
    </w:p>
    <w:p>
      <w:r>
        <w:br w:type="page"/>
      </w:r>
    </w:p>
    <w:p>
      <w:pPr>
        <w:pStyle w:val="Heading1"/>
      </w:pPr>
      <w:r>
        <w:t>1. What Was Done Previously</w:t>
      </w:r>
    </w:p>
    <w:p>
      <w:pPr>
        <w:pStyle w:val="Heading2"/>
      </w:pPr>
      <w:r>
        <w:t>1.1  Instrument (verified from raw CSV metadata)</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2448"/>
            <w:shd w:val="clear" w:fill="0E5F6B"/>
          </w:tcPr>
          <w:p>
            <w:r/>
            <w:r>
              <w:rPr>
                <w:b/>
                <w:color w:val="FFFFFF"/>
                <w:sz w:val="18"/>
              </w:rPr>
              <w:t>Field</w:t>
            </w:r>
          </w:p>
        </w:tc>
        <w:tc>
          <w:tcPr>
            <w:tcW w:type="dxa" w:w="3888"/>
            <w:shd w:val="clear" w:fill="0E5F6B"/>
          </w:tcPr>
          <w:p>
            <w:r/>
            <w:r>
              <w:rPr>
                <w:b/>
                <w:color w:val="FFFFFF"/>
                <w:sz w:val="18"/>
              </w:rPr>
              <w:t>Value</w:t>
            </w:r>
          </w:p>
        </w:tc>
        <w:tc>
          <w:tcPr>
            <w:tcW w:type="dxa" w:w="3024"/>
            <w:shd w:val="clear" w:fill="0E5F6B"/>
          </w:tcPr>
          <w:p>
            <w:r/>
            <w:r>
              <w:rPr>
                <w:b/>
                <w:color w:val="FFFFFF"/>
                <w:sz w:val="18"/>
              </w:rPr>
              <w:t>Source</w:t>
            </w:r>
          </w:p>
        </w:tc>
      </w:tr>
      <w:tr>
        <w:tc>
          <w:tcPr>
            <w:tcW w:type="dxa" w:w="2448"/>
          </w:tcPr>
          <w:p>
            <w:r/>
            <w:r>
              <w:rPr>
                <w:sz w:val="18"/>
              </w:rPr>
              <w:t>Spectrometer title</w:t>
            </w:r>
          </w:p>
        </w:tc>
        <w:tc>
          <w:tcPr>
            <w:tcW w:type="dxa" w:w="3888"/>
          </w:tcPr>
          <w:p>
            <w:r/>
            <w:r>
              <w:rPr>
                <w:sz w:val="18"/>
              </w:rPr>
              <w:t>BWS465-785H</w:t>
            </w:r>
          </w:p>
        </w:tc>
        <w:tc>
          <w:tcPr>
            <w:tcW w:type="dxa" w:w="3024"/>
          </w:tcPr>
          <w:p>
            <w:r/>
            <w:r>
              <w:rPr>
                <w:sz w:val="18"/>
              </w:rPr>
              <w:t>CSV header field "title"</w:t>
            </w:r>
          </w:p>
        </w:tc>
      </w:tr>
      <w:tr>
        <w:tc>
          <w:tcPr>
            <w:tcW w:type="dxa" w:w="2448"/>
            <w:shd w:val="clear" w:fill="E4EFF0"/>
          </w:tcPr>
          <w:p>
            <w:r/>
            <w:r>
              <w:rPr>
                <w:sz w:val="18"/>
              </w:rPr>
              <w:t>System/probe model</w:t>
            </w:r>
          </w:p>
        </w:tc>
        <w:tc>
          <w:tcPr>
            <w:tcW w:type="dxa" w:w="3888"/>
            <w:shd w:val="clear" w:fill="E4EFF0"/>
          </w:tcPr>
          <w:p>
            <w:r/>
            <w:r>
              <w:rPr>
                <w:sz w:val="18"/>
              </w:rPr>
              <w:t>BTC665N-785H-SYS</w:t>
            </w:r>
          </w:p>
        </w:tc>
        <w:tc>
          <w:tcPr>
            <w:tcW w:type="dxa" w:w="3024"/>
            <w:shd w:val="clear" w:fill="E4EFF0"/>
          </w:tcPr>
          <w:p>
            <w:r/>
            <w:r>
              <w:rPr>
                <w:sz w:val="18"/>
              </w:rPr>
              <w:t>CSV header field "model"</w:t>
            </w:r>
          </w:p>
        </w:tc>
      </w:tr>
      <w:tr>
        <w:tc>
          <w:tcPr>
            <w:tcW w:type="dxa" w:w="2448"/>
          </w:tcPr>
          <w:p>
            <w:r/>
            <w:r>
              <w:rPr>
                <w:sz w:val="18"/>
              </w:rPr>
              <w:t>Laser wavelength</w:t>
            </w:r>
          </w:p>
        </w:tc>
        <w:tc>
          <w:tcPr>
            <w:tcW w:type="dxa" w:w="3888"/>
          </w:tcPr>
          <w:p>
            <w:r/>
            <w:r>
              <w:rPr>
                <w:sz w:val="18"/>
              </w:rPr>
              <w:t>784.92 nm (i.e. 785 nm class)</w:t>
            </w:r>
          </w:p>
        </w:tc>
        <w:tc>
          <w:tcPr>
            <w:tcW w:type="dxa" w:w="3024"/>
          </w:tcPr>
          <w:p>
            <w:r/>
            <w:r>
              <w:rPr>
                <w:sz w:val="18"/>
              </w:rPr>
              <w:t>CSV header field "laser_wavelength"</w:t>
            </w:r>
          </w:p>
        </w:tc>
      </w:tr>
      <w:tr>
        <w:tc>
          <w:tcPr>
            <w:tcW w:type="dxa" w:w="2448"/>
            <w:shd w:val="clear" w:fill="E4EFF0"/>
          </w:tcPr>
          <w:p>
            <w:r/>
            <w:r>
              <w:rPr>
                <w:sz w:val="18"/>
              </w:rPr>
              <w:t>Laser power field</w:t>
            </w:r>
          </w:p>
        </w:tc>
        <w:tc>
          <w:tcPr>
            <w:tcW w:type="dxa" w:w="3888"/>
            <w:shd w:val="clear" w:fill="E4EFF0"/>
          </w:tcPr>
          <w:p>
            <w:r/>
            <w:r>
              <w:rPr>
                <w:sz w:val="18"/>
              </w:rPr>
              <w:t>"laser_powerlevel" = 5 or 10</w:t>
            </w:r>
          </w:p>
        </w:tc>
        <w:tc>
          <w:tcPr>
            <w:tcW w:type="dxa" w:w="3024"/>
            <w:shd w:val="clear" w:fill="E4EFF0"/>
          </w:tcPr>
          <w:p>
            <w:r/>
            <w:r>
              <w:rPr>
                <w:sz w:val="18"/>
              </w:rPr>
              <w:t>raw integer, unit not specified in file</w:t>
            </w:r>
          </w:p>
        </w:tc>
      </w:tr>
      <w:tr>
        <w:tc>
          <w:tcPr>
            <w:tcW w:type="dxa" w:w="2448"/>
          </w:tcPr>
          <w:p>
            <w:r/>
            <w:r>
              <w:rPr>
                <w:sz w:val="18"/>
              </w:rPr>
              <w:t>Integration time</w:t>
            </w:r>
          </w:p>
        </w:tc>
        <w:tc>
          <w:tcPr>
            <w:tcW w:type="dxa" w:w="3888"/>
          </w:tcPr>
          <w:p>
            <w:r/>
            <w:r>
              <w:rPr>
                <w:sz w:val="18"/>
              </w:rPr>
              <w:t>5 s (main dataset); 10 s subset also present</w:t>
            </w:r>
          </w:p>
        </w:tc>
        <w:tc>
          <w:tcPr>
            <w:tcW w:type="dxa" w:w="3024"/>
          </w:tcPr>
          <w:p>
            <w:r/>
            <w:r>
              <w:rPr>
                <w:sz w:val="18"/>
              </w:rPr>
              <w:t>CSV field "integration times(sec)"</w:t>
            </w:r>
          </w:p>
        </w:tc>
      </w:tr>
      <w:tr>
        <w:tc>
          <w:tcPr>
            <w:tcW w:type="dxa" w:w="2448"/>
            <w:shd w:val="clear" w:fill="E4EFF0"/>
          </w:tcPr>
          <w:p>
            <w:r/>
            <w:r>
              <w:rPr>
                <w:sz w:val="18"/>
              </w:rPr>
              <w:t>Accumulations</w:t>
            </w:r>
          </w:p>
        </w:tc>
        <w:tc>
          <w:tcPr>
            <w:tcW w:type="dxa" w:w="3888"/>
            <w:shd w:val="clear" w:fill="E4EFF0"/>
          </w:tcPr>
          <w:p>
            <w:r/>
            <w:r>
              <w:rPr>
                <w:sz w:val="18"/>
              </w:rPr>
              <w:t>3</w:t>
            </w:r>
          </w:p>
        </w:tc>
        <w:tc>
          <w:tcPr>
            <w:tcW w:type="dxa" w:w="3024"/>
            <w:shd w:val="clear" w:fill="E4EFF0"/>
          </w:tcPr>
          <w:p>
            <w:r/>
            <w:r>
              <w:rPr>
                <w:sz w:val="18"/>
              </w:rPr>
              <w:t>CSV field "average number"</w:t>
            </w:r>
          </w:p>
        </w:tc>
      </w:tr>
    </w:tbl>
    <w:p>
      <w:pPr>
        <w:spacing w:after="40"/>
      </w:pPr>
    </w:p>
    <w:p>
      <w:pPr>
        <w:spacing w:after="160"/>
        <w:ind w:left="360"/>
      </w:pPr>
      <w:r>
        <w:rPr>
          <w:i/>
          <w:color w:val="555555"/>
          <w:sz w:val="19"/>
        </w:rPr>
        <w:t>This confirms the instrument is a B&amp;W Tek / Metrohm i-Raman Plus 785H-class system (BWS465 spectrometer + BTC665N-785H fiber-coupled probe head), the standard 785 nm portable Raman platform in this product line.</w:t>
      </w:r>
    </w:p>
    <w:tbl>
      <w:tblPr>
        <w:tblStyle w:val="TableGrid"/>
        <w:tblW w:type="auto" w:w="0"/>
        <w:tblLook w:firstColumn="1" w:firstRow="1" w:lastColumn="0" w:lastRow="0" w:noHBand="0" w:noVBand="1" w:val="04A0"/>
      </w:tblPr>
      <w:tblGrid>
        <w:gridCol w:w="9749"/>
      </w:tblGrid>
      <w:tr>
        <w:tc>
          <w:tcPr>
            <w:tcW w:type="dxa" w:w="9749"/>
            <w:shd w:val="clear" w:fill="FCEFDD"/>
          </w:tcPr>
          <w:p>
            <w:r/>
            <w:r>
              <w:rPr>
                <w:b/>
                <w:color w:val="B56A0A"/>
                <w:sz w:val="19"/>
              </w:rPr>
              <w:t>MISSING VALUE — laser_powerlevel is very likely a percentage of maximum diode output (standard convention in B&amp;W Tek's BWSpec software), but this is not confirmed for your specific unit, and the mW-per-% conversion was not found in the raw files. A general spec sheet for the BWS465-785x line lists ~30 mW nominal power at the probe / ~42 mW at the laser port — but this is a class-level figure, not a confirmed reading for your exact unit. Check BWSpec's power display (some versions show live mW) or the printed spec sheet taped to the laser head before the next session.</w:t>
            </w:r>
          </w:p>
        </w:tc>
      </w:tr>
    </w:tbl>
    <w:p>
      <w:pPr>
        <w:spacing w:after="80"/>
      </w:pPr>
    </w:p>
    <w:p>
      <w:pPr>
        <w:pStyle w:val="Heading2"/>
      </w:pPr>
      <w:r>
        <w:t>1.2  Fabrication recipe used (from today's folder names)</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2304"/>
            <w:shd w:val="clear" w:fill="0E5F6B"/>
          </w:tcPr>
          <w:p>
            <w:r/>
            <w:r>
              <w:rPr>
                <w:b/>
                <w:color w:val="FFFFFF"/>
                <w:sz w:val="18"/>
              </w:rPr>
              <w:t>Parameter</w:t>
            </w:r>
          </w:p>
        </w:tc>
        <w:tc>
          <w:tcPr>
            <w:tcW w:type="dxa" w:w="3456"/>
            <w:shd w:val="clear" w:fill="0E5F6B"/>
          </w:tcPr>
          <w:p>
            <w:r/>
            <w:r>
              <w:rPr>
                <w:b/>
                <w:color w:val="FFFFFF"/>
                <w:sz w:val="18"/>
              </w:rPr>
              <w:t>Value</w:t>
            </w:r>
          </w:p>
        </w:tc>
        <w:tc>
          <w:tcPr>
            <w:tcW w:type="dxa" w:w="3600"/>
            <w:shd w:val="clear" w:fill="0E5F6B"/>
          </w:tcPr>
          <w:p>
            <w:r/>
            <w:r>
              <w:rPr>
                <w:b/>
                <w:color w:val="FFFFFF"/>
                <w:sz w:val="18"/>
              </w:rPr>
              <w:t>Basis</w:t>
            </w:r>
          </w:p>
        </w:tc>
      </w:tr>
      <w:tr>
        <w:tc>
          <w:tcPr>
            <w:tcW w:type="dxa" w:w="2304"/>
          </w:tcPr>
          <w:p>
            <w:r/>
            <w:r>
              <w:rPr>
                <w:sz w:val="18"/>
              </w:rPr>
              <w:t>AgNO₃ mass</w:t>
            </w:r>
          </w:p>
        </w:tc>
        <w:tc>
          <w:tcPr>
            <w:tcW w:type="dxa" w:w="3456"/>
          </w:tcPr>
          <w:p>
            <w:r/>
            <w:r>
              <w:rPr>
                <w:sz w:val="18"/>
              </w:rPr>
              <w:t>0.170 g</w:t>
            </w:r>
          </w:p>
        </w:tc>
        <w:tc>
          <w:tcPr>
            <w:tcW w:type="dxa" w:w="3600"/>
          </w:tcPr>
          <w:p>
            <w:r/>
            <w:r>
              <w:rPr>
                <w:sz w:val="18"/>
              </w:rPr>
              <w:t>folder name "170g-agno3" — read as 0.170 g; 170 g literal is chemically impossible in 50 mL (solubility ceiling ~2560 g/L)</w:t>
            </w:r>
          </w:p>
        </w:tc>
      </w:tr>
      <w:tr>
        <w:tc>
          <w:tcPr>
            <w:tcW w:type="dxa" w:w="2304"/>
            <w:shd w:val="clear" w:fill="E4EFF0"/>
          </w:tcPr>
          <w:p>
            <w:r/>
            <w:r>
              <w:rPr>
                <w:sz w:val="18"/>
              </w:rPr>
              <w:t>HF volume</w:t>
            </w:r>
          </w:p>
        </w:tc>
        <w:tc>
          <w:tcPr>
            <w:tcW w:type="dxa" w:w="3456"/>
            <w:shd w:val="clear" w:fill="E4EFF0"/>
          </w:tcPr>
          <w:p>
            <w:r/>
            <w:r>
              <w:rPr>
                <w:sz w:val="18"/>
              </w:rPr>
              <w:t>8.6 mL</w:t>
            </w:r>
          </w:p>
        </w:tc>
        <w:tc>
          <w:tcPr>
            <w:tcW w:type="dxa" w:w="3600"/>
            <w:shd w:val="clear" w:fill="E4EFF0"/>
          </w:tcPr>
          <w:p>
            <w:r/>
            <w:r>
              <w:rPr>
                <w:sz w:val="18"/>
              </w:rPr>
              <w:t>folder name "8.6ml of hf"</w:t>
            </w:r>
          </w:p>
        </w:tc>
      </w:tr>
      <w:tr>
        <w:tc>
          <w:tcPr>
            <w:tcW w:type="dxa" w:w="2304"/>
          </w:tcPr>
          <w:p>
            <w:r/>
            <w:r>
              <w:rPr>
                <w:sz w:val="18"/>
              </w:rPr>
              <w:t>Total bath volume</w:t>
            </w:r>
          </w:p>
        </w:tc>
        <w:tc>
          <w:tcPr>
            <w:tcW w:type="dxa" w:w="3456"/>
          </w:tcPr>
          <w:p>
            <w:r/>
            <w:r>
              <w:rPr>
                <w:sz w:val="18"/>
              </w:rPr>
              <w:t>50 mL (DI top-up)</w:t>
            </w:r>
          </w:p>
        </w:tc>
        <w:tc>
          <w:tcPr>
            <w:tcW w:type="dxa" w:w="3600"/>
          </w:tcPr>
          <w:p>
            <w:r/>
            <w:r>
              <w:rPr>
                <w:sz w:val="18"/>
              </w:rPr>
              <w:t>folder name "total 50ml di"</w:t>
            </w:r>
          </w:p>
        </w:tc>
      </w:tr>
      <w:tr>
        <w:tc>
          <w:tcPr>
            <w:tcW w:type="dxa" w:w="2304"/>
            <w:shd w:val="clear" w:fill="E4EFF0"/>
          </w:tcPr>
          <w:p>
            <w:r/>
            <w:r>
              <w:rPr>
                <w:sz w:val="18"/>
              </w:rPr>
              <w:t>HF stock concentration</w:t>
            </w:r>
          </w:p>
        </w:tc>
        <w:tc>
          <w:tcPr>
            <w:tcW w:type="dxa" w:w="3456"/>
            <w:shd w:val="clear" w:fill="E4EFF0"/>
          </w:tcPr>
          <w:p>
            <w:r/>
            <w:r>
              <w:rPr>
                <w:sz w:val="18"/>
              </w:rPr>
              <w:t>NOT RECORDED — assumed 49% for this report</w:t>
            </w:r>
          </w:p>
        </w:tc>
        <w:tc>
          <w:tcPr>
            <w:tcW w:type="dxa" w:w="3600"/>
            <w:shd w:val="clear" w:fill="E4EFF0"/>
          </w:tcPr>
          <w:p>
            <w:r/>
            <w:r>
              <w:rPr>
                <w:sz w:val="18"/>
              </w:rPr>
              <w:t>carried forward from earlier SOP as an unverified placeholder</w:t>
            </w:r>
          </w:p>
        </w:tc>
      </w:tr>
      <w:tr>
        <w:tc>
          <w:tcPr>
            <w:tcW w:type="dxa" w:w="2304"/>
          </w:tcPr>
          <w:p>
            <w:r/>
            <w:r>
              <w:rPr>
                <w:sz w:val="18"/>
              </w:rPr>
              <w:t>Etch/MACE time</w:t>
            </w:r>
          </w:p>
        </w:tc>
        <w:tc>
          <w:tcPr>
            <w:tcW w:type="dxa" w:w="3456"/>
          </w:tcPr>
          <w:p>
            <w:r/>
            <w:r>
              <w:rPr>
                <w:sz w:val="18"/>
              </w:rPr>
              <w:t>2 min, 5 min, 10 min (three pieces)</w:t>
            </w:r>
          </w:p>
        </w:tc>
        <w:tc>
          <w:tcPr>
            <w:tcW w:type="dxa" w:w="3600"/>
          </w:tcPr>
          <w:p>
            <w:r/>
            <w:r>
              <w:rPr>
                <w:sz w:val="18"/>
              </w:rPr>
              <w:t>folder names</w:t>
            </w:r>
          </w:p>
        </w:tc>
      </w:tr>
      <w:tr>
        <w:tc>
          <w:tcPr>
            <w:tcW w:type="dxa" w:w="2304"/>
            <w:shd w:val="clear" w:fill="E4EFF0"/>
          </w:tcPr>
          <w:p>
            <w:r/>
            <w:r>
              <w:rPr>
                <w:sz w:val="18"/>
              </w:rPr>
              <w:t>Ag deposition step</w:t>
            </w:r>
          </w:p>
        </w:tc>
        <w:tc>
          <w:tcPr>
            <w:tcW w:type="dxa" w:w="3456"/>
            <w:shd w:val="clear" w:fill="E4EFF0"/>
          </w:tcPr>
          <w:p>
            <w:r/>
            <w:r>
              <w:rPr>
                <w:sz w:val="18"/>
              </w:rPr>
              <w:t>none separate — one-step MACE, Ag reduction happens during etch</w:t>
            </w:r>
          </w:p>
        </w:tc>
        <w:tc>
          <w:tcPr>
            <w:tcW w:type="dxa" w:w="3600"/>
            <w:shd w:val="clear" w:fill="E4EFF0"/>
          </w:tcPr>
          <w:p>
            <w:r/>
            <w:r>
              <w:rPr>
                <w:sz w:val="18"/>
              </w:rPr>
              <w:t>AgNO3 is in the same bath as HF; there is no separate soak/deposition stage</w:t>
            </w:r>
          </w:p>
        </w:tc>
      </w:tr>
    </w:tbl>
    <w:p>
      <w:pPr>
        <w:spacing w:after="40"/>
      </w:pPr>
    </w:p>
    <w:tbl>
      <w:tblPr>
        <w:tblStyle w:val="TableGrid"/>
        <w:tblW w:type="auto" w:w="0"/>
        <w:tblLook w:firstColumn="1" w:firstRow="1" w:lastColumn="0" w:lastRow="0" w:noHBand="0" w:noVBand="1" w:val="04A0"/>
      </w:tblPr>
      <w:tblGrid>
        <w:gridCol w:w="9749"/>
      </w:tblGrid>
      <w:tr>
        <w:tc>
          <w:tcPr>
            <w:tcW w:type="dxa" w:w="9749"/>
            <w:shd w:val="clear" w:fill="FCEFDD"/>
          </w:tcPr>
          <w:p>
            <w:r/>
            <w:r>
              <w:rPr>
                <w:b/>
                <w:color w:val="B56A0A"/>
                <w:sz w:val="19"/>
              </w:rPr>
              <w:t>MISSING VALUE — HF stock concentration (commonly 48-49% ACS grade, but not confirmed for your bottle) is needed to finalize the molar HF concentration in the bath. AgNO3 molarity below does NOT depend on this and is solid.</w:t>
            </w:r>
          </w:p>
        </w:tc>
      </w:tr>
    </w:tbl>
    <w:p>
      <w:pPr>
        <w:spacing w:after="80"/>
      </w:pPr>
    </w:p>
    <w:p>
      <w:pPr>
        <w:pStyle w:val="Heading3"/>
      </w:pPr>
      <w:r>
        <w:t>Computed AgNO₃ concentration (exact, no assumptions needed)</w:t>
      </w:r>
    </w:p>
    <w:p>
      <w:pPr>
        <w:spacing w:after="80"/>
      </w:pPr>
      <w:r>
        <w:rPr>
          <w:b w:val="0"/>
          <w:i w:val="0"/>
        </w:rPr>
        <w:t>0.170 g ÷ 169.87 g/mol = 1.001 mmol AgNO₃, dissolved to a final volume of 50 mL:</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[AgNO₃] = 1.001 mmol / 50 mL = 20.0 mM  —  this is your previous/baseline concentration for the series below.</w:t>
            </w:r>
          </w:p>
        </w:tc>
      </w:tr>
    </w:tbl>
    <w:p>
      <w:pPr>
        <w:spacing w:after="80"/>
      </w:pPr>
    </w:p>
    <w:p>
      <w:pPr>
        <w:pStyle w:val="Heading3"/>
      </w:pPr>
      <w:r>
        <w:t>Computed HF concentration (assumes 49% w/w, 1.15 g/mL stock — UNVERIFIED)</w:t>
      </w:r>
    </w:p>
    <w:p>
      <w:pPr>
        <w:spacing w:after="80"/>
      </w:pPr>
      <w:r>
        <w:rPr>
          <w:b w:val="0"/>
          <w:i w:val="0"/>
        </w:rPr>
        <w:t>8.6 mL × 28.16 M (49% HF) ÷ 50 mL final volume ≈ 4.8 M HF in the bath, if the stock is indeed 49%.</w:t>
      </w:r>
    </w:p>
    <w:p>
      <w:pPr>
        <w:spacing w:after="80"/>
      </w:pPr>
      <w:r>
        <w:rPr>
          <w:b w:val="0"/>
          <w:i w:val="0"/>
        </w:rPr>
        <w:t>AgNO₃ : HF : DI ratio (by mass/volume, approximate) ≈ 0.170 g : 8.6 mL : 41.4 mL.</w:t>
      </w:r>
    </w:p>
    <w:p>
      <w:pPr>
        <w:pStyle w:val="Heading2"/>
      </w:pPr>
      <w:r>
        <w:t>1.3  Note on the "5s/5p/3ac" style labels</w:t>
      </w:r>
    </w:p>
    <w:p>
      <w:pPr>
        <w:spacing w:after="80"/>
      </w:pPr>
      <w:r>
        <w:rPr>
          <w:b w:val="0"/>
          <w:i w:val="0"/>
        </w:rPr>
        <w:t>These labels (5 s / 5 power / 3 accumulations, 10 s / 10 power / 5 accumulations, etc.) in your prompt and in the folder/file names are Raman acquisition settings — integration time, laser power level, and accumulation count — not silver deposition parameters. There is no separate "Ag soaking time" distinct from the etch time in a one-step MACE process: the etch time (2/5/10 min) already is the full window during which Ag+ is being reduced onto the wafer and Si is being etched simultaneously. This is clarified here because the request asks for both, and conflating the two would double-count the same variable.</w:t>
      </w:r>
    </w:p>
    <w:p>
      <w:pPr>
        <w:pStyle w:val="Heading2"/>
      </w:pPr>
      <w:r>
        <w:t>1.4  Main findings from the previous run</w:t>
      </w:r>
    </w:p>
    <w:p>
      <w:pPr>
        <w:pStyle w:val="ListBullet"/>
        <w:spacing w:after="60"/>
      </w:pPr>
      <w:r>
        <w:t>R6G confirmed strong SERS activity on all three etch times — substrate and Raman system both working correctly.</w:t>
      </w:r>
    </w:p>
    <w:p>
      <w:pPr>
        <w:pStyle w:val="ListBullet"/>
        <w:spacing w:after="60"/>
      </w:pPr>
      <w:r>
        <w:t>2-min etch gave the strongest R6G signal, ~48x the 5-min substrate at 1509 cm⁻¹ (matches your figure exactly — recomputed independently from the averaged spectra: 21118 vs 436 counts height).</w:t>
      </w:r>
    </w:p>
    <w:p>
      <w:pPr>
        <w:pStyle w:val="ListBullet"/>
        <w:spacing w:after="60"/>
      </w:pPr>
      <w:r>
        <w:t>10-min beat 5-min but not 2-min — the etch-time trend is not monotonic.</w:t>
      </w:r>
    </w:p>
    <w:p>
      <w:pPr>
        <w:pStyle w:val="ListBullet"/>
        <w:spacing w:after="60"/>
      </w:pPr>
      <w:r>
        <w:t>NAM was not reproducibly detected on any sensor or power level; the few peaks that touched SNR≈3 did not repeat across conditions.</w:t>
      </w:r>
    </w:p>
    <w:p>
      <w:pPr>
        <w:pStyle w:val="ListBullet"/>
        <w:spacing w:after="60"/>
      </w:pPr>
      <w:r>
        <w:t>2-min sensor has no matched blank at all; 5-min/10-min blanks exist but came from an earlier, separate calibration session (not a same-session paired blank).</w:t>
      </w:r>
    </w:p>
    <w:p>
      <w:r>
        <w:br w:type="page"/>
      </w:r>
    </w:p>
    <w:p>
      <w:pPr>
        <w:pStyle w:val="Heading1"/>
      </w:pPr>
      <w:r>
        <w:t>2. What Likely Limited NAM Detection</w:t>
      </w:r>
    </w:p>
    <w:p>
      <w:pPr>
        <w:spacing w:after="80"/>
      </w:pPr>
      <w:r>
        <w:rPr>
          <w:b w:val="0"/>
          <w:i w:val="0"/>
        </w:rPr>
        <w:t>Three separate factors plausibly stack together — worth separating cleanly, because each points to a different fix:</w:t>
      </w:r>
    </w:p>
    <w:p>
      <w:pPr>
        <w:pStyle w:val="ListBullet"/>
        <w:spacing w:after="60"/>
      </w:pPr>
      <w:r>
        <w:rPr>
          <w:b/>
        </w:rPr>
        <w:t xml:space="preserve">Substrate enhancement, </w:t>
      </w:r>
      <w:r>
        <w:t>measured directly by R6G, was strong at all three etch times, so the substrate itself is not the primary suspect. But R6G is a resonant, strongly Ag-adsorbing dye — a good SERS signal from R6G does not guarantee the same hotspots are equally accessible or effective for a small, non-resonant analyte like NAM. Hotspot geometry (gap size, particle size) that suits R6G is not automatically optimal for NAM.</w:t>
      </w:r>
    </w:p>
    <w:p>
      <w:pPr>
        <w:pStyle w:val="ListBullet"/>
        <w:spacing w:after="60"/>
      </w:pPr>
      <w:r>
        <w:rPr>
          <w:b/>
        </w:rPr>
        <w:t xml:space="preserve">Poor NAM adsorption to bare Ag, </w:t>
      </w:r>
      <w:r>
        <w:t>which is the most likely single biggest factor. NAM has no thiol and no strong Ag-affinity group; unlike R6G, it does not have a chemical reason to sit inside the hotspot region. Molecules that simply diffuse near the surface without binding contribute far less SERS signal than those anchored at short range.</w:t>
      </w:r>
    </w:p>
    <w:p>
      <w:pPr>
        <w:pStyle w:val="ListBullet"/>
        <w:spacing w:after="60"/>
      </w:pPr>
      <w:r>
        <w:rPr>
          <w:b/>
        </w:rPr>
        <w:t xml:space="preserve">Weak intrinsic Raman cross-section, </w:t>
      </w:r>
      <w:r>
        <w:t>compounding the above — NAM's non-resonant scattering is inherently weaker than R6G's dye-resonant scattering, so even a molecule that does adsorb produces a smaller signal per molecule.</w:t>
      </w:r>
    </w:p>
    <w:p>
      <w:pPr>
        <w:spacing w:after="80"/>
      </w:pPr>
      <w:r>
        <w:rPr>
          <w:b w:val="0"/>
          <w:i w:val="0"/>
        </w:rPr>
        <w:t>This report's job is to test whether nanostructure optimization (AgNO₃ concentration, deposition conditions) can partially compensate for the adsorption problem — by increasing hotspot density/quality enough that even weakly, non-specifically adsorbed NAM produces a measurable signal — while explicitly deferring the more direct fix (a binding capture layer) until MPBA is available.</w:t>
      </w:r>
    </w:p>
    <w:p>
      <w:r>
        <w:br w:type="page"/>
      </w:r>
    </w:p>
    <w:p>
      <w:pPr>
        <w:pStyle w:val="Heading1"/>
      </w:pPr>
      <w:r>
        <w:t>3. What Parameter Should Change First</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Answer: AgNO₃ concentration, at fixed 2-min etch time, with NAM concentration held constant. This directly answers the three-way choice posed in the request.</w:t>
            </w:r>
          </w:p>
        </w:tc>
      </w:tr>
    </w:tbl>
    <w:p>
      <w:pPr>
        <w:spacing w:after="80"/>
      </w:pPr>
    </w:p>
    <w:p>
      <w:pPr>
        <w:pStyle w:val="Heading2"/>
      </w:pPr>
      <w:r>
        <w:t>3.1  Why AgNO₃ concentration over the other options</w:t>
      </w:r>
    </w:p>
    <w:p>
      <w:pPr>
        <w:pStyle w:val="Heading3"/>
      </w:pPr>
      <w:r>
        <w:t>A. AgNO₃ concentration — RECOMMENDED FIRST</w:t>
      </w:r>
    </w:p>
    <w:p>
      <w:pPr>
        <w:spacing w:after="80"/>
      </w:pPr>
      <w:r>
        <w:rPr>
          <w:b w:val="0"/>
          <w:i w:val="0"/>
        </w:rPr>
        <w:t>Literature on one-step Ag/HF MACE (matching your exact system) is consistent: lowering AgNO₃ concentration produces smaller Ag nanoparticles with higher surface coverage/density, while raising it produces larger, more sparsely distributed particles that eventually coarsen into dendritic clusters. Interparticle gap size — the thing that actually controls hotspot electromagnetic enhancement — tracks directly with this. This is the single fabrication input with the clearest, most citable dose-response relationship to hotspot formation, and it is a one-variable change to a bath you already know how to make.</w:t>
      </w:r>
    </w:p>
    <w:p>
      <w:pPr>
        <w:pStyle w:val="Heading3"/>
      </w:pPr>
      <w:r>
        <w:t>B. Ag deposition/reduction conditions — SECONDARY, NOT FIRST</w:t>
      </w:r>
    </w:p>
    <w:p>
      <w:pPr>
        <w:spacing w:after="80"/>
      </w:pPr>
      <w:r>
        <w:rPr>
          <w:b w:val="0"/>
          <w:i w:val="0"/>
        </w:rPr>
        <w:t>Deposition time is already fixed by the etch time in a one-step process (Section 1.3), so "changing deposition time" here really means changing etch time again — already explored (2/5/10 min) with 2 min as the clear winner. Multiple deposition cycles or a two-stage reduction would introduce a genuinely new fabrication step with its own unknowns (redeposition uniformity, cycle-to-cycle variability) — worth investigating later, but it adds a second new variable on top of an already-unresolved first one (AgNO₃ concentration), which breaks the "change one thing at a time" principle. Reagent addition sequence (Ag first vs. HF first vs. simultaneous) is plausible but was not varied in the previous run and has no data to build on yet — flag for a later round.</w:t>
      </w:r>
    </w:p>
    <w:p>
      <w:pPr>
        <w:pStyle w:val="Heading3"/>
      </w:pPr>
      <w:r>
        <w:t>C. PDS (ammonium/potassium persulfate) — NOT RECOMMENDED AT THIS STAGE</w:t>
      </w:r>
    </w:p>
    <w:p>
      <w:pPr>
        <w:spacing w:after="80"/>
      </w:pPr>
      <w:r>
        <w:rPr>
          <w:b w:val="0"/>
          <w:i w:val="0"/>
        </w:rPr>
        <w:t>A targeted literature search for persulfate use in one-step Ag/HF MACE or as an SERS-substrate treatment found no direct precedent for this system. Persulfate's established roles in related chemistry are as a strong oxidizer — used, for example, in some two-step MACE protocols as an alternative oxidant to H2O2 during the separate Si-etch stage (after Ag is already deposited and acting as a fixed catalyst), or in metal-surface cleaning/activation steps. Adding it directly into a one-step AgNO₃/HF bath is chemically risky rather than additive: persulfate could re-oxidize freshly deposited Ag⁰ back into solution (undermining the very nanoparticle deposition you're trying to control), and it would add a second reactive species to a system that is already hard enough to interpret with one variable. No literature precedent plus a plausible mechanism for actively working against the deposition process means this does not clear the bar for inclusion in a controlled, interpretable experiment.</w:t>
      </w: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Do not add PDS to the bath this round. If Ag deposition itself later turns out to be the bottleneck (not gap geometry), revisit persulfate specifically as a post-etch Ag-surface treatment step, run separately and characterized on its own — not blended into the one-step bath.</w:t>
            </w:r>
          </w:p>
        </w:tc>
      </w:tr>
    </w:tbl>
    <w:p>
      <w:pPr>
        <w:spacing w:after="80"/>
      </w:pPr>
    </w:p>
    <w:p>
      <w:r>
        <w:br w:type="page"/>
      </w:r>
    </w:p>
    <w:p>
      <w:pPr>
        <w:pStyle w:val="Heading1"/>
      </w:pPr>
      <w:r>
        <w:t>4. Exact Proposed Experimental Groups</w:t>
      </w:r>
    </w:p>
    <w:p>
      <w:pPr>
        <w:spacing w:after="80"/>
      </w:pPr>
      <w:r>
        <w:rPr>
          <w:b w:val="0"/>
          <w:i w:val="0"/>
        </w:rPr>
        <w:t>A 4-point AgNO₃ concentration series, log-spaced around your verified 20.0 mM baseline, all at 2-min etch (your best-performing time), all other fabrication and measurement parameters held constant:</w:t>
      </w:r>
    </w:p>
    <w:tbl>
      <w:tblPr>
        <w:tblStyle w:val="TableGrid"/>
        <w:tblW w:type="auto" w:w="0"/>
        <w:jc w:val="center"/>
        <w:tblLayout w:type="autofit"/>
        <w:tblLook w:firstColumn="1" w:firstRow="1" w:lastColumn="0" w:lastRow="0" w:noHBand="0" w:noVBand="1" w:val="04A0"/>
      </w:tblPr>
      <w:tblGrid>
        <w:gridCol w:w="1625"/>
        <w:gridCol w:w="1625"/>
        <w:gridCol w:w="1625"/>
        <w:gridCol w:w="1625"/>
        <w:gridCol w:w="1625"/>
        <w:gridCol w:w="1625"/>
      </w:tblGrid>
      <w:tr>
        <w:tc>
          <w:tcPr>
            <w:tcW w:type="dxa" w:w="1296"/>
            <w:shd w:val="clear" w:fill="0E5F6B"/>
          </w:tcPr>
          <w:p>
            <w:r/>
            <w:r>
              <w:rPr>
                <w:b/>
                <w:color w:val="FFFFFF"/>
                <w:sz w:val="18"/>
              </w:rPr>
              <w:t>Group</w:t>
            </w:r>
          </w:p>
        </w:tc>
        <w:tc>
          <w:tcPr>
            <w:tcW w:type="dxa" w:w="1872"/>
            <w:shd w:val="clear" w:fill="0E5F6B"/>
          </w:tcPr>
          <w:p>
            <w:r/>
            <w:r>
              <w:rPr>
                <w:b/>
                <w:color w:val="FFFFFF"/>
                <w:sz w:val="18"/>
              </w:rPr>
              <w:t>AgNO₃ target</w:t>
            </w:r>
          </w:p>
        </w:tc>
        <w:tc>
          <w:tcPr>
            <w:tcW w:type="dxa" w:w="1872"/>
            <w:shd w:val="clear" w:fill="0E5F6B"/>
          </w:tcPr>
          <w:p>
            <w:r/>
            <w:r>
              <w:rPr>
                <w:b/>
                <w:color w:val="FFFFFF"/>
                <w:sz w:val="18"/>
              </w:rPr>
              <w:t>Mass in 50 mL bath</w:t>
            </w:r>
          </w:p>
        </w:tc>
        <w:tc>
          <w:tcPr>
            <w:tcW w:type="dxa" w:w="1152"/>
            <w:shd w:val="clear" w:fill="0E5F6B"/>
          </w:tcPr>
          <w:p>
            <w:r/>
            <w:r>
              <w:rPr>
                <w:b/>
                <w:color w:val="FFFFFF"/>
                <w:sz w:val="18"/>
              </w:rPr>
              <w:t>Etch time</w:t>
            </w:r>
          </w:p>
        </w:tc>
        <w:tc>
          <w:tcPr>
            <w:tcW w:type="dxa" w:w="2304"/>
            <w:shd w:val="clear" w:fill="0E5F6B"/>
          </w:tcPr>
          <w:p>
            <w:r/>
            <w:r>
              <w:rPr>
                <w:b/>
                <w:color w:val="FFFFFF"/>
                <w:sz w:val="18"/>
              </w:rPr>
              <w:t>HF / DI</w:t>
            </w:r>
          </w:p>
        </w:tc>
        <w:tc>
          <w:tcPr>
            <w:tcW w:type="dxa" w:w="2736"/>
            <w:shd w:val="clear" w:fill="0E5F6B"/>
          </w:tcPr>
          <w:p>
            <w:r/>
            <w:r>
              <w:rPr>
                <w:b/>
                <w:color w:val="FFFFFF"/>
                <w:sz w:val="18"/>
              </w:rPr>
              <w:t>Rationale</w:t>
            </w:r>
          </w:p>
        </w:tc>
      </w:tr>
      <w:tr>
        <w:tc>
          <w:tcPr>
            <w:tcW w:type="dxa" w:w="1296"/>
          </w:tcPr>
          <w:p>
            <w:r/>
            <w:r>
              <w:rPr>
                <w:sz w:val="17"/>
              </w:rPr>
              <w:t>A — Low</w:t>
            </w:r>
          </w:p>
        </w:tc>
        <w:tc>
          <w:tcPr>
            <w:tcW w:type="dxa" w:w="1872"/>
          </w:tcPr>
          <w:p>
            <w:r/>
            <w:r>
              <w:rPr>
                <w:sz w:val="17"/>
              </w:rPr>
              <w:t>5 mM  (0.25x)</w:t>
            </w:r>
          </w:p>
        </w:tc>
        <w:tc>
          <w:tcPr>
            <w:tcW w:type="dxa" w:w="1872"/>
          </w:tcPr>
          <w:p>
            <w:r/>
            <w:r>
              <w:rPr>
                <w:sz w:val="17"/>
              </w:rPr>
              <w:t>0.0425 g</w:t>
            </w:r>
          </w:p>
        </w:tc>
        <w:tc>
          <w:tcPr>
            <w:tcW w:type="dxa" w:w="1152"/>
          </w:tcPr>
          <w:p>
            <w:r/>
            <w:r>
              <w:rPr>
                <w:sz w:val="17"/>
              </w:rPr>
              <w:t>2 min</w:t>
            </w:r>
          </w:p>
        </w:tc>
        <w:tc>
          <w:tcPr>
            <w:tcW w:type="dxa" w:w="2304"/>
          </w:tcPr>
          <w:p>
            <w:r/>
            <w:r>
              <w:rPr>
                <w:sz w:val="17"/>
              </w:rPr>
              <w:t>unchanged (8.6 mL HF, top to 50 mL)</w:t>
            </w:r>
          </w:p>
        </w:tc>
        <w:tc>
          <w:tcPr>
            <w:tcW w:type="dxa" w:w="2736"/>
          </w:tcPr>
          <w:p>
            <w:r/>
            <w:r>
              <w:rPr>
                <w:sz w:val="17"/>
              </w:rPr>
              <w:t>Fewer nucleation sites → larger, sparser particles expected; tests the low-density extreme</w:t>
            </w:r>
          </w:p>
        </w:tc>
      </w:tr>
      <w:tr>
        <w:tc>
          <w:tcPr>
            <w:tcW w:type="dxa" w:w="1296"/>
            <w:shd w:val="clear" w:fill="E4EFF0"/>
          </w:tcPr>
          <w:p>
            <w:r/>
            <w:r>
              <w:rPr>
                <w:sz w:val="17"/>
              </w:rPr>
              <w:t>B — Baseline</w:t>
            </w:r>
          </w:p>
        </w:tc>
        <w:tc>
          <w:tcPr>
            <w:tcW w:type="dxa" w:w="1872"/>
            <w:shd w:val="clear" w:fill="E4EFF0"/>
          </w:tcPr>
          <w:p>
            <w:r/>
            <w:r>
              <w:rPr>
                <w:sz w:val="17"/>
              </w:rPr>
              <w:t>20 mM  (1x, previous)</w:t>
            </w:r>
          </w:p>
        </w:tc>
        <w:tc>
          <w:tcPr>
            <w:tcW w:type="dxa" w:w="1872"/>
            <w:shd w:val="clear" w:fill="E4EFF0"/>
          </w:tcPr>
          <w:p>
            <w:r/>
            <w:r>
              <w:rPr>
                <w:sz w:val="17"/>
              </w:rPr>
              <w:t>0.170 g</w:t>
            </w:r>
          </w:p>
        </w:tc>
        <w:tc>
          <w:tcPr>
            <w:tcW w:type="dxa" w:w="1152"/>
            <w:shd w:val="clear" w:fill="E4EFF0"/>
          </w:tcPr>
          <w:p>
            <w:r/>
            <w:r>
              <w:rPr>
                <w:sz w:val="17"/>
              </w:rPr>
              <w:t>2 min</w:t>
            </w:r>
          </w:p>
        </w:tc>
        <w:tc>
          <w:tcPr>
            <w:tcW w:type="dxa" w:w="2304"/>
            <w:shd w:val="clear" w:fill="E4EFF0"/>
          </w:tcPr>
          <w:p>
            <w:r/>
            <w:r>
              <w:rPr>
                <w:sz w:val="17"/>
              </w:rPr>
              <w:t>unchanged</w:t>
            </w:r>
          </w:p>
        </w:tc>
        <w:tc>
          <w:tcPr>
            <w:tcW w:type="dxa" w:w="2736"/>
            <w:shd w:val="clear" w:fill="E4EFF0"/>
          </w:tcPr>
          <w:p>
            <w:r/>
            <w:r>
              <w:rPr>
                <w:sz w:val="17"/>
              </w:rPr>
              <w:t>Repeat of today's best condition — also serves as the reproducibility check flagged in Section 1.4</w:t>
            </w:r>
          </w:p>
        </w:tc>
      </w:tr>
      <w:tr>
        <w:tc>
          <w:tcPr>
            <w:tcW w:type="dxa" w:w="1296"/>
          </w:tcPr>
          <w:p>
            <w:r/>
            <w:r>
              <w:rPr>
                <w:sz w:val="17"/>
              </w:rPr>
              <w:t>C — Medium-high</w:t>
            </w:r>
          </w:p>
        </w:tc>
        <w:tc>
          <w:tcPr>
            <w:tcW w:type="dxa" w:w="1872"/>
          </w:tcPr>
          <w:p>
            <w:r/>
            <w:r>
              <w:rPr>
                <w:sz w:val="17"/>
              </w:rPr>
              <w:t>40 mM  (2x)</w:t>
            </w:r>
          </w:p>
        </w:tc>
        <w:tc>
          <w:tcPr>
            <w:tcW w:type="dxa" w:w="1872"/>
          </w:tcPr>
          <w:p>
            <w:r/>
            <w:r>
              <w:rPr>
                <w:sz w:val="17"/>
              </w:rPr>
              <w:t>0.340 g</w:t>
            </w:r>
          </w:p>
        </w:tc>
        <w:tc>
          <w:tcPr>
            <w:tcW w:type="dxa" w:w="1152"/>
          </w:tcPr>
          <w:p>
            <w:r/>
            <w:r>
              <w:rPr>
                <w:sz w:val="17"/>
              </w:rPr>
              <w:t>2 min</w:t>
            </w:r>
          </w:p>
        </w:tc>
        <w:tc>
          <w:tcPr>
            <w:tcW w:type="dxa" w:w="2304"/>
          </w:tcPr>
          <w:p>
            <w:r/>
            <w:r>
              <w:rPr>
                <w:sz w:val="17"/>
              </w:rPr>
              <w:t>unchanged</w:t>
            </w:r>
          </w:p>
        </w:tc>
        <w:tc>
          <w:tcPr>
            <w:tcW w:type="dxa" w:w="2736"/>
          </w:tcPr>
          <w:p>
            <w:r/>
            <w:r>
              <w:rPr>
                <w:sz w:val="17"/>
              </w:rPr>
              <w:t>More nucleation sites → smaller, denser particles expected; tests whether higher density helps or over-crowds</w:t>
            </w:r>
          </w:p>
        </w:tc>
      </w:tr>
      <w:tr>
        <w:tc>
          <w:tcPr>
            <w:tcW w:type="dxa" w:w="1296"/>
            <w:shd w:val="clear" w:fill="E4EFF0"/>
          </w:tcPr>
          <w:p>
            <w:r/>
            <w:r>
              <w:rPr>
                <w:sz w:val="17"/>
              </w:rPr>
              <w:t>D — High</w:t>
            </w:r>
          </w:p>
        </w:tc>
        <w:tc>
          <w:tcPr>
            <w:tcW w:type="dxa" w:w="1872"/>
            <w:shd w:val="clear" w:fill="E4EFF0"/>
          </w:tcPr>
          <w:p>
            <w:r/>
            <w:r>
              <w:rPr>
                <w:sz w:val="17"/>
              </w:rPr>
              <w:t>80 mM  (4x)</w:t>
            </w:r>
          </w:p>
        </w:tc>
        <w:tc>
          <w:tcPr>
            <w:tcW w:type="dxa" w:w="1872"/>
            <w:shd w:val="clear" w:fill="E4EFF0"/>
          </w:tcPr>
          <w:p>
            <w:r/>
            <w:r>
              <w:rPr>
                <w:sz w:val="17"/>
              </w:rPr>
              <w:t>0.680 g</w:t>
            </w:r>
          </w:p>
        </w:tc>
        <w:tc>
          <w:tcPr>
            <w:tcW w:type="dxa" w:w="1152"/>
            <w:shd w:val="clear" w:fill="E4EFF0"/>
          </w:tcPr>
          <w:p>
            <w:r/>
            <w:r>
              <w:rPr>
                <w:sz w:val="17"/>
              </w:rPr>
              <w:t>2 min</w:t>
            </w:r>
          </w:p>
        </w:tc>
        <w:tc>
          <w:tcPr>
            <w:tcW w:type="dxa" w:w="2304"/>
            <w:shd w:val="clear" w:fill="E4EFF0"/>
          </w:tcPr>
          <w:p>
            <w:r/>
            <w:r>
              <w:rPr>
                <w:sz w:val="17"/>
              </w:rPr>
              <w:t>unchanged</w:t>
            </w:r>
          </w:p>
        </w:tc>
        <w:tc>
          <w:tcPr>
            <w:tcW w:type="dxa" w:w="2736"/>
            <w:shd w:val="clear" w:fill="E4EFF0"/>
          </w:tcPr>
          <w:p>
            <w:r/>
            <w:r>
              <w:rPr>
                <w:sz w:val="17"/>
              </w:rPr>
              <w:t>Tests the high-density/aggregation extreme; risk of dendritic clustering per literature</w:t>
            </w:r>
          </w:p>
        </w:tc>
      </w:tr>
    </w:tbl>
    <w:p>
      <w:pPr>
        <w:spacing w:after="40"/>
      </w:pPr>
    </w:p>
    <w:p>
      <w:pPr>
        <w:spacing w:after="160"/>
        <w:ind w:left="360"/>
      </w:pPr>
      <w:r>
        <w:rPr>
          <w:i/>
          <w:color w:val="555555"/>
          <w:sz w:val="19"/>
        </w:rPr>
        <w:t>Masses computed from AgNO3 MW = 169.87 g/mol at 50 mL final volume, same method as Section 1.2. HF volume and total bath volume are kept identical across all four groups so AgNO3 concentration is the only thing changing.</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This directly answers the request's framing: the recommended next experiment is "2-min black-Si + different AgNO₃ concentrations + same NAM concentration" — not the concentration-increase variant. See Section 6 for why.</w:t>
            </w:r>
          </w:p>
        </w:tc>
      </w:tr>
    </w:tbl>
    <w:p>
      <w:pPr>
        <w:spacing w:after="80"/>
      </w:pPr>
    </w:p>
    <w:p>
      <w:r>
        <w:br w:type="page"/>
      </w:r>
    </w:p>
    <w:p>
      <w:pPr>
        <w:pStyle w:val="Heading1"/>
      </w:pPr>
      <w:r>
        <w:t>5. AgNO₃ Concentration Calculation (Standalone Recap)</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2880"/>
            <w:shd w:val="clear" w:fill="0E5F6B"/>
          </w:tcPr>
          <w:p>
            <w:r/>
            <w:r>
              <w:rPr>
                <w:b/>
                <w:color w:val="FFFFFF"/>
                <w:sz w:val="18"/>
              </w:rPr>
              <w:t>Step</w:t>
            </w:r>
          </w:p>
        </w:tc>
        <w:tc>
          <w:tcPr>
            <w:tcW w:type="dxa" w:w="4320"/>
            <w:shd w:val="clear" w:fill="0E5F6B"/>
          </w:tcPr>
          <w:p>
            <w:r/>
            <w:r>
              <w:rPr>
                <w:b/>
                <w:color w:val="FFFFFF"/>
                <w:sz w:val="18"/>
              </w:rPr>
              <w:t>Calculation</w:t>
            </w:r>
          </w:p>
        </w:tc>
        <w:tc>
          <w:tcPr>
            <w:tcW w:type="dxa" w:w="2304"/>
            <w:shd w:val="clear" w:fill="0E5F6B"/>
          </w:tcPr>
          <w:p>
            <w:r/>
            <w:r>
              <w:rPr>
                <w:b/>
                <w:color w:val="FFFFFF"/>
                <w:sz w:val="18"/>
              </w:rPr>
              <w:t>Result</w:t>
            </w:r>
          </w:p>
        </w:tc>
      </w:tr>
      <w:tr>
        <w:tc>
          <w:tcPr>
            <w:tcW w:type="dxa" w:w="2880"/>
          </w:tcPr>
          <w:p>
            <w:r/>
            <w:r>
              <w:rPr>
                <w:sz w:val="18"/>
              </w:rPr>
              <w:t>Moles AgNO₃ used previously</w:t>
            </w:r>
          </w:p>
        </w:tc>
        <w:tc>
          <w:tcPr>
            <w:tcW w:type="dxa" w:w="4320"/>
          </w:tcPr>
          <w:p>
            <w:r/>
            <w:r>
              <w:rPr>
                <w:sz w:val="18"/>
              </w:rPr>
              <w:t>0.170 g ÷ 169.87 g/mol</w:t>
            </w:r>
          </w:p>
        </w:tc>
        <w:tc>
          <w:tcPr>
            <w:tcW w:type="dxa" w:w="2304"/>
          </w:tcPr>
          <w:p>
            <w:r/>
            <w:r>
              <w:rPr>
                <w:sz w:val="18"/>
              </w:rPr>
              <w:t>1.001 mmol</w:t>
            </w:r>
          </w:p>
        </w:tc>
      </w:tr>
      <w:tr>
        <w:tc>
          <w:tcPr>
            <w:tcW w:type="dxa" w:w="2880"/>
            <w:shd w:val="clear" w:fill="E4EFF0"/>
          </w:tcPr>
          <w:p>
            <w:r/>
            <w:r>
              <w:rPr>
                <w:sz w:val="18"/>
              </w:rPr>
              <w:t>Previous/baseline concentration</w:t>
            </w:r>
          </w:p>
        </w:tc>
        <w:tc>
          <w:tcPr>
            <w:tcW w:type="dxa" w:w="4320"/>
            <w:shd w:val="clear" w:fill="E4EFF0"/>
          </w:tcPr>
          <w:p>
            <w:r/>
            <w:r>
              <w:rPr>
                <w:sz w:val="18"/>
              </w:rPr>
              <w:t>1.001 mmol ÷ 50 mL</w:t>
            </w:r>
          </w:p>
        </w:tc>
        <w:tc>
          <w:tcPr>
            <w:tcW w:type="dxa" w:w="2304"/>
            <w:shd w:val="clear" w:fill="E4EFF0"/>
          </w:tcPr>
          <w:p>
            <w:r/>
            <w:r>
              <w:rPr>
                <w:sz w:val="18"/>
              </w:rPr>
              <w:t>20.0 mM</w:t>
            </w:r>
          </w:p>
        </w:tc>
      </w:tr>
      <w:tr>
        <w:tc>
          <w:tcPr>
            <w:tcW w:type="dxa" w:w="2880"/>
          </w:tcPr>
          <w:p>
            <w:r/>
            <w:r>
              <w:rPr>
                <w:sz w:val="18"/>
              </w:rPr>
              <w:t>Group A (0.25x)</w:t>
            </w:r>
          </w:p>
        </w:tc>
        <w:tc>
          <w:tcPr>
            <w:tcW w:type="dxa" w:w="4320"/>
          </w:tcPr>
          <w:p>
            <w:r/>
            <w:r>
              <w:rPr>
                <w:sz w:val="18"/>
              </w:rPr>
              <w:t>5.0 mM × 50 mL × 169.87 g/mol</w:t>
            </w:r>
          </w:p>
        </w:tc>
        <w:tc>
          <w:tcPr>
            <w:tcW w:type="dxa" w:w="2304"/>
          </w:tcPr>
          <w:p>
            <w:r/>
            <w:r>
              <w:rPr>
                <w:sz w:val="18"/>
              </w:rPr>
              <w:t>0.0425 g in 50 mL</w:t>
            </w:r>
          </w:p>
        </w:tc>
      </w:tr>
      <w:tr>
        <w:tc>
          <w:tcPr>
            <w:tcW w:type="dxa" w:w="2880"/>
            <w:shd w:val="clear" w:fill="E4EFF0"/>
          </w:tcPr>
          <w:p>
            <w:r/>
            <w:r>
              <w:rPr>
                <w:sz w:val="18"/>
              </w:rPr>
              <w:t>Group C (2x)</w:t>
            </w:r>
          </w:p>
        </w:tc>
        <w:tc>
          <w:tcPr>
            <w:tcW w:type="dxa" w:w="4320"/>
            <w:shd w:val="clear" w:fill="E4EFF0"/>
          </w:tcPr>
          <w:p>
            <w:r/>
            <w:r>
              <w:rPr>
                <w:sz w:val="18"/>
              </w:rPr>
              <w:t>40.0 mM × 50 mL × 169.87 g/mol</w:t>
            </w:r>
          </w:p>
        </w:tc>
        <w:tc>
          <w:tcPr>
            <w:tcW w:type="dxa" w:w="2304"/>
            <w:shd w:val="clear" w:fill="E4EFF0"/>
          </w:tcPr>
          <w:p>
            <w:r/>
            <w:r>
              <w:rPr>
                <w:sz w:val="18"/>
              </w:rPr>
              <w:t>0.340 g in 50 mL</w:t>
            </w:r>
          </w:p>
        </w:tc>
      </w:tr>
      <w:tr>
        <w:tc>
          <w:tcPr>
            <w:tcW w:type="dxa" w:w="2880"/>
          </w:tcPr>
          <w:p>
            <w:r/>
            <w:r>
              <w:rPr>
                <w:sz w:val="18"/>
              </w:rPr>
              <w:t>Group D (4x)</w:t>
            </w:r>
          </w:p>
        </w:tc>
        <w:tc>
          <w:tcPr>
            <w:tcW w:type="dxa" w:w="4320"/>
          </w:tcPr>
          <w:p>
            <w:r/>
            <w:r>
              <w:rPr>
                <w:sz w:val="18"/>
              </w:rPr>
              <w:t>80.0 mM × 50 mL × 169.87 g/mol</w:t>
            </w:r>
          </w:p>
        </w:tc>
        <w:tc>
          <w:tcPr>
            <w:tcW w:type="dxa" w:w="2304"/>
          </w:tcPr>
          <w:p>
            <w:r/>
            <w:r>
              <w:rPr>
                <w:sz w:val="18"/>
              </w:rPr>
              <w:t>0.680 g in 50 mL</w:t>
            </w:r>
          </w:p>
        </w:tc>
      </w:tr>
    </w:tbl>
    <w:p>
      <w:pPr>
        <w:spacing w:after="40"/>
      </w:pPr>
    </w:p>
    <w:p>
      <w:pPr>
        <w:spacing w:after="160"/>
        <w:ind w:left="360"/>
      </w:pPr>
      <w:r>
        <w:rPr>
          <w:i/>
          <w:color w:val="555555"/>
          <w:sz w:val="19"/>
        </w:rPr>
        <w:t>All four masses use the same 50 mL total bath volume and the same 8.6 mL HF addition as today's run — only the AgNO3 mass changes.</w:t>
      </w:r>
    </w:p>
    <w:p>
      <w:r>
        <w:br w:type="page"/>
      </w:r>
    </w:p>
    <w:p>
      <w:pPr>
        <w:pStyle w:val="Heading1"/>
      </w:pPr>
      <w:r>
        <w:t>6. NAM Concentration Options</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Confirmed: NAM stock used on 12 Aug was 1 mg/mL in DI water. Using NAM MW = 275.25 g/mol (from your own manuscript), that's 1 g/L ÷ 275.25 g/mol = 3.63 mM. This is now used as the reference concentration below.</w:t>
            </w:r>
          </w:p>
        </w:tc>
      </w:tr>
    </w:tbl>
    <w:p>
      <w:pPr>
        <w:spacing w:after="80"/>
      </w:pPr>
    </w:p>
    <w:p>
      <w:pPr>
        <w:pStyle w:val="Heading2"/>
      </w:pPr>
      <w:r>
        <w:t>6.1  Primary recommendation: hold NAM concentration constant</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Keep NAM concentration exactly the same across Groups A-D. The question this round is answering is "does nanostructure geometry matter," and that question is only cleanly answered if NAM concentration is not also changing at the same time.</w:t>
            </w:r>
          </w:p>
        </w:tc>
      </w:tr>
    </w:tbl>
    <w:p>
      <w:pPr>
        <w:spacing w:after="80"/>
      </w:pPr>
    </w:p>
    <w:p>
      <w:pPr>
        <w:spacing w:after="80"/>
      </w:pPr>
      <w:r>
        <w:rPr>
          <w:b w:val="0"/>
          <w:i w:val="0"/>
        </w:rPr>
        <w:t>This is the core logic requested: today's result already conflates three possible causes — poor substrate enhancement, insufficient NAM concentration, and poor NAM adsorption. Changing AgNO₃ concentration while holding NAM fixed isolates the first cause. If a clear peak set emerges on any of Groups A-D, you've shown substrate geometry was (partly) the limiter, without needing to touch concentration at all. If nothing changes across all four groups, geometry is very unlikely to be the answer, and you'll have a much stronger case that it's concentration or adsorption — see below.</w:t>
      </w:r>
    </w:p>
    <w:p>
      <w:pPr>
        <w:pStyle w:val="Heading2"/>
      </w:pPr>
      <w:r>
        <w:t>6.2  Secondary, conditional step: a small NAM concentration series</w:t>
      </w:r>
    </w:p>
    <w:p>
      <w:pPr>
        <w:spacing w:after="80"/>
      </w:pPr>
      <w:r>
        <w:rPr>
          <w:b w:val="0"/>
          <w:i w:val="0"/>
        </w:rPr>
        <w:t>Only run this after Groups A-D are complete and analyzed — not in parallel with them. If the best AgNO₃ condition from Section 4 still shows no NAM peaks, add a 3-point concentration series on that one condition only (not all four):</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c>
          <w:tcPr>
            <w:tcW w:type="dxa" w:w="1008"/>
            <w:shd w:val="clear" w:fill="0E5F6B"/>
          </w:tcPr>
          <w:p>
            <w:r/>
            <w:r>
              <w:rPr>
                <w:b/>
                <w:color w:val="FFFFFF"/>
                <w:sz w:val="18"/>
              </w:rPr>
              <w:t>Level</w:t>
            </w:r>
          </w:p>
        </w:tc>
        <w:tc>
          <w:tcPr>
            <w:tcW w:type="dxa" w:w="1584"/>
            <w:shd w:val="clear" w:fill="0E5F6B"/>
          </w:tcPr>
          <w:p>
            <w:r/>
            <w:r>
              <w:rPr>
                <w:b/>
                <w:color w:val="FFFFFF"/>
                <w:sz w:val="18"/>
              </w:rPr>
              <w:t>Concentration</w:t>
            </w:r>
          </w:p>
        </w:tc>
        <w:tc>
          <w:tcPr>
            <w:tcW w:type="dxa" w:w="2448"/>
            <w:shd w:val="clear" w:fill="0E5F6B"/>
          </w:tcPr>
          <w:p>
            <w:r/>
            <w:r>
              <w:rPr>
                <w:b/>
                <w:color w:val="FFFFFF"/>
                <w:sz w:val="18"/>
              </w:rPr>
              <w:t>Prep (in DI water)</w:t>
            </w:r>
          </w:p>
        </w:tc>
        <w:tc>
          <w:tcPr>
            <w:tcW w:type="dxa" w:w="4176"/>
            <w:shd w:val="clear" w:fill="0E5F6B"/>
          </w:tcPr>
          <w:p>
            <w:r/>
            <w:r>
              <w:rPr>
                <w:b/>
                <w:color w:val="FFFFFF"/>
                <w:sz w:val="18"/>
              </w:rPr>
              <w:t>Purpose</w:t>
            </w:r>
          </w:p>
        </w:tc>
      </w:tr>
      <w:tr>
        <w:tc>
          <w:tcPr>
            <w:tcW w:type="dxa" w:w="1008"/>
          </w:tcPr>
          <w:p>
            <w:r/>
            <w:r>
              <w:rPr>
                <w:sz w:val="17"/>
              </w:rPr>
              <w:t>Same</w:t>
            </w:r>
          </w:p>
        </w:tc>
        <w:tc>
          <w:tcPr>
            <w:tcW w:type="dxa" w:w="1584"/>
          </w:tcPr>
          <w:p>
            <w:r/>
            <w:r>
              <w:rPr>
                <w:sz w:val="17"/>
              </w:rPr>
              <w:t>3.63 mM</w:t>
            </w:r>
          </w:p>
        </w:tc>
        <w:tc>
          <w:tcPr>
            <w:tcW w:type="dxa" w:w="2448"/>
          </w:tcPr>
          <w:p>
            <w:r/>
            <w:r>
              <w:rPr>
                <w:sz w:val="17"/>
              </w:rPr>
              <w:t>1 mg/mL (today's stock)</w:t>
            </w:r>
          </w:p>
        </w:tc>
        <w:tc>
          <w:tcPr>
            <w:tcW w:type="dxa" w:w="4176"/>
          </w:tcPr>
          <w:p>
            <w:r/>
            <w:r>
              <w:rPr>
                <w:sz w:val="17"/>
              </w:rPr>
              <w:t>Reference point, already have this data</w:t>
            </w:r>
          </w:p>
        </w:tc>
      </w:tr>
      <w:tr>
        <w:tc>
          <w:tcPr>
            <w:tcW w:type="dxa" w:w="1008"/>
            <w:shd w:val="clear" w:fill="E4EFF0"/>
          </w:tcPr>
          <w:p>
            <w:r/>
            <w:r>
              <w:rPr>
                <w:sz w:val="17"/>
              </w:rPr>
              <w:t>5x</w:t>
            </w:r>
          </w:p>
        </w:tc>
        <w:tc>
          <w:tcPr>
            <w:tcW w:type="dxa" w:w="1584"/>
            <w:shd w:val="clear" w:fill="E4EFF0"/>
          </w:tcPr>
          <w:p>
            <w:r/>
            <w:r>
              <w:rPr>
                <w:sz w:val="17"/>
              </w:rPr>
              <w:t>18.2 mM</w:t>
            </w:r>
          </w:p>
        </w:tc>
        <w:tc>
          <w:tcPr>
            <w:tcW w:type="dxa" w:w="2448"/>
            <w:shd w:val="clear" w:fill="E4EFF0"/>
          </w:tcPr>
          <w:p>
            <w:r/>
            <w:r>
              <w:rPr>
                <w:sz w:val="17"/>
              </w:rPr>
              <w:t>5 mg/mL</w:t>
            </w:r>
          </w:p>
        </w:tc>
        <w:tc>
          <w:tcPr>
            <w:tcW w:type="dxa" w:w="4176"/>
            <w:shd w:val="clear" w:fill="E4EFF0"/>
          </w:tcPr>
          <w:p>
            <w:r/>
            <w:r>
              <w:rPr>
                <w:sz w:val="17"/>
              </w:rPr>
              <w:t>Tests whether the limiter is simply too few molecules reaching the surface</w:t>
            </w:r>
          </w:p>
        </w:tc>
      </w:tr>
      <w:tr>
        <w:tc>
          <w:tcPr>
            <w:tcW w:type="dxa" w:w="1008"/>
          </w:tcPr>
          <w:p>
            <w:r/>
            <w:r>
              <w:rPr>
                <w:sz w:val="17"/>
              </w:rPr>
              <w:t>10x</w:t>
            </w:r>
          </w:p>
        </w:tc>
        <w:tc>
          <w:tcPr>
            <w:tcW w:type="dxa" w:w="1584"/>
          </w:tcPr>
          <w:p>
            <w:r/>
            <w:r>
              <w:rPr>
                <w:sz w:val="17"/>
              </w:rPr>
              <w:t>36.3 mM</w:t>
            </w:r>
          </w:p>
        </w:tc>
        <w:tc>
          <w:tcPr>
            <w:tcW w:type="dxa" w:w="2448"/>
          </w:tcPr>
          <w:p>
            <w:r/>
            <w:r>
              <w:rPr>
                <w:sz w:val="17"/>
              </w:rPr>
              <w:t>10 mg/mL</w:t>
            </w:r>
          </w:p>
        </w:tc>
        <w:tc>
          <w:tcPr>
            <w:tcW w:type="dxa" w:w="4176"/>
          </w:tcPr>
          <w:p>
            <w:r/>
            <w:r>
              <w:rPr>
                <w:sz w:val="17"/>
              </w:rPr>
              <w:t>Upper bound — if still nothing at 10x, adsorption (not concentration) is the dominant limiter</w:t>
            </w:r>
          </w:p>
        </w:tc>
      </w:tr>
    </w:tbl>
    <w:p>
      <w:pPr>
        <w:spacing w:after="40"/>
      </w:pPr>
    </w:p>
    <w:p>
      <w:pPr>
        <w:spacing w:after="80"/>
      </w:pPr>
      <w:r>
        <w:rPr>
          <w:b w:val="0"/>
          <w:i w:val="0"/>
        </w:rPr>
        <w:t>What this distinguishes: if signal appears only at higher concentration, the substrate/adsorption chemistry is working but too weak per-molecule — supports moving faster to MPBA once available. If no signal appears even at 10x, that's strong evidence the problem is adsorption/capture rather than raw quantity — also useful, because it means concentration increases alone (without a capture layer) won't solve this.</w:t>
      </w:r>
    </w:p>
    <w:tbl>
      <w:tblPr>
        <w:tblStyle w:val="TableGrid"/>
        <w:tblW w:type="auto" w:w="0"/>
        <w:tblLook w:firstColumn="1" w:firstRow="1" w:lastColumn="0" w:lastRow="0" w:noHBand="0" w:noVBand="1" w:val="04A0"/>
      </w:tblPr>
      <w:tblGrid>
        <w:gridCol w:w="9749"/>
      </w:tblGrid>
      <w:tr>
        <w:tc>
          <w:tcPr>
            <w:tcW w:type="dxa" w:w="9749"/>
            <w:shd w:val="clear" w:fill="FBE2E2"/>
          </w:tcPr>
          <w:p>
            <w:r/>
            <w:r>
              <w:rPr>
                <w:b/>
                <w:color w:val="8A0000"/>
                <w:sz w:val="19"/>
              </w:rPr>
              <w:t>⚠ Do not increase NAM concentration in the same round as the AgNO3 series. Running both at once means a positive result can't be attributed to either variable — exactly the multi-variable confound this plan is designed to avoid.</w:t>
            </w:r>
          </w:p>
        </w:tc>
      </w:tr>
    </w:tbl>
    <w:p>
      <w:pPr>
        <w:spacing w:after="80"/>
      </w:pPr>
    </w:p>
    <w:p>
      <w:r>
        <w:br w:type="page"/>
      </w:r>
    </w:p>
    <w:p>
      <w:pPr>
        <w:pStyle w:val="Heading1"/>
      </w:pPr>
      <w:r>
        <w:t>7. Parameters That Must Remain Constant Across Groups A-D</w:t>
      </w:r>
    </w:p>
    <w:tbl>
      <w:tblPr>
        <w:tblStyle w:val="TableGrid"/>
        <w:tblW w:type="auto" w:w="0"/>
        <w:jc w:val="center"/>
        <w:tblLayout w:type="autofit"/>
        <w:tblLook w:firstColumn="1" w:firstRow="1" w:lastColumn="0" w:lastRow="0" w:noHBand="0" w:noVBand="1" w:val="04A0"/>
      </w:tblPr>
      <w:tblGrid>
        <w:gridCol w:w="3250"/>
        <w:gridCol w:w="3250"/>
        <w:gridCol w:w="3250"/>
      </w:tblGrid>
      <w:tr>
        <w:tc>
          <w:tcPr>
            <w:tcW w:type="dxa" w:w="2736"/>
            <w:shd w:val="clear" w:fill="0E5F6B"/>
          </w:tcPr>
          <w:p>
            <w:r/>
            <w:r>
              <w:rPr>
                <w:b/>
                <w:color w:val="FFFFFF"/>
                <w:sz w:val="18"/>
              </w:rPr>
              <w:t>Parameter</w:t>
            </w:r>
          </w:p>
        </w:tc>
        <w:tc>
          <w:tcPr>
            <w:tcW w:type="dxa" w:w="3744"/>
            <w:shd w:val="clear" w:fill="0E5F6B"/>
          </w:tcPr>
          <w:p>
            <w:r/>
            <w:r>
              <w:rPr>
                <w:b/>
                <w:color w:val="FFFFFF"/>
                <w:sz w:val="18"/>
              </w:rPr>
              <w:t>Fixed value</w:t>
            </w:r>
          </w:p>
        </w:tc>
        <w:tc>
          <w:tcPr>
            <w:tcW w:type="dxa" w:w="3024"/>
            <w:shd w:val="clear" w:fill="0E5F6B"/>
          </w:tcPr>
          <w:p>
            <w:r/>
            <w:r>
              <w:rPr>
                <w:b/>
                <w:color w:val="FFFFFF"/>
                <w:sz w:val="18"/>
              </w:rPr>
              <w:t>Why</w:t>
            </w:r>
          </w:p>
        </w:tc>
      </w:tr>
      <w:tr>
        <w:tc>
          <w:tcPr>
            <w:tcW w:type="dxa" w:w="2736"/>
          </w:tcPr>
          <w:p>
            <w:r/>
            <w:r>
              <w:rPr>
                <w:sz w:val="17"/>
              </w:rPr>
              <w:t>Etch time</w:t>
            </w:r>
          </w:p>
        </w:tc>
        <w:tc>
          <w:tcPr>
            <w:tcW w:type="dxa" w:w="3744"/>
          </w:tcPr>
          <w:p>
            <w:r/>
            <w:r>
              <w:rPr>
                <w:sz w:val="17"/>
              </w:rPr>
              <w:t>2 min</w:t>
            </w:r>
          </w:p>
        </w:tc>
        <w:tc>
          <w:tcPr>
            <w:tcW w:type="dxa" w:w="3024"/>
          </w:tcPr>
          <w:p>
            <w:r/>
            <w:r>
              <w:rPr>
                <w:sz w:val="17"/>
              </w:rPr>
              <w:t>Your best-performing condition; changing it too would reopen an already-answered question</w:t>
            </w:r>
          </w:p>
        </w:tc>
      </w:tr>
      <w:tr>
        <w:tc>
          <w:tcPr>
            <w:tcW w:type="dxa" w:w="2736"/>
            <w:shd w:val="clear" w:fill="E4EFF0"/>
          </w:tcPr>
          <w:p>
            <w:r/>
            <w:r>
              <w:rPr>
                <w:sz w:val="17"/>
              </w:rPr>
              <w:t>HF volume / bath volume</w:t>
            </w:r>
          </w:p>
        </w:tc>
        <w:tc>
          <w:tcPr>
            <w:tcW w:type="dxa" w:w="3744"/>
            <w:shd w:val="clear" w:fill="E4EFF0"/>
          </w:tcPr>
          <w:p>
            <w:r/>
            <w:r>
              <w:rPr>
                <w:sz w:val="17"/>
              </w:rPr>
              <w:t>8.6 mL HF, 50 mL total</w:t>
            </w:r>
          </w:p>
        </w:tc>
        <w:tc>
          <w:tcPr>
            <w:tcW w:type="dxa" w:w="3024"/>
            <w:shd w:val="clear" w:fill="E4EFF0"/>
          </w:tcPr>
          <w:p>
            <w:r/>
            <w:r>
              <w:rPr>
                <w:sz w:val="17"/>
              </w:rPr>
              <w:t>Only AgNO3 mass changes between groups</w:t>
            </w:r>
          </w:p>
        </w:tc>
      </w:tr>
      <w:tr>
        <w:tc>
          <w:tcPr>
            <w:tcW w:type="dxa" w:w="2736"/>
          </w:tcPr>
          <w:p>
            <w:r/>
            <w:r>
              <w:rPr>
                <w:sz w:val="17"/>
              </w:rPr>
              <w:t>Native-oxide strip step</w:t>
            </w:r>
          </w:p>
        </w:tc>
        <w:tc>
          <w:tcPr>
            <w:tcW w:type="dxa" w:w="3744"/>
          </w:tcPr>
          <w:p>
            <w:r/>
            <w:r>
              <w:rPr>
                <w:sz w:val="17"/>
              </w:rPr>
              <w:t>Same dilute-HF dip, same timing before etch</w:t>
            </w:r>
          </w:p>
        </w:tc>
        <w:tc>
          <w:tcPr>
            <w:tcW w:type="dxa" w:w="3024"/>
          </w:tcPr>
          <w:p>
            <w:r/>
            <w:r>
              <w:rPr>
                <w:sz w:val="17"/>
              </w:rPr>
              <w:t>Keeps starting surface condition identical</w:t>
            </w:r>
          </w:p>
        </w:tc>
      </w:tr>
      <w:tr>
        <w:tc>
          <w:tcPr>
            <w:tcW w:type="dxa" w:w="2736"/>
            <w:shd w:val="clear" w:fill="E4EFF0"/>
          </w:tcPr>
          <w:p>
            <w:r/>
            <w:r>
              <w:rPr>
                <w:sz w:val="17"/>
              </w:rPr>
              <w:t>NAM concentration/volume</w:t>
            </w:r>
          </w:p>
        </w:tc>
        <w:tc>
          <w:tcPr>
            <w:tcW w:type="dxa" w:w="3744"/>
            <w:shd w:val="clear" w:fill="E4EFF0"/>
          </w:tcPr>
          <w:p>
            <w:r/>
            <w:r>
              <w:rPr>
                <w:sz w:val="17"/>
              </w:rPr>
              <w:t>Same stock, same drop volume (2-3 µL, per the coffee-ring fix already adopted)</w:t>
            </w:r>
          </w:p>
        </w:tc>
        <w:tc>
          <w:tcPr>
            <w:tcW w:type="dxa" w:w="3024"/>
            <w:shd w:val="clear" w:fill="E4EFF0"/>
          </w:tcPr>
          <w:p>
            <w:r/>
            <w:r>
              <w:rPr>
                <w:sz w:val="17"/>
              </w:rPr>
              <w:t>Isolates the substrate variable — see Section 6.1</w:t>
            </w:r>
          </w:p>
        </w:tc>
      </w:tr>
      <w:tr>
        <w:tc>
          <w:tcPr>
            <w:tcW w:type="dxa" w:w="2736"/>
          </w:tcPr>
          <w:p>
            <w:r/>
            <w:r>
              <w:rPr>
                <w:sz w:val="17"/>
              </w:rPr>
              <w:t>Integration time</w:t>
            </w:r>
          </w:p>
        </w:tc>
        <w:tc>
          <w:tcPr>
            <w:tcW w:type="dxa" w:w="3744"/>
          </w:tcPr>
          <w:p>
            <w:r/>
            <w:r>
              <w:rPr>
                <w:sz w:val="17"/>
              </w:rPr>
              <w:t>5 s</w:t>
            </w:r>
          </w:p>
        </w:tc>
        <w:tc>
          <w:tcPr>
            <w:tcW w:type="dxa" w:w="3024"/>
          </w:tcPr>
          <w:p>
            <w:r/>
            <w:r>
              <w:rPr>
                <w:sz w:val="17"/>
              </w:rPr>
              <w:t>Matches your main dataset; keeps SNR comparisons valid across groups</w:t>
            </w:r>
          </w:p>
        </w:tc>
      </w:tr>
      <w:tr>
        <w:tc>
          <w:tcPr>
            <w:tcW w:type="dxa" w:w="2736"/>
            <w:shd w:val="clear" w:fill="E4EFF0"/>
          </w:tcPr>
          <w:p>
            <w:r/>
            <w:r>
              <w:rPr>
                <w:sz w:val="17"/>
              </w:rPr>
              <w:t>Accumulations</w:t>
            </w:r>
          </w:p>
        </w:tc>
        <w:tc>
          <w:tcPr>
            <w:tcW w:type="dxa" w:w="3744"/>
            <w:shd w:val="clear" w:fill="E4EFF0"/>
          </w:tcPr>
          <w:p>
            <w:r/>
            <w:r>
              <w:rPr>
                <w:sz w:val="17"/>
              </w:rPr>
              <w:t>3</w:t>
            </w:r>
          </w:p>
        </w:tc>
        <w:tc>
          <w:tcPr>
            <w:tcW w:type="dxa" w:w="3024"/>
            <w:shd w:val="clear" w:fill="E4EFF0"/>
          </w:tcPr>
          <w:p>
            <w:r/>
            <w:r>
              <w:rPr>
                <w:sz w:val="17"/>
              </w:rPr>
              <w:t>Same as previous run</w:t>
            </w:r>
          </w:p>
        </w:tc>
      </w:tr>
      <w:tr>
        <w:tc>
          <w:tcPr>
            <w:tcW w:type="dxa" w:w="2736"/>
          </w:tcPr>
          <w:p>
            <w:r/>
            <w:r>
              <w:rPr>
                <w:sz w:val="17"/>
              </w:rPr>
              <w:t>Laser power level</w:t>
            </w:r>
          </w:p>
        </w:tc>
        <w:tc>
          <w:tcPr>
            <w:tcW w:type="dxa" w:w="3744"/>
          </w:tcPr>
          <w:p>
            <w:r/>
            <w:r>
              <w:rPr>
                <w:sz w:val="17"/>
              </w:rPr>
              <w:t>Pick one (5 or 10) and use it for every group</w:t>
            </w:r>
          </w:p>
        </w:tc>
        <w:tc>
          <w:tcPr>
            <w:tcW w:type="dxa" w:w="3024"/>
          </w:tcPr>
          <w:p>
            <w:r/>
            <w:r>
              <w:rPr>
                <w:sz w:val="17"/>
              </w:rPr>
              <w:t>A fair comparison needs the same power everywhere; see missing-value note in Section 1.1</w:t>
            </w:r>
          </w:p>
        </w:tc>
      </w:tr>
      <w:tr>
        <w:tc>
          <w:tcPr>
            <w:tcW w:type="dxa" w:w="2736"/>
            <w:shd w:val="clear" w:fill="E4EFF0"/>
          </w:tcPr>
          <w:p>
            <w:r/>
            <w:r>
              <w:rPr>
                <w:sz w:val="17"/>
              </w:rPr>
              <w:t>Number of spots per substrate</w:t>
            </w:r>
          </w:p>
        </w:tc>
        <w:tc>
          <w:tcPr>
            <w:tcW w:type="dxa" w:w="3744"/>
            <w:shd w:val="clear" w:fill="E4EFF0"/>
          </w:tcPr>
          <w:p>
            <w:r/>
            <w:r>
              <w:rPr>
                <w:sz w:val="17"/>
              </w:rPr>
              <w:t>≥3 spots per condition (see Section 8)</w:t>
            </w:r>
          </w:p>
        </w:tc>
        <w:tc>
          <w:tcPr>
            <w:tcW w:type="dxa" w:w="3024"/>
            <w:shd w:val="clear" w:fill="E4EFF0"/>
          </w:tcPr>
          <w:p>
            <w:r/>
            <w:r>
              <w:rPr>
                <w:sz w:val="17"/>
              </w:rPr>
              <w:t>Distinguishes a real effect from spot-to-spot luck</w:t>
            </w:r>
          </w:p>
        </w:tc>
      </w:tr>
      <w:tr>
        <w:tc>
          <w:tcPr>
            <w:tcW w:type="dxa" w:w="2736"/>
          </w:tcPr>
          <w:p>
            <w:r/>
            <w:r>
              <w:rPr>
                <w:sz w:val="17"/>
              </w:rPr>
              <w:t>Storage/handling between fabrication and measurement</w:t>
            </w:r>
          </w:p>
        </w:tc>
        <w:tc>
          <w:tcPr>
            <w:tcW w:type="dxa" w:w="3744"/>
          </w:tcPr>
          <w:p>
            <w:r/>
            <w:r>
              <w:rPr>
                <w:sz w:val="17"/>
              </w:rPr>
              <w:t>Same protocol used previously (IPA storage, etc.)</w:t>
            </w:r>
          </w:p>
        </w:tc>
        <w:tc>
          <w:tcPr>
            <w:tcW w:type="dxa" w:w="3024"/>
          </w:tcPr>
          <w:p>
            <w:r/>
            <w:r>
              <w:rPr>
                <w:sz w:val="17"/>
              </w:rPr>
              <w:t>Avoids introducing a new uncontrolled variable</w:t>
            </w:r>
          </w:p>
        </w:tc>
      </w:tr>
    </w:tbl>
    <w:p>
      <w:pPr>
        <w:spacing w:after="40"/>
      </w:pPr>
    </w:p>
    <w:p>
      <w:r>
        <w:br w:type="page"/>
      </w:r>
    </w:p>
    <w:p>
      <w:pPr>
        <w:pStyle w:val="Heading1"/>
      </w:pPr>
      <w:r>
        <w:t>8. Blank and Replicate Strategy</w:t>
      </w:r>
    </w:p>
    <w:p>
      <w:pPr>
        <w:spacing w:after="80"/>
      </w:pPr>
      <w:r>
        <w:rPr>
          <w:b w:val="0"/>
          <w:i w:val="0"/>
        </w:rPr>
        <w:t>This directly fixes the gap flagged in the previous report (Section 6 of that report): no matched blank for 2-min, and time-mismatched blanks for 5-min/10-min.</w:t>
      </w:r>
    </w:p>
    <w:p>
      <w:pPr>
        <w:pStyle w:val="ListNumber"/>
        <w:spacing w:after="80"/>
      </w:pPr>
      <w:r>
        <w:rPr>
          <w:b/>
        </w:rPr>
        <w:t xml:space="preserve">Same-session blank, every time. </w:t>
      </w:r>
      <w:r>
        <w:t>For each of Groups A-D, take a bare-substrate (post-etch, pre-drop) spectrum at the exact settings (power, integration, accumulations) you'll use for that group's NAM and R6G measurements — recorded in the same sitting, not reused from a prior day.</w:t>
      </w:r>
    </w:p>
    <w:p>
      <w:pPr>
        <w:pStyle w:val="ListNumber"/>
        <w:spacing w:after="80"/>
      </w:pPr>
      <w:r>
        <w:rPr>
          <w:b/>
        </w:rPr>
        <w:t xml:space="preserve">Multiple spots per substrate. </w:t>
      </w:r>
      <w:r>
        <w:t>At least 3 distinct spots per condition, for blank, NAM, and R6G each. This is what lets you tell a real AgNO3-driven trend apart from ordinary spot-to-spot roughness variation on a single piece.</w:t>
      </w:r>
    </w:p>
    <w:p>
      <w:pPr>
        <w:pStyle w:val="ListNumber"/>
        <w:spacing w:after="80"/>
      </w:pPr>
      <w:r>
        <w:rPr>
          <w:b/>
        </w:rPr>
        <w:t xml:space="preserve">Replicate spectra per spot. </w:t>
      </w:r>
      <w:r>
        <w:t>3 accumulations per spectrum (unchanged), and average at least 2 independent spectra per spot if time allows, matching the reproducibility approach already used in your NAM manuscript's reference-spectrum protocol.</w:t>
      </w:r>
    </w:p>
    <w:p>
      <w:pPr>
        <w:pStyle w:val="ListNumber"/>
        <w:spacing w:after="80"/>
      </w:pPr>
      <w:r>
        <w:rPr>
          <w:b/>
        </w:rPr>
        <w:t xml:space="preserve">Log everything in one sheet. </w:t>
      </w:r>
      <w:r>
        <w:t>Group (A/B/C/D), spot number, sample type (blank/NAM/R6G), power level, integration time, timestamp — a single running table avoids the file-classification ambiguity that came up when analyzing today's data (several files could only be classified by inference from folder names).</w:t>
      </w:r>
    </w:p>
    <w:p>
      <w:r>
        <w:br w:type="page"/>
      </w:r>
    </w:p>
    <w:p>
      <w:pPr>
        <w:pStyle w:val="Heading1"/>
      </w:pPr>
      <w:r>
        <w:t>9. R6G Validation Strategy</w:t>
      </w:r>
    </w:p>
    <w:p>
      <w:pPr>
        <w:spacing w:after="80"/>
      </w:pPr>
      <w:r>
        <w:rPr>
          <w:b w:val="0"/>
          <w:i w:val="0"/>
        </w:rPr>
        <w:t>R6G's role here is different from a full concentration study — it's a fast, high-confidence check that each new AgNO3 condition is actually SERS-active before spending time on the much weaker NAM signal.</w:t>
      </w:r>
    </w:p>
    <w:p>
      <w:pPr>
        <w:pStyle w:val="ListNumber"/>
        <w:spacing w:after="80"/>
      </w:pPr>
      <w:r>
        <w:rPr>
          <w:b/>
        </w:rPr>
        <w:t xml:space="preserve">One R6G spot check per group, minimum. </w:t>
      </w:r>
      <w:r>
        <w:t>Right after fabricating each of Groups A-D, run one quick R6G measurement (a single known concentration — reuse whichever of your three stocks, e.g. 0.01 mM, gave a clean signal today) before doing the full NAM run on that piece.</w:t>
      </w:r>
    </w:p>
    <w:p>
      <w:pPr>
        <w:pStyle w:val="ListNumber"/>
        <w:spacing w:after="80"/>
      </w:pPr>
      <w:r>
        <w:rPr>
          <w:b/>
        </w:rPr>
        <w:t xml:space="preserve">Use it as a go/no-go gate. </w:t>
      </w:r>
      <w:r>
        <w:t>If a group's R6G check doesn't show the primary bands (774, 1362, 1509 cm⁻¹) at a clearly-above-blank level, that AgNO3 condition can be flagged as a fabrication problem (e.g., under- or over-etched) before you invest measurement time on its NAM data.</w:t>
      </w:r>
    </w:p>
    <w:p>
      <w:pPr>
        <w:pStyle w:val="ListNumber"/>
        <w:spacing w:after="80"/>
      </w:pPr>
      <w:r>
        <w:rPr>
          <w:b/>
        </w:rPr>
        <w:t xml:space="preserve">Full 3-concentration R6G series only on the winning group. </w:t>
      </w:r>
      <w:r>
        <w:t>Once Groups A-D are ranked (Section 11), repeat your full 0.1/0.01/0.001 mM R6G series on the best-performing AgNO3 condition, to confirm it behaves as well as today's 2-min/20 mM baseline across the whole concentration range, not just at one spot-check concentration.</w:t>
      </w:r>
    </w:p>
    <w:p>
      <w:r>
        <w:br w:type="page"/>
      </w:r>
    </w:p>
    <w:p>
      <w:pPr>
        <w:pStyle w:val="Heading1"/>
      </w:pPr>
      <w:r>
        <w:t>10. Expected Outcome for Each Group</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c>
          <w:tcPr>
            <w:tcW w:type="dxa" w:w="720"/>
            <w:shd w:val="clear" w:fill="0E5F6B"/>
          </w:tcPr>
          <w:p>
            <w:r/>
            <w:r>
              <w:rPr>
                <w:b/>
                <w:color w:val="FFFFFF"/>
                <w:sz w:val="18"/>
              </w:rPr>
              <w:t>Group</w:t>
            </w:r>
          </w:p>
        </w:tc>
        <w:tc>
          <w:tcPr>
            <w:tcW w:type="dxa" w:w="1152"/>
            <w:shd w:val="clear" w:fill="0E5F6B"/>
          </w:tcPr>
          <w:p>
            <w:r/>
            <w:r>
              <w:rPr>
                <w:b/>
                <w:color w:val="FFFFFF"/>
                <w:sz w:val="18"/>
              </w:rPr>
              <w:t>AgNO₃</w:t>
            </w:r>
          </w:p>
        </w:tc>
        <w:tc>
          <w:tcPr>
            <w:tcW w:type="dxa" w:w="2592"/>
            <w:shd w:val="clear" w:fill="0E5F6B"/>
          </w:tcPr>
          <w:p>
            <w:r/>
            <w:r>
              <w:rPr>
                <w:b/>
                <w:color w:val="FFFFFF"/>
                <w:sz w:val="18"/>
              </w:rPr>
              <w:t>Expected Ag morphology (per literature)</w:t>
            </w:r>
          </w:p>
        </w:tc>
        <w:tc>
          <w:tcPr>
            <w:tcW w:type="dxa" w:w="2736"/>
            <w:shd w:val="clear" w:fill="0E5F6B"/>
          </w:tcPr>
          <w:p>
            <w:r/>
            <w:r>
              <w:rPr>
                <w:b/>
                <w:color w:val="FFFFFF"/>
                <w:sz w:val="18"/>
              </w:rPr>
              <w:t>Expected R6G behavior</w:t>
            </w:r>
          </w:p>
        </w:tc>
        <w:tc>
          <w:tcPr>
            <w:tcW w:type="dxa" w:w="2736"/>
            <w:shd w:val="clear" w:fill="0E5F6B"/>
          </w:tcPr>
          <w:p>
            <w:r/>
            <w:r>
              <w:rPr>
                <w:b/>
                <w:color w:val="FFFFFF"/>
                <w:sz w:val="18"/>
              </w:rPr>
              <w:t>Expected NAM behavior</w:t>
            </w:r>
          </w:p>
        </w:tc>
      </w:tr>
      <w:tr>
        <w:tc>
          <w:tcPr>
            <w:tcW w:type="dxa" w:w="720"/>
          </w:tcPr>
          <w:p>
            <w:r/>
            <w:r>
              <w:rPr>
                <w:sz w:val="16"/>
              </w:rPr>
              <w:t>A</w:t>
            </w:r>
          </w:p>
        </w:tc>
        <w:tc>
          <w:tcPr>
            <w:tcW w:type="dxa" w:w="1152"/>
          </w:tcPr>
          <w:p>
            <w:r/>
            <w:r>
              <w:rPr>
                <w:sz w:val="16"/>
              </w:rPr>
              <w:t>5 mM</w:t>
            </w:r>
          </w:p>
        </w:tc>
        <w:tc>
          <w:tcPr>
            <w:tcW w:type="dxa" w:w="2592"/>
          </w:tcPr>
          <w:p>
            <w:r/>
            <w:r>
              <w:rPr>
                <w:sz w:val="16"/>
              </w:rPr>
              <w:t>Larger, sparser particles, wider gaps</w:t>
            </w:r>
          </w:p>
        </w:tc>
        <w:tc>
          <w:tcPr>
            <w:tcW w:type="dxa" w:w="2736"/>
          </w:tcPr>
          <w:p>
            <w:r/>
            <w:r>
              <w:rPr>
                <w:sz w:val="16"/>
              </w:rPr>
              <w:t>Likely weaker than baseline B — fewer/larger hotspots</w:t>
            </w:r>
          </w:p>
        </w:tc>
        <w:tc>
          <w:tcPr>
            <w:tcW w:type="dxa" w:w="2736"/>
          </w:tcPr>
          <w:p>
            <w:r/>
            <w:r>
              <w:rPr>
                <w:sz w:val="16"/>
              </w:rPr>
              <w:t>Uncertain — wider gaps rarely help a weak scatterer; low expectation</w:t>
            </w:r>
          </w:p>
        </w:tc>
      </w:tr>
      <w:tr>
        <w:tc>
          <w:tcPr>
            <w:tcW w:type="dxa" w:w="720"/>
            <w:shd w:val="clear" w:fill="E4EFF0"/>
          </w:tcPr>
          <w:p>
            <w:r/>
            <w:r>
              <w:rPr>
                <w:sz w:val="16"/>
              </w:rPr>
              <w:t>B</w:t>
            </w:r>
          </w:p>
        </w:tc>
        <w:tc>
          <w:tcPr>
            <w:tcW w:type="dxa" w:w="1152"/>
            <w:shd w:val="clear" w:fill="E4EFF0"/>
          </w:tcPr>
          <w:p>
            <w:r/>
            <w:r>
              <w:rPr>
                <w:sz w:val="16"/>
              </w:rPr>
              <w:t>20 mM (baseline)</w:t>
            </w:r>
          </w:p>
        </w:tc>
        <w:tc>
          <w:tcPr>
            <w:tcW w:type="dxa" w:w="2592"/>
            <w:shd w:val="clear" w:fill="E4EFF0"/>
          </w:tcPr>
          <w:p>
            <w:r/>
            <w:r>
              <w:rPr>
                <w:sz w:val="16"/>
              </w:rPr>
              <w:t>Same as today's 2-min piece (reference)</w:t>
            </w:r>
          </w:p>
        </w:tc>
        <w:tc>
          <w:tcPr>
            <w:tcW w:type="dxa" w:w="2736"/>
            <w:shd w:val="clear" w:fill="E4EFF0"/>
          </w:tcPr>
          <w:p>
            <w:r/>
            <w:r>
              <w:rPr>
                <w:sz w:val="16"/>
              </w:rPr>
              <w:t>Reproduces today's strong signal (reproducibility check)</w:t>
            </w:r>
          </w:p>
        </w:tc>
        <w:tc>
          <w:tcPr>
            <w:tcW w:type="dxa" w:w="2736"/>
            <w:shd w:val="clear" w:fill="E4EFF0"/>
          </w:tcPr>
          <w:p>
            <w:r/>
            <w:r>
              <w:rPr>
                <w:sz w:val="16"/>
              </w:rPr>
              <w:t>Same as today — likely still not detected</w:t>
            </w:r>
          </w:p>
        </w:tc>
      </w:tr>
      <w:tr>
        <w:tc>
          <w:tcPr>
            <w:tcW w:type="dxa" w:w="720"/>
          </w:tcPr>
          <w:p>
            <w:r/>
            <w:r>
              <w:rPr>
                <w:sz w:val="16"/>
              </w:rPr>
              <w:t>C</w:t>
            </w:r>
          </w:p>
        </w:tc>
        <w:tc>
          <w:tcPr>
            <w:tcW w:type="dxa" w:w="1152"/>
          </w:tcPr>
          <w:p>
            <w:r/>
            <w:r>
              <w:rPr>
                <w:sz w:val="16"/>
              </w:rPr>
              <w:t>40 mM</w:t>
            </w:r>
          </w:p>
        </w:tc>
        <w:tc>
          <w:tcPr>
            <w:tcW w:type="dxa" w:w="2592"/>
          </w:tcPr>
          <w:p>
            <w:r/>
            <w:r>
              <w:rPr>
                <w:sz w:val="16"/>
              </w:rPr>
              <w:t>Smaller, denser particles, more/narrower gaps</w:t>
            </w:r>
          </w:p>
        </w:tc>
        <w:tc>
          <w:tcPr>
            <w:tcW w:type="dxa" w:w="2736"/>
          </w:tcPr>
          <w:p>
            <w:r/>
            <w:r>
              <w:rPr>
                <w:sz w:val="16"/>
              </w:rPr>
              <w:t>Possibly stronger than B if gaps move into 1-5 nm sweet spot; possibly weaker if particles start touching/shorting hotspots</w:t>
            </w:r>
          </w:p>
        </w:tc>
        <w:tc>
          <w:tcPr>
            <w:tcW w:type="dxa" w:w="2736"/>
          </w:tcPr>
          <w:p>
            <w:r/>
            <w:r>
              <w:rPr>
                <w:sz w:val="16"/>
              </w:rPr>
              <w:t>Best candidate to show any NAM improvement, if hotspot density is the limiter</w:t>
            </w:r>
          </w:p>
        </w:tc>
      </w:tr>
      <w:tr>
        <w:tc>
          <w:tcPr>
            <w:tcW w:type="dxa" w:w="720"/>
            <w:shd w:val="clear" w:fill="E4EFF0"/>
          </w:tcPr>
          <w:p>
            <w:r/>
            <w:r>
              <w:rPr>
                <w:sz w:val="16"/>
              </w:rPr>
              <w:t>D</w:t>
            </w:r>
          </w:p>
        </w:tc>
        <w:tc>
          <w:tcPr>
            <w:tcW w:type="dxa" w:w="1152"/>
            <w:shd w:val="clear" w:fill="E4EFF0"/>
          </w:tcPr>
          <w:p>
            <w:r/>
            <w:r>
              <w:rPr>
                <w:sz w:val="16"/>
              </w:rPr>
              <w:t>80 mM</w:t>
            </w:r>
          </w:p>
        </w:tc>
        <w:tc>
          <w:tcPr>
            <w:tcW w:type="dxa" w:w="2592"/>
            <w:shd w:val="clear" w:fill="E4EFF0"/>
          </w:tcPr>
          <w:p>
            <w:r/>
            <w:r>
              <w:rPr>
                <w:sz w:val="16"/>
              </w:rPr>
              <w:t>Risk of dendritic/aggregated clusters</w:t>
            </w:r>
          </w:p>
        </w:tc>
        <w:tc>
          <w:tcPr>
            <w:tcW w:type="dxa" w:w="2736"/>
            <w:shd w:val="clear" w:fill="E4EFF0"/>
          </w:tcPr>
          <w:p>
            <w:r/>
            <w:r>
              <w:rPr>
                <w:sz w:val="16"/>
              </w:rPr>
              <w:t>Could go either way — very high local field at cluster junctions, or loss of well-defined hotspots from over-aggregation</w:t>
            </w:r>
          </w:p>
        </w:tc>
        <w:tc>
          <w:tcPr>
            <w:tcW w:type="dxa" w:w="2736"/>
            <w:shd w:val="clear" w:fill="E4EFF0"/>
          </w:tcPr>
          <w:p>
            <w:r/>
            <w:r>
              <w:rPr>
                <w:sz w:val="16"/>
              </w:rPr>
              <w:t>Uncertain; if C shows improvement but D doesn't, that brackets the useful concentration range</w:t>
            </w:r>
          </w:p>
        </w:tc>
      </w:tr>
    </w:tbl>
    <w:p>
      <w:pPr>
        <w:spacing w:after="40"/>
      </w:pPr>
    </w:p>
    <w:p>
      <w:pPr>
        <w:spacing w:after="160"/>
        <w:ind w:left="360"/>
      </w:pPr>
      <w:r>
        <w:rPr>
          <w:i/>
          <w:color w:val="555555"/>
          <w:sz w:val="19"/>
        </w:rPr>
        <w:t>These are directional predictions to interpret results against, not guaranteed outcomes — the whole point of running all four is that the literature trend (denser/smaller with lower AgNO3) doesn't always hold exactly the same way in every one-step MACE system, and your own 5-min-vs-10-min non-monotonic result is a reminder of that.</w:t>
      </w:r>
    </w:p>
    <w:p>
      <w:r>
        <w:br w:type="page"/>
      </w:r>
    </w:p>
    <w:p>
      <w:pPr>
        <w:pStyle w:val="Heading1"/>
      </w:pPr>
      <w:r>
        <w:t>11. Decision Criteria for Selecting the Best Substrate</w:t>
      </w:r>
    </w:p>
    <w:p>
      <w:pPr>
        <w:spacing w:after="80"/>
      </w:pPr>
      <w:r>
        <w:rPr>
          <w:b w:val="0"/>
          <w:i w:val="0"/>
        </w:rPr>
        <w:t>Apply in this order — each step only matters if the substrate passes the one before it:</w:t>
      </w:r>
    </w:p>
    <w:p>
      <w:pPr>
        <w:pStyle w:val="ListNumber"/>
        <w:spacing w:after="80"/>
      </w:pPr>
      <w:r>
        <w:rPr>
          <w:b/>
        </w:rPr>
        <w:t xml:space="preserve">Step 1 — R6G gate. </w:t>
      </w:r>
      <w:r>
        <w:t>Discard any group whose R6G spot-check (Section 9) doesn't clear SNR ≥ 10 at the 1509 cm⁻¹ band (well above the ≥3 confidence threshold used for NAM, since R6G should be an easy signal). A group that fails this is a fabrication problem, not a useful data point for the AgNO3 comparison.</w:t>
      </w:r>
    </w:p>
    <w:p>
      <w:pPr>
        <w:pStyle w:val="ListNumber"/>
        <w:spacing w:after="80"/>
      </w:pPr>
      <w:r>
        <w:rPr>
          <w:b/>
        </w:rPr>
        <w:t xml:space="preserve">Step 2 — R6G reproducibility across spots. </w:t>
      </w:r>
      <w:r>
        <w:t>Among groups that pass Step 1, prefer the one with the lowest spot-to-spot variability (coefficient of variation on peak height across your ≥3 spots) — a substrate that's strong in one spot and dead in the next is hard to trust for a weak analyte like NAM.</w:t>
      </w:r>
    </w:p>
    <w:p>
      <w:pPr>
        <w:pStyle w:val="ListNumber"/>
        <w:spacing w:after="80"/>
      </w:pPr>
      <w:r>
        <w:rPr>
          <w:b/>
        </w:rPr>
        <w:t xml:space="preserve">Step 3 — NAM peak count. </w:t>
      </w:r>
      <w:r>
        <w:t>Among the remaining groups, rank by how many of the primary NAM bands (930, 871 cm⁻¹) clear SNR ≥ 3, and whether that holds across ≥2 of the ≥3 spots measured (not just one lucky spot).</w:t>
      </w:r>
    </w:p>
    <w:p>
      <w:pPr>
        <w:pStyle w:val="ListNumber"/>
        <w:spacing w:after="80"/>
      </w:pPr>
      <w:r>
        <w:rPr>
          <w:b/>
        </w:rPr>
        <w:t xml:space="preserve">Step 4 — Magnitude, as a tiebreaker only. </w:t>
      </w:r>
      <w:r>
        <w:t>If two groups both show a genuine NAM signal, prefer the one with higher SNR — but don't let a single very strong spot on an otherwise inconsistent substrate outrank a moderate but consistent one.</w:t>
      </w:r>
    </w:p>
    <w:p>
      <w:r>
        <w:br w:type="page"/>
      </w:r>
    </w:p>
    <w:p>
      <w:pPr>
        <w:pStyle w:val="Heading1"/>
      </w:pPr>
      <w:r>
        <w:t>12. What to Do If NAM Is Still Not Detected After Groups A-D</w:t>
      </w:r>
    </w:p>
    <w:p>
      <w:pPr>
        <w:spacing w:after="80"/>
      </w:pPr>
      <w:r>
        <w:rPr>
          <w:b w:val="0"/>
          <w:i w:val="0"/>
        </w:rPr>
        <w:t>This is a realistic outcome — Section 2 identified poor NAM adsorption to bare Ag as the most likely single limiter, and no amount of nanostructure tuning fixes a molecule that doesn't stick to the surface. If none of Groups A-D show a reproducible NAM signal:</w:t>
      </w:r>
    </w:p>
    <w:p>
      <w:pPr>
        <w:pStyle w:val="ListNumber"/>
        <w:spacing w:after="80"/>
      </w:pPr>
      <w:r>
        <w:rPr>
          <w:b/>
        </w:rPr>
        <w:t xml:space="preserve">Run the conditional NAM concentration series (Section 6.2) </w:t>
      </w:r>
      <w:r>
        <w:t>on the best AgNO3 condition before concluding anything further about the substrate.</w:t>
      </w:r>
    </w:p>
    <w:p>
      <w:pPr>
        <w:pStyle w:val="ListNumber"/>
        <w:spacing w:after="80"/>
      </w:pPr>
      <w:r>
        <w:rPr>
          <w:b/>
        </w:rPr>
        <w:t xml:space="preserve">Treat this as confirmation, not failure. </w:t>
      </w:r>
      <w:r>
        <w:t>A clean negative result across a real concentration series (Section 6.2) plus a real nanostructure series (this document) is strong, specific evidence that the bottleneck is capture chemistry — exactly what MPBA is meant to solve. That's a well-supported conclusion to report, not a dead end.</w:t>
      </w:r>
    </w:p>
    <w:p>
      <w:pPr>
        <w:pStyle w:val="ListNumber"/>
        <w:spacing w:after="80"/>
      </w:pPr>
      <w:r>
        <w:rPr>
          <w:b/>
        </w:rPr>
        <w:t xml:space="preserve">Re-check the physical measurement itself </w:t>
      </w:r>
      <w:r>
        <w:t>before concluding it's purely chemical: confirm the drop is actually landing and drying within the mapped/measured area (per the coffee-ring guidance already adopted), and confirm laser focus at each spot, since a focus miss looks identical to "no signal."</w:t>
      </w:r>
    </w:p>
    <w:p>
      <w:pPr>
        <w:pStyle w:val="ListNumber"/>
        <w:spacing w:after="80"/>
      </w:pPr>
      <w:r>
        <w:rPr>
          <w:b/>
        </w:rPr>
        <w:t xml:space="preserve">Hold off on exotic bare-Ag chemistry (like PDS) even at this point </w:t>
      </w:r>
      <w:r>
        <w:t>unless a specific literature precedent for that exact fix turns up — the evidence at that stage will point to adsorption/capture, not nanostructure, as the problem, and no oxidant addition changes adsorption chemistry.</w:t>
      </w:r>
    </w:p>
    <w:p>
      <w:r>
        <w:br w:type="page"/>
      </w:r>
    </w:p>
    <w:p>
      <w:pPr>
        <w:pStyle w:val="Heading1"/>
      </w:pPr>
      <w:r>
        <w:t>13. What Should Wait Until MPBA Becomes Available</w:t>
      </w:r>
    </w:p>
    <w:p>
      <w:pPr>
        <w:pStyle w:val="ListBullet"/>
        <w:spacing w:after="60"/>
      </w:pPr>
      <w:r>
        <w:t>MPBA/boronic-acid functionalization itself, and any comparison of functionalized vs. bare-Ag NAM signal.</w:t>
      </w:r>
    </w:p>
    <w:p>
      <w:pPr>
        <w:pStyle w:val="ListBullet"/>
        <w:spacing w:after="60"/>
      </w:pPr>
      <w:r>
        <w:t>Fine-tuning MPBA incubation time/concentration/pH — all of that optimization is meaningless without the reagent in hand.</w:t>
      </w:r>
    </w:p>
    <w:p>
      <w:pPr>
        <w:pStyle w:val="ListBullet"/>
        <w:spacing w:after="60"/>
      </w:pPr>
      <w:r>
        <w:t>Any claim about the sensor's real-world sensitivity or limit of detection for NAM — bare-Ag data (this round) establishes substrate/instrument groundwork only, not a usable assay.</w:t>
      </w:r>
    </w:p>
    <w:p>
      <w:pPr>
        <w:pStyle w:val="ListBullet"/>
        <w:spacing w:after="60"/>
      </w:pPr>
      <w:r>
        <w:t>Cysteamine or other substitute linker chemistry, if considered as an interim step — treat as a separate decision, not folded into this AgNO3 series, to keep this round single-variable.</w:t>
      </w:r>
    </w:p>
    <w:tbl>
      <w:tblPr>
        <w:tblStyle w:val="TableGrid"/>
        <w:tblW w:type="auto" w:w="0"/>
        <w:tblLook w:firstColumn="1" w:firstRow="1" w:lastColumn="0" w:lastRow="0" w:noHBand="0" w:noVBand="1" w:val="04A0"/>
      </w:tblPr>
      <w:tblGrid>
        <w:gridCol w:w="9749"/>
      </w:tblGrid>
      <w:tr>
        <w:tc>
          <w:tcPr>
            <w:tcW w:type="dxa" w:w="9749"/>
            <w:shd w:val="clear" w:fill="E3F2E3"/>
          </w:tcPr>
          <w:p>
            <w:r/>
            <w:r>
              <w:rPr>
                <w:b/>
                <w:color w:val="1B5E20"/>
                <w:sz w:val="19"/>
              </w:rPr>
              <w:t>✓ Everything in this document (Groups A-D, the conditional NAM series, the decision criteria) is designed to be fully useful on its own and to directly inform how MPBA gets applied later — e.g., you'll already know which AgNO3 condition to functionalize first.</w:t>
            </w:r>
          </w:p>
        </w:tc>
      </w:tr>
    </w:tbl>
    <w:p>
      <w:pPr>
        <w:spacing w:after="80"/>
      </w:pPr>
    </w:p>
    <w:p>
      <w:r>
        <w:br w:type="page"/>
      </w:r>
    </w:p>
    <w:p>
      <w:pPr>
        <w:pStyle w:val="Heading1"/>
      </w:pPr>
      <w:r>
        <w:t>Missing Values — Please Confirm</w:t>
      </w:r>
    </w:p>
    <w:p>
      <w:pPr>
        <w:spacing w:after="80"/>
      </w:pPr>
      <w:r>
        <w:rPr>
          <w:b w:val="0"/>
          <w:i w:val="0"/>
        </w:rPr>
        <w:t>Per your instruction not to invent unavailable numbers, these are flagged rather than assumed:</w:t>
      </w:r>
    </w:p>
    <w:tbl>
      <w:tblPr>
        <w:tblStyle w:val="TableGrid"/>
        <w:tblW w:type="auto" w:w="0"/>
        <w:jc w:val="center"/>
        <w:tblLayout w:type="autofit"/>
        <w:tblLook w:firstColumn="1" w:firstRow="1" w:lastColumn="0" w:lastRow="0" w:noHBand="0" w:noVBand="1" w:val="04A0"/>
      </w:tblPr>
      <w:tblGrid>
        <w:gridCol w:w="2437"/>
        <w:gridCol w:w="2437"/>
        <w:gridCol w:w="2437"/>
        <w:gridCol w:w="2437"/>
      </w:tblGrid>
      <w:tr>
        <w:tc>
          <w:tcPr>
            <w:tcW w:type="dxa" w:w="432"/>
            <w:shd w:val="clear" w:fill="0E5F6B"/>
          </w:tcPr>
          <w:p>
            <w:r/>
            <w:r>
              <w:rPr>
                <w:b/>
                <w:color w:val="FFFFFF"/>
                <w:sz w:val="18"/>
              </w:rPr>
              <w:t>#</w:t>
            </w:r>
          </w:p>
        </w:tc>
        <w:tc>
          <w:tcPr>
            <w:tcW w:type="dxa" w:w="2736"/>
            <w:shd w:val="clear" w:fill="0E5F6B"/>
          </w:tcPr>
          <w:p>
            <w:r/>
            <w:r>
              <w:rPr>
                <w:b/>
                <w:color w:val="FFFFFF"/>
                <w:sz w:val="18"/>
              </w:rPr>
              <w:t>Missing value</w:t>
            </w:r>
          </w:p>
        </w:tc>
        <w:tc>
          <w:tcPr>
            <w:tcW w:type="dxa" w:w="2448"/>
            <w:shd w:val="clear" w:fill="0E5F6B"/>
          </w:tcPr>
          <w:p>
            <w:r/>
            <w:r>
              <w:rPr>
                <w:b/>
                <w:color w:val="FFFFFF"/>
                <w:sz w:val="18"/>
              </w:rPr>
              <w:t>Status</w:t>
            </w:r>
          </w:p>
        </w:tc>
        <w:tc>
          <w:tcPr>
            <w:tcW w:type="dxa" w:w="4176"/>
            <w:shd w:val="clear" w:fill="0E5F6B"/>
          </w:tcPr>
          <w:p>
            <w:r/>
            <w:r>
              <w:rPr>
                <w:b/>
                <w:color w:val="FFFFFF"/>
                <w:sz w:val="18"/>
              </w:rPr>
              <w:t>Why it matters / where to check</w:t>
            </w:r>
          </w:p>
        </w:tc>
      </w:tr>
      <w:tr>
        <w:tc>
          <w:tcPr>
            <w:tcW w:type="dxa" w:w="432"/>
          </w:tcPr>
          <w:p>
            <w:r/>
            <w:r>
              <w:rPr>
                <w:sz w:val="17"/>
              </w:rPr>
              <w:t>1</w:t>
            </w:r>
          </w:p>
        </w:tc>
        <w:tc>
          <w:tcPr>
            <w:tcW w:type="dxa" w:w="2736"/>
          </w:tcPr>
          <w:p>
            <w:r/>
            <w:r>
              <w:rPr>
                <w:sz w:val="17"/>
              </w:rPr>
              <w:t>HF stock concentration</w:t>
            </w:r>
          </w:p>
        </w:tc>
        <w:tc>
          <w:tcPr>
            <w:tcW w:type="dxa" w:w="2448"/>
          </w:tcPr>
          <w:p>
            <w:r/>
            <w:r>
              <w:rPr>
                <w:sz w:val="17"/>
              </w:rPr>
              <w:t>Still open (assumed 49% in this report)</w:t>
            </w:r>
          </w:p>
        </w:tc>
        <w:tc>
          <w:tcPr>
            <w:tcW w:type="dxa" w:w="4176"/>
          </w:tcPr>
          <w:p>
            <w:r/>
            <w:r>
              <w:rPr>
                <w:sz w:val="17"/>
              </w:rPr>
              <w:t>Needed to finalize the exact molar HF concentration in the bath (Sections 1.2/5); does not affect the AgNO3 series itself. Check the reagent bottle label.</w:t>
            </w:r>
          </w:p>
        </w:tc>
      </w:tr>
      <w:tr>
        <w:tc>
          <w:tcPr>
            <w:tcW w:type="dxa" w:w="432"/>
            <w:shd w:val="clear" w:fill="E4EFF0"/>
          </w:tcPr>
          <w:p>
            <w:r/>
            <w:r>
              <w:rPr>
                <w:sz w:val="17"/>
              </w:rPr>
              <w:t>2</w:t>
            </w:r>
          </w:p>
        </w:tc>
        <w:tc>
          <w:tcPr>
            <w:tcW w:type="dxa" w:w="2736"/>
            <w:shd w:val="clear" w:fill="E4EFF0"/>
          </w:tcPr>
          <w:p>
            <w:r/>
            <w:r>
              <w:rPr>
                <w:sz w:val="17"/>
              </w:rPr>
              <w:t>NAM stock concentration</w:t>
            </w:r>
          </w:p>
        </w:tc>
        <w:tc>
          <w:tcPr>
            <w:tcW w:type="dxa" w:w="2448"/>
            <w:shd w:val="clear" w:fill="E4EFF0"/>
          </w:tcPr>
          <w:p>
            <w:r/>
            <w:r>
              <w:rPr>
                <w:sz w:val="17"/>
              </w:rPr>
              <w:t>RESOLVED — 1 mg/mL in DI water (3.63 mM)</w:t>
            </w:r>
          </w:p>
        </w:tc>
        <w:tc>
          <w:tcPr>
            <w:tcW w:type="dxa" w:w="4176"/>
            <w:shd w:val="clear" w:fill="E4EFF0"/>
          </w:tcPr>
          <w:p>
            <w:r/>
            <w:r>
              <w:rPr>
                <w:sz w:val="17"/>
              </w:rPr>
              <w:t>Now used throughout Section 6.</w:t>
            </w:r>
          </w:p>
        </w:tc>
      </w:tr>
      <w:tr>
        <w:tc>
          <w:tcPr>
            <w:tcW w:type="dxa" w:w="432"/>
          </w:tcPr>
          <w:p>
            <w:r/>
            <w:r>
              <w:rPr>
                <w:sz w:val="17"/>
              </w:rPr>
              <w:t>3</w:t>
            </w:r>
          </w:p>
        </w:tc>
        <w:tc>
          <w:tcPr>
            <w:tcW w:type="dxa" w:w="2736"/>
          </w:tcPr>
          <w:p>
            <w:r/>
            <w:r>
              <w:rPr>
                <w:sz w:val="17"/>
              </w:rPr>
              <w:t>Exact laser power in mW for "P5" and "P10"</w:t>
            </w:r>
          </w:p>
        </w:tc>
        <w:tc>
          <w:tcPr>
            <w:tcW w:type="dxa" w:w="2448"/>
          </w:tcPr>
          <w:p>
            <w:r/>
            <w:r>
              <w:rPr>
                <w:sz w:val="17"/>
              </w:rPr>
              <w:t>Still open</w:t>
            </w:r>
          </w:p>
        </w:tc>
        <w:tc>
          <w:tcPr>
            <w:tcW w:type="dxa" w:w="4176"/>
          </w:tcPr>
          <w:p>
            <w:r/>
            <w:r>
              <w:rPr>
                <w:sz w:val="17"/>
              </w:rPr>
              <w:t>Needed to know if today's two power levels were meaningfully different, and to report absolute power going forward. Check BWSpec's display, or the BTC665N-785H spec sheet/label.</w:t>
            </w:r>
          </w:p>
        </w:tc>
      </w:tr>
      <w:tr>
        <w:tc>
          <w:tcPr>
            <w:tcW w:type="dxa" w:w="432"/>
            <w:shd w:val="clear" w:fill="E4EFF0"/>
          </w:tcPr>
          <w:p>
            <w:r/>
            <w:r>
              <w:rPr>
                <w:sz w:val="17"/>
              </w:rPr>
              <w:t>4</w:t>
            </w:r>
          </w:p>
        </w:tc>
        <w:tc>
          <w:tcPr>
            <w:tcW w:type="dxa" w:w="2736"/>
            <w:shd w:val="clear" w:fill="E4EFF0"/>
          </w:tcPr>
          <w:p>
            <w:r/>
            <w:r>
              <w:rPr>
                <w:sz w:val="17"/>
              </w:rPr>
              <w:t>Which R6G concentration (0.1/0.01/0.001 mM) corresponds to each SP_xx.csv file today</w:t>
            </w:r>
          </w:p>
        </w:tc>
        <w:tc>
          <w:tcPr>
            <w:tcW w:type="dxa" w:w="2448"/>
            <w:shd w:val="clear" w:fill="E4EFF0"/>
          </w:tcPr>
          <w:p>
            <w:r/>
            <w:r>
              <w:rPr>
                <w:sz w:val="17"/>
              </w:rPr>
              <w:t>Still open</w:t>
            </w:r>
          </w:p>
        </w:tc>
        <w:tc>
          <w:tcPr>
            <w:tcW w:type="dxa" w:w="4176"/>
            <w:shd w:val="clear" w:fill="E4EFF0"/>
          </w:tcPr>
          <w:p>
            <w:r/>
            <w:r>
              <w:rPr>
                <w:sz w:val="17"/>
              </w:rPr>
              <w:t>Would let today's R6G data be re-analyzed as a proper concentration-response curve. Check your measurement log for today, if one was kept alongside the files.</w:t>
            </w:r>
          </w:p>
        </w:tc>
      </w:tr>
    </w:tbl>
    <w:p>
      <w:pPr>
        <w:spacing w:after="40"/>
      </w:pP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E5F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