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easuring-laser-power-at-the-sample"/>
      <w:r>
        <w:t xml:space="preserve">Measuring Laser Power at the Sample</w:t>
      </w:r>
      <w:bookmarkEnd w:id="20"/>
    </w:p>
    <w:p>
      <w:pPr>
        <w:pStyle w:val="BlockText"/>
      </w:pPr>
      <w:r>
        <w:rPr>
          <w:b/>
        </w:rPr>
        <w:t xml:space="preserve">Update — you do not need this to submit the paper.</w:t>
      </w:r>
    </w:p>
    <w:p>
      <w:pPr>
        <w:pStyle w:val="BlockText"/>
      </w:pPr>
      <w:r>
        <w:t xml:space="preserve">The manuscript has been rewritten to report power settings as percentages of</w:t>
      </w:r>
      <w:r>
        <w:t xml:space="preserve"> </w:t>
      </w:r>
      <w:r>
        <w:t xml:space="preserve">the instrument maximum, together with the manufacturer’s nominal figures and an</w:t>
      </w:r>
      <w:r>
        <w:t xml:space="preserve"> </w:t>
      </w:r>
      <w:r>
        <w:t xml:space="preserve">explicitly-labelled estimated range for the power density. That is honest,</w:t>
      </w:r>
      <w:r>
        <w:t xml:space="preserve"> </w:t>
      </w:r>
      <w:r>
        <w:t xml:space="preserve">publishable, and common practice in the Raman literature.</w:t>
      </w:r>
    </w:p>
    <w:p>
      <w:pPr>
        <w:pStyle w:val="BlockText"/>
      </w:pPr>
      <w:r>
        <w:t xml:space="preserve">This protocol is kept for if a meter becomes available later, or if a reviewer</w:t>
      </w:r>
      <w:r>
        <w:t xml:space="preserve"> </w:t>
      </w:r>
      <w:r>
        <w:t xml:space="preserve">asks. Section 3 lists free routes that need no equipment.</w:t>
      </w:r>
    </w:p>
    <w:p>
      <w:pPr>
        <w:pStyle w:val="FirstParagraph"/>
      </w:pPr>
      <w:r>
        <w:rPr>
          <w:b/>
        </w:rPr>
        <w:t xml:space="preserve">Instrument:</w:t>
      </w:r>
      <w:r>
        <w:t xml:space="preserve"> </w:t>
      </w:r>
      <w:r>
        <w:t xml:space="preserve">i-Raman Plus BWS465-785H + BAC102-785E microscope, 20× Plan, 785 nm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the paper reports a laser-damage threshold. Stated as</w:t>
      </w:r>
      <w:r>
        <w:t xml:space="preserve"> </w:t>
      </w:r>
      <w:r>
        <w:t xml:space="preserve">“</w:t>
      </w:r>
      <w:r>
        <w:t xml:space="preserve">90% power</w:t>
      </w:r>
      <w:r>
        <w:t xml:space="preserve">”</w:t>
      </w:r>
      <w:r>
        <w:t xml:space="preserve"> </w:t>
      </w:r>
      <w:r>
        <w:t xml:space="preserve">it is</w:t>
      </w:r>
      <w:r>
        <w:t xml:space="preserve"> </w:t>
      </w:r>
      <w:r>
        <w:t xml:space="preserve">unreproducible on any other instrument. Stated as a power density in mW µm⁻² it</w:t>
      </w:r>
      <w:r>
        <w:t xml:space="preserve"> </w:t>
      </w:r>
      <w:r>
        <w:t xml:space="preserve">is a physical quantity anyone can check.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you-need"/>
      <w:r>
        <w:t xml:space="preserve">1. What you need</w:t>
      </w:r>
      <w:bookmarkEnd w:id="21"/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</w:rPr>
        <w:t xml:space="preserve">optical power meter</w:t>
      </w:r>
      <w:r>
        <w:t xml:space="preserve"> </w:t>
      </w:r>
      <w:r>
        <w:t xml:space="preserve">with a sensor rated for 785 nm and at least ~500 mW.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Suitable?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Thermal (thermopile)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Best</w:t>
            </w:r>
          </w:p>
        </w:tc>
        <w:tc>
          <w:p>
            <w:pPr>
              <w:pStyle w:val="Compact"/>
              <w:jc w:val="left"/>
            </w:pPr>
            <w:r>
              <w:t xml:space="preserve">Handles high power, wavelength-flat, won’t be damaged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Photodiode</w:t>
            </w:r>
          </w:p>
        </w:tc>
        <w:tc>
          <w:p>
            <w:pPr>
              <w:pStyle w:val="Compact"/>
              <w:jc w:val="left"/>
            </w:pPr>
            <w:r>
              <w:t xml:space="preserve">Usable</w:t>
            </w:r>
          </w:p>
        </w:tc>
        <w:tc>
          <w:p>
            <w:pPr>
              <w:pStyle w:val="Compact"/>
              <w:jc w:val="left"/>
            </w:pPr>
            <w:r>
              <w:t xml:space="preserve">Must set wavelength to 785 nm;</w:t>
            </w:r>
            <w:r>
              <w:t xml:space="preserve"> </w:t>
            </w:r>
            <w:r>
              <w:rPr>
                <w:b/>
              </w:rPr>
              <w:t xml:space="preserve">can be damaged by a focused beam</w:t>
            </w:r>
          </w:p>
        </w:tc>
      </w:tr>
    </w:tbl>
    <w:p>
      <w:pPr>
        <w:pStyle w:val="BodyText"/>
      </w:pPr>
      <w:r>
        <w:t xml:space="preserve">Common models: Thorlabs PM100D/PM16 series, Ophir Nova/Vega, Coherent LabMax,</w:t>
      </w:r>
      <w:r>
        <w:t xml:space="preserve"> </w:t>
      </w:r>
      <w:r>
        <w:t xml:space="preserve">Gentec. Any photonics, laser or optics lab at IIT Jodhpur will have one — this is</w:t>
      </w:r>
      <w:r>
        <w:t xml:space="preserve"> </w:t>
      </w:r>
      <w:r>
        <w:t xml:space="preserve">standard equipment, worth asking around before buying.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ocedure"/>
      <w:r>
        <w:t xml:space="preserve">2. Procedure</w:t>
      </w:r>
      <w:bookmarkEnd w:id="22"/>
    </w:p>
    <w:p>
      <w:pPr>
        <w:numPr>
          <w:ilvl w:val="0"/>
          <w:numId w:val="1001"/>
        </w:numPr>
      </w:pPr>
      <w:r>
        <w:rPr>
          <w:b/>
        </w:rPr>
        <w:t xml:space="preserve">Set the meter to 785 nm.</w:t>
      </w:r>
      <w:r>
        <w:t xml:space="preserve"> </w:t>
      </w:r>
      <w:r>
        <w:t xml:space="preserve">Photodiode sensors are strongly wavelength</w:t>
      </w:r>
      <w:r>
        <w:t xml:space="preserve"> </w:t>
      </w:r>
      <w:r>
        <w:t xml:space="preserve">dependent; a wrong setting gives a wrong answer with no warning.</w:t>
      </w:r>
    </w:p>
    <w:p>
      <w:pPr>
        <w:numPr>
          <w:ilvl w:val="0"/>
          <w:numId w:val="1001"/>
        </w:numPr>
      </w:pPr>
      <w:r>
        <w:rPr>
          <w:b/>
        </w:rPr>
        <w:t xml:space="preserve">Zero the meter</w:t>
      </w:r>
      <w:r>
        <w:t xml:space="preserve"> </w:t>
      </w:r>
      <w:r>
        <w:t xml:space="preserve">with the laser off or shuttered.</w:t>
      </w:r>
    </w:p>
    <w:p>
      <w:pPr>
        <w:numPr>
          <w:ilvl w:val="0"/>
          <w:numId w:val="1001"/>
        </w:numPr>
      </w:pPr>
      <w:r>
        <w:rPr>
          <w:b/>
        </w:rPr>
        <w:t xml:space="preserve">Position the sensor at the sample plane</w:t>
      </w:r>
      <w:r>
        <w:t xml:space="preserve"> </w:t>
      </w:r>
      <w:r>
        <w:t xml:space="preserve">— where the powder normally sits,</w:t>
      </w:r>
      <w:r>
        <w:t xml:space="preserve"> </w:t>
      </w:r>
      <w:r>
        <w:t xml:space="preserve">at the objective’s working distance. This is the measurement that matters.</w:t>
      </w:r>
      <w:r>
        <w:t xml:space="preserve"> </w:t>
      </w:r>
      <w:r>
        <w:t xml:space="preserve">Measuring anywhere else gives the wrong number.</w:t>
      </w:r>
    </w:p>
    <w:p>
      <w:pPr>
        <w:numPr>
          <w:ilvl w:val="0"/>
          <w:numId w:val="1001"/>
        </w:numPr>
      </w:pPr>
      <w:r>
        <w:rPr>
          <w:b/>
        </w:rPr>
        <w:t xml:space="preserve">Defocus slightly if using a photodiode.</w:t>
      </w:r>
      <w:r>
        <w:t xml:space="preserve"> </w:t>
      </w:r>
      <w:r>
        <w:t xml:space="preserve">Move the sensor 1–2 mm below the</w:t>
      </w:r>
      <w:r>
        <w:t xml:space="preserve"> </w:t>
      </w:r>
      <w:r>
        <w:t xml:space="preserve">focal plane so the beam has expanded. All the light is still collected, but the</w:t>
      </w:r>
      <w:r>
        <w:t xml:space="preserve"> </w:t>
      </w:r>
      <w:r>
        <w:t xml:space="preserve">intensity on the detector element is far lower. A focused 785 nm beam at</w:t>
      </w:r>
      <w:r>
        <w:t xml:space="preserve"> </w:t>
      </w:r>
      <w:r>
        <w:t xml:space="preserve">&gt;100 mW can permanently damage a photodiode sensor. Thermal sensors are safe</w:t>
      </w:r>
      <w:r>
        <w:t xml:space="preserve"> </w:t>
      </w:r>
      <w:r>
        <w:t xml:space="preserve">at focus.</w:t>
      </w:r>
    </w:p>
    <w:p>
      <w:pPr>
        <w:numPr>
          <w:ilvl w:val="0"/>
          <w:numId w:val="1001"/>
        </w:numPr>
      </w:pPr>
      <w:r>
        <w:rPr>
          <w:b/>
        </w:rPr>
        <w:t xml:space="preserve">Record at several settings</w:t>
      </w:r>
      <w:r>
        <w:t xml:space="preserve"> </w:t>
      </w:r>
      <w:r>
        <w:t xml:space="preserve">— 5%, 40%, 70%, 90%. Four points confirm the</w:t>
      </w:r>
      <w:r>
        <w:t xml:space="preserve"> </w:t>
      </w:r>
      <w:r>
        <w:t xml:space="preserve">response is linear and give you the whole curve rather than one point.</w:t>
      </w:r>
    </w:p>
    <w:p>
      <w:pPr>
        <w:numPr>
          <w:ilvl w:val="0"/>
          <w:numId w:val="1001"/>
        </w:numPr>
      </w:pPr>
      <w:r>
        <w:rPr>
          <w:b/>
        </w:rPr>
        <w:t xml:space="preserve">Let each reading settle</w:t>
      </w:r>
      <w:r>
        <w:t xml:space="preserve">, especially with a thermal sensor, which takes</w:t>
      </w:r>
      <w:r>
        <w:t xml:space="preserve"> </w:t>
      </w:r>
      <w:r>
        <w:t xml:space="preserve">several seconds to equilibrate.</w:t>
      </w:r>
    </w:p>
    <w:p>
      <w:pPr>
        <w:pStyle w:val="FirstParagraph"/>
      </w:pPr>
      <w:r>
        <w:t xml:space="preserve">Wear the laser safety goggles supplied with the instrument. This is a Class 3B</w:t>
      </w:r>
      <w:r>
        <w:t xml:space="preserve"> </w:t>
      </w:r>
      <w:r>
        <w:t xml:space="preserve">laser and you will have the beam path open.</w:t>
      </w:r>
    </w:p>
    <w:p>
      <w:pPr>
        <w:pStyle w:val="Heading3"/>
      </w:pPr>
      <w:bookmarkStart w:id="23" w:name="record-this"/>
      <w:r>
        <w:t xml:space="preserve">Record this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Reading (mW)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0beaae54cd81b240b70606cf8bffc4189d02a5d"/>
      <w:r>
        <w:t xml:space="preserve">3. If no power meter is available — free routes</w:t>
      </w:r>
      <w:bookmarkEnd w:id="24"/>
    </w:p>
    <w:p>
      <w:pPr>
        <w:pStyle w:val="FirstParagraph"/>
      </w:pPr>
      <w:r>
        <w:rPr>
          <w:b/>
        </w:rPr>
        <w:t xml:space="preserve">In order of effort. None requires buying anything.</w:t>
      </w:r>
    </w:p>
    <w:p>
      <w:pPr>
        <w:pStyle w:val="Heading3"/>
      </w:pPr>
      <w:bookmarkStart w:id="25" w:name="a.-ask-metrohm-do-this-first"/>
      <w:r>
        <w:t xml:space="preserve">a. Ask Metrohm — do this first</w:t>
      </w:r>
      <w:bookmarkEnd w:id="25"/>
    </w:p>
    <w:p>
      <w:pPr>
        <w:pStyle w:val="FirstParagraph"/>
      </w:pPr>
      <w:r>
        <w:t xml:space="preserve">One email to your Metrohm/B&amp;W Tek India representative:</w:t>
      </w:r>
    </w:p>
    <w:p>
      <w:pPr>
        <w:pStyle w:val="BlockText"/>
      </w:pPr>
      <w:r>
        <w:t xml:space="preserve">“</w:t>
      </w:r>
      <w:r>
        <w:t xml:space="preserve">For the BWS465-785H with the BAC102-785E microscope and a 20× Plan objective,</w:t>
      </w:r>
      <w:r>
        <w:t xml:space="preserve"> </w:t>
      </w:r>
      <w:r>
        <w:t xml:space="preserve">what is the approximate optical transmission from probe output to sample, or</w:t>
      </w:r>
      <w:r>
        <w:t xml:space="preserve"> </w:t>
      </w:r>
      <w:r>
        <w:t xml:space="preserve">the typical power at the sample at a given percentage setting?</w:t>
      </w:r>
      <w:r>
        <w:t xml:space="preserve">”</w:t>
      </w:r>
    </w:p>
    <w:p>
      <w:pPr>
        <w:pStyle w:val="FirstParagraph"/>
      </w:pPr>
      <w:r>
        <w:t xml:space="preserve">They may have the figure already. Costs nothing, and an answer from the</w:t>
      </w:r>
      <w:r>
        <w:t xml:space="preserve"> </w:t>
      </w:r>
      <w:r>
        <w:t xml:space="preserve">manufacturer is citable.</w:t>
      </w:r>
    </w:p>
    <w:p>
      <w:pPr>
        <w:pStyle w:val="Heading3"/>
      </w:pPr>
      <w:bookmarkStart w:id="26" w:name="b.-central-instrumentation-facility"/>
      <w:r>
        <w:t xml:space="preserve">b. Central Instrumentation Facility</w:t>
      </w:r>
      <w:bookmarkEnd w:id="26"/>
    </w:p>
    <w:p>
      <w:pPr>
        <w:pStyle w:val="FirstParagraph"/>
      </w:pPr>
      <w:r>
        <w:t xml:space="preserve">IIT Jodhpur’s CIF, and the physics and materials departments, will almost</w:t>
      </w:r>
      <w:r>
        <w:t xml:space="preserve"> </w:t>
      </w:r>
      <w:r>
        <w:t xml:space="preserve">certainly have an optical power meter. Photonics and laser groups use them</w:t>
      </w:r>
      <w:r>
        <w:t xml:space="preserve"> </w:t>
      </w:r>
      <w:r>
        <w:t xml:space="preserve">routinely. A twenty-minute loan is all that is needed.</w:t>
      </w:r>
    </w:p>
    <w:p>
      <w:pPr>
        <w:pStyle w:val="Heading3"/>
      </w:pPr>
      <w:bookmarkStart w:id="27" w:name="c.-any-group-running-a-laser"/>
      <w:r>
        <w:t xml:space="preserve">c. Any group running a laser</w:t>
      </w:r>
      <w:bookmarkEnd w:id="27"/>
    </w:p>
    <w:p>
      <w:pPr>
        <w:pStyle w:val="FirstParagraph"/>
      </w:pPr>
      <w:r>
        <w:t xml:space="preserve">Ask around. Power meters are common shared equipment and people generally lend</w:t>
      </w:r>
      <w:r>
        <w:t xml:space="preserve"> </w:t>
      </w:r>
      <w:r>
        <w:t xml:space="preserve">them without ceremony.</w:t>
      </w:r>
    </w:p>
    <w:p>
      <w:pPr>
        <w:pStyle w:val="Heading3"/>
      </w:pPr>
      <w:bookmarkStart w:id="28" w:name="Xd36ee163fd82fde6abf7b31a0a60f6929d9a5bf"/>
      <w:r>
        <w:t xml:space="preserve">d. Estimate from component specifications — what the paper now does</w:t>
      </w:r>
      <w:bookmarkEnd w:id="28"/>
    </w:p>
    <w:p>
      <w:pPr>
        <w:pStyle w:val="FirstParagraph"/>
      </w:pPr>
      <w:r>
        <w:t xml:space="preserve">A 20× Plan achromat transmits roughly 70–85% at 785 nm; microscope optics</w:t>
      </w:r>
      <w:r>
        <w:t xml:space="preserve"> </w:t>
      </w:r>
      <w:r>
        <w:t xml:space="preserve">(beamsplitter, filters, mirrors) perhaps 50–80%. Combined, about 40–65%.</w:t>
      </w:r>
    </w:p>
    <w:p>
      <w:pPr>
        <w:pStyle w:val="BodyText"/>
      </w:pPr>
      <w:r>
        <w:t xml:space="preserve">This is what the manuscript now reports,</w:t>
      </w:r>
      <w:r>
        <w:t xml:space="preserve"> </w:t>
      </w:r>
      <w:r>
        <w:rPr>
          <w:b/>
        </w:rPr>
        <w:t xml:space="preserve">clearly labelled as an estimate</w:t>
      </w:r>
      <w:r>
        <w:rPr>
          <w:b/>
        </w:rPr>
        <w:t xml:space="preserve"> </w:t>
      </w:r>
      <w:r>
        <w:rPr>
          <w:b/>
        </w:rPr>
        <w:t xml:space="preserve">derived from component specifications rather than a measurement</w:t>
      </w:r>
      <w:r>
        <w:t xml:space="preserve">. That</w:t>
      </w:r>
      <w:r>
        <w:t xml:space="preserve"> </w:t>
      </w:r>
      <w:r>
        <w:t xml:space="preserve">distinction is what makes it acceptable.</w:t>
      </w:r>
    </w:p>
    <w:p>
      <w:pPr>
        <w:pStyle w:val="Heading3"/>
      </w:pPr>
      <w:bookmarkStart w:id="29" w:name="e.-low-cost-meter-if-you-ever-want-one"/>
      <w:r>
        <w:t xml:space="preserve">e. Low-cost meter, if you ever want one</w:t>
      </w:r>
      <w:bookmarkEnd w:id="29"/>
    </w:p>
    <w:p>
      <w:pPr>
        <w:pStyle w:val="FirstParagraph"/>
      </w:pPr>
      <w:r>
        <w:t xml:space="preserve">Basic laser power meters covering 785 nm at a few hundred mW are available for</w:t>
      </w:r>
      <w:r>
        <w:t xml:space="preserve"> </w:t>
      </w:r>
      <w:r>
        <w:t xml:space="preserve">roughly ₹5,000–15,000. Accuracy is modest but adequate for an order-of-magnitude</w:t>
      </w:r>
      <w:r>
        <w:t xml:space="preserve"> </w:t>
      </w:r>
      <w:r>
        <w:t xml:space="preserve">figure. Not necessary for this paper.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onverting-to-power-density"/>
      <w:r>
        <w:t xml:space="preserve">4. Converting to power density</w:t>
      </w:r>
      <w:bookmarkEnd w:id="30"/>
    </w:p>
    <w:p>
      <w:pPr>
        <w:pStyle w:val="Heading3"/>
      </w:pPr>
      <w:bookmarkStart w:id="31" w:name="spot-size"/>
      <w:r>
        <w:t xml:space="preserve">Spot size</w:t>
      </w:r>
      <w:bookmarkEnd w:id="31"/>
    </w:p>
    <w:p>
      <w:pPr>
        <w:pStyle w:val="FirstParagraph"/>
      </w:pPr>
      <w:r>
        <w:t xml:space="preserve">For a diffraction-limited focus:</w:t>
      </w:r>
    </w:p>
    <w:p>
      <w:pPr>
        <w:pStyle w:val="SourceCode"/>
      </w:pPr>
      <w:r>
        <w:rPr>
          <w:rStyle w:val="VerbatimChar"/>
        </w:rPr>
        <w:t xml:space="preserve">d = 1.22 λ / NA</w:t>
      </w:r>
    </w:p>
    <w:p>
      <w:pPr>
        <w:pStyle w:val="FirstParagraph"/>
      </w:pPr>
      <w:r>
        <w:t xml:space="preserve">With λ = 0.785 µm and a 20× Plan objective (NA ≈ 0.40):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Spot diameter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p>
            <w:pPr>
              <w:pStyle w:val="Compact"/>
              <w:jc w:val="left"/>
            </w:pPr>
            <w:r>
              <w:t xml:space="preserve">2.74 µm</w:t>
            </w:r>
          </w:p>
        </w:tc>
        <w:tc>
          <w:p>
            <w:pPr>
              <w:pStyle w:val="Compact"/>
              <w:jc w:val="left"/>
            </w:pPr>
            <w:r>
              <w:t xml:space="preserve">5.88 µm²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0.40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2.39 µm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4.50 µm²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p>
            <w:pPr>
              <w:pStyle w:val="Compact"/>
              <w:jc w:val="left"/>
            </w:pPr>
            <w:r>
              <w:t xml:space="preserve">2.13 µm</w:t>
            </w:r>
          </w:p>
        </w:tc>
        <w:tc>
          <w:p>
            <w:pPr>
              <w:pStyle w:val="Compact"/>
              <w:jc w:val="left"/>
            </w:pPr>
            <w:r>
              <w:t xml:space="preserve">3.56 µm²</w:t>
            </w:r>
          </w:p>
        </w:tc>
      </w:tr>
    </w:tbl>
    <w:p>
      <w:pPr>
        <w:pStyle w:val="BodyText"/>
      </w:pPr>
      <w:r>
        <w:rPr>
          <w:b/>
        </w:rPr>
        <w:t xml:space="preserve">Check the NA marked on your objective barrel</w:t>
      </w:r>
      <w:r>
        <w:t xml:space="preserve"> </w:t>
      </w:r>
      <w:r>
        <w:t xml:space="preserve">— it is printed on the side.</w:t>
      </w:r>
    </w:p>
    <w:p>
      <w:pPr>
        <w:pStyle w:val="BodyText"/>
      </w:pPr>
      <w:r>
        <w:t xml:space="preserve">Note the real spot is often</w:t>
      </w:r>
      <w:r>
        <w:t xml:space="preserve"> </w:t>
      </w:r>
      <w:r>
        <w:rPr>
          <w:b/>
        </w:rPr>
        <w:t xml:space="preserve">larger</w:t>
      </w:r>
      <w:r>
        <w:t xml:space="preserve"> </w:t>
      </w:r>
      <w:r>
        <w:t xml:space="preserve">than the diffraction limit, because the</w:t>
      </w:r>
      <w:r>
        <w:t xml:space="preserve"> </w:t>
      </w:r>
      <w:r>
        <w:t xml:space="preserve">probe delivers an image of the fibre core rather than a perfect point. If your</w:t>
      </w:r>
      <w:r>
        <w:t xml:space="preserve"> </w:t>
      </w:r>
      <w:r>
        <w:t xml:space="preserve">BAC102 has a video microscope, you may be able to see the spot and estimate its</w:t>
      </w:r>
      <w:r>
        <w:t xml:space="preserve"> </w:t>
      </w:r>
      <w:r>
        <w:t xml:space="preserve">diameter against a stage micrometer. That is a better number than the theoretical</w:t>
      </w:r>
      <w:r>
        <w:t xml:space="preserve"> </w:t>
      </w:r>
      <w:r>
        <w:t xml:space="preserve">one.</w:t>
      </w:r>
    </w:p>
    <w:p>
      <w:pPr>
        <w:pStyle w:val="Heading3"/>
      </w:pPr>
      <w:bookmarkStart w:id="32" w:name="the-calculation"/>
      <w:r>
        <w:t xml:space="preserve">The calculation</w:t>
      </w:r>
      <w:bookmarkEnd w:id="32"/>
    </w:p>
    <w:p>
      <w:pPr>
        <w:pStyle w:val="SourceCode"/>
      </w:pPr>
      <w:r>
        <w:rPr>
          <w:rStyle w:val="VerbatimChar"/>
        </w:rPr>
        <w:t xml:space="preserve">power density = P_sample / spot area</w:t>
      </w:r>
    </w:p>
    <w:p>
      <w:pPr>
        <w:pStyle w:val="Heading3"/>
      </w:pPr>
      <w:bookmarkStart w:id="33" w:name="expected-range-for-your-system"/>
      <w:r>
        <w:t xml:space="preserve">Expected range for your system</w:t>
      </w:r>
      <w:bookmarkEnd w:id="33"/>
    </w:p>
    <w:p>
      <w:pPr>
        <w:pStyle w:val="FirstParagraph"/>
      </w:pPr>
      <w:r>
        <w:t xml:space="preserve">Taking 238 mW at the probe for the 70% setting: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Transmission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 at sample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Power density</w:t>
            </w:r>
          </w:p>
        </w:tc>
        <w:tc>
          <w:tcPr>
            <w:tcBorders>
              <w:bottom w:val="single"/>
            </w:tcBorders>
            <w:vAlign w:val="bottom"/>
          </w:tcPr>
          <w:p/>
        </w:tc>
      </w:tr>
      <w:tr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71 mW</w:t>
            </w:r>
          </w:p>
        </w:tc>
        <w:tc>
          <w:p>
            <w:pPr>
              <w:pStyle w:val="Compact"/>
              <w:jc w:val="left"/>
            </w:pPr>
            <w:r>
              <w:t xml:space="preserve">15.9 mW µm⁻²</w:t>
            </w:r>
          </w:p>
        </w:tc>
        <w:tc>
          <w:p>
            <w:pPr>
              <w:pStyle w:val="Compact"/>
              <w:jc w:val="left"/>
            </w:pPr>
            <w:r>
              <w:t xml:space="preserve">1.6 MW cm⁻²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95 mW</w:t>
            </w:r>
          </w:p>
        </w:tc>
        <w:tc>
          <w:p>
            <w:pPr>
              <w:pStyle w:val="Compact"/>
              <w:jc w:val="left"/>
            </w:pPr>
            <w:r>
              <w:t xml:space="preserve">21.1 mW µm⁻²</w:t>
            </w:r>
          </w:p>
        </w:tc>
        <w:tc>
          <w:p>
            <w:pPr>
              <w:pStyle w:val="Compact"/>
              <w:jc w:val="left"/>
            </w:pPr>
            <w:r>
              <w:t xml:space="preserve">2.1 MW cm⁻²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119 mW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26.4 mW µm⁻²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2.6 MW cm⁻²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143 mW</w:t>
            </w:r>
          </w:p>
        </w:tc>
        <w:tc>
          <w:p>
            <w:pPr>
              <w:pStyle w:val="Compact"/>
              <w:jc w:val="left"/>
            </w:pPr>
            <w:r>
              <w:t xml:space="preserve">31.7 mW µm⁻²</w:t>
            </w:r>
          </w:p>
        </w:tc>
        <w:tc>
          <w:p>
            <w:pPr>
              <w:pStyle w:val="Compact"/>
              <w:jc w:val="left"/>
            </w:pPr>
            <w:r>
              <w:t xml:space="preserve">3.2 MW cm⁻²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p>
            <w:pPr>
              <w:pStyle w:val="Compact"/>
              <w:jc w:val="left"/>
            </w:pPr>
            <w:r>
              <w:t xml:space="preserve">167 mW</w:t>
            </w:r>
          </w:p>
        </w:tc>
        <w:tc>
          <w:p>
            <w:pPr>
              <w:pStyle w:val="Compact"/>
              <w:jc w:val="left"/>
            </w:pPr>
            <w:r>
              <w:t xml:space="preserve">37.0 mW µm⁻²</w:t>
            </w:r>
          </w:p>
        </w:tc>
        <w:tc>
          <w:p>
            <w:pPr>
              <w:pStyle w:val="Compact"/>
              <w:jc w:val="left"/>
            </w:pPr>
            <w:r>
              <w:t xml:space="preserve">3.7 MW cm⁻²</w:t>
            </w:r>
          </w:p>
        </w:tc>
      </w:tr>
    </w:tbl>
    <w:p>
      <w:pPr>
        <w:pStyle w:val="BodyText"/>
      </w:pPr>
      <w:r>
        <w:rPr>
          <w:i/>
        </w:rPr>
        <w:t xml:space="preserve">(1 mW µm⁻² = 0.1 MW cm⁻²)</w:t>
      </w:r>
    </w:p>
    <w:p>
      <w:pPr>
        <w:pStyle w:val="BodyText"/>
      </w:pPr>
      <w:r>
        <w:rPr>
          <w:b/>
        </w:rPr>
        <w:t xml:space="preserve">These numbers make your damage result physically sensible.</w:t>
      </w:r>
      <w:r>
        <w:t xml:space="preserve"> </w:t>
      </w:r>
      <w:r>
        <w:t xml:space="preserve">Power densities of</w:t>
      </w:r>
      <w:r>
        <w:t xml:space="preserve"> </w:t>
      </w:r>
      <w:r>
        <w:t xml:space="preserve">a few MW cm⁻² will readily char an organic powder over 60 seconds, which is</w:t>
      </w:r>
      <w:r>
        <w:t xml:space="preserve"> </w:t>
      </w:r>
      <w:r>
        <w:t xml:space="preserve">exactly what you observed at 90% / 60 s. Percentages conceal that; power density</w:t>
      </w:r>
      <w:r>
        <w:t xml:space="preserve"> </w:t>
      </w:r>
      <w:r>
        <w:t xml:space="preserve">explains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what-to-report-in-the-paper"/>
      <w:r>
        <w:t xml:space="preserve">5. What to report in the paper</w:t>
      </w:r>
      <w:bookmarkEnd w:id="34"/>
    </w:p>
    <w:p>
      <w:pPr>
        <w:pStyle w:val="FirstParagraph"/>
      </w:pPr>
      <w:r>
        <w:t xml:space="preserve">Once measured, the Methods section should state:</w:t>
      </w:r>
    </w:p>
    <w:p>
      <w:pPr>
        <w:pStyle w:val="BlockText"/>
      </w:pPr>
      <w:r>
        <w:t xml:space="preserve">“</w:t>
      </w:r>
      <w:r>
        <w:t xml:space="preserve">Laser power at the sample was measured with a [meter model] at the objective</w:t>
      </w:r>
      <w:r>
        <w:t xml:space="preserve"> </w:t>
      </w:r>
      <w:r>
        <w:t xml:space="preserve">focal plane and was</w:t>
      </w:r>
      <w:r>
        <w:t xml:space="preserve"> </w:t>
      </w:r>
      <w:r>
        <w:rPr>
          <w:b/>
        </w:rPr>
        <w:t xml:space="preserve">X mW</w:t>
      </w:r>
      <w:r>
        <w:t xml:space="preserve"> </w:t>
      </w:r>
      <w:r>
        <w:t xml:space="preserve">at the [Y]% setting used for the final</w:t>
      </w:r>
      <w:r>
        <w:t xml:space="preserve"> </w:t>
      </w:r>
      <w:r>
        <w:t xml:space="preserve">measurements. With a 20× objective (NA Z), this corresponds to a spot diameter</w:t>
      </w:r>
      <w:r>
        <w:t xml:space="preserve"> </w:t>
      </w:r>
      <w:r>
        <w:t xml:space="preserve">of approximately</w:t>
      </w:r>
      <w:r>
        <w:t xml:space="preserve"> </w:t>
      </w:r>
      <w:r>
        <w:rPr>
          <w:b/>
        </w:rPr>
        <w:t xml:space="preserve">D µm</w:t>
      </w:r>
      <w:r>
        <w:t xml:space="preserve"> </w:t>
      </w:r>
      <w:r>
        <w:t xml:space="preserve">and a power density of approximately</w:t>
      </w:r>
      <w:r>
        <w:t xml:space="preserve"> </w:t>
      </w:r>
      <w:r>
        <w:rPr>
          <w:b/>
        </w:rPr>
        <w:t xml:space="preserve">P mW µm⁻²</w:t>
      </w:r>
      <w:r>
        <w:t xml:space="preserve">.</w:t>
      </w:r>
      <w:r>
        <w:t xml:space="preserve">”</w:t>
      </w:r>
    </w:p>
    <w:p>
      <w:pPr>
        <w:pStyle w:val="FirstParagraph"/>
      </w:pPr>
      <w:r>
        <w:t xml:space="preserve">And Section 3.3 should restate the damage threshold in those terms:</w:t>
      </w:r>
    </w:p>
    <w:p>
      <w:pPr>
        <w:pStyle w:val="BlockText"/>
      </w:pPr>
      <w:r>
        <w:t xml:space="preserve">“</w:t>
      </w:r>
      <w:r>
        <w:t xml:space="preserve">Sample degradation occurred at a power density of approximately</w:t>
      </w:r>
      <w:r>
        <w:t xml:space="preserve"> </w:t>
      </w:r>
      <w:r>
        <w:rPr>
          <w:b/>
        </w:rPr>
        <w:t xml:space="preserve">P mW µm⁻²</w:t>
      </w:r>
      <w:r>
        <w:t xml:space="preserve"> </w:t>
      </w:r>
      <w:r>
        <w:t xml:space="preserve">with 60 s exposure, while</w:t>
      </w:r>
      <w:r>
        <w:t xml:space="preserve"> </w:t>
      </w:r>
      <w:r>
        <w:rPr>
          <w:b/>
        </w:rPr>
        <w:t xml:space="preserve">P′ mW µm⁻²</w:t>
      </w:r>
      <w:r>
        <w:t xml:space="preserve"> </w:t>
      </w:r>
      <w:r>
        <w:t xml:space="preserve">for 30 s produced no detectable</w:t>
      </w:r>
      <w:r>
        <w:t xml:space="preserve"> </w:t>
      </w:r>
      <w:r>
        <w:t xml:space="preserve">change over ten consecutive scans.</w:t>
      </w:r>
      <w:r>
        <w:t xml:space="preserve">”</w:t>
      </w:r>
    </w:p>
    <w:p>
      <w:pPr>
        <w:pStyle w:val="FirstParagraph"/>
      </w:pPr>
      <w:r>
        <w:t xml:space="preserve">That is the version another laboratory can act 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end-me"/>
      <w:r>
        <w:t xml:space="preserve">6. Send me</w:t>
      </w:r>
      <w:bookmarkEnd w:id="35"/>
    </w:p>
    <w:p>
      <w:pPr>
        <w:numPr>
          <w:ilvl w:val="0"/>
          <w:numId w:val="1002"/>
        </w:numPr>
        <w:pStyle w:val="Compact"/>
      </w:pPr>
      <w:r>
        <w:t xml:space="preserve">The four meter readings</w:t>
      </w:r>
    </w:p>
    <w:p>
      <w:pPr>
        <w:numPr>
          <w:ilvl w:val="0"/>
          <w:numId w:val="1002"/>
        </w:numPr>
        <w:pStyle w:val="Compact"/>
      </w:pPr>
      <w:r>
        <w:t xml:space="preserve">The NA printed on your objective</w:t>
      </w:r>
    </w:p>
    <w:p>
      <w:pPr>
        <w:numPr>
          <w:ilvl w:val="0"/>
          <w:numId w:val="1002"/>
        </w:numPr>
        <w:pStyle w:val="Compact"/>
      </w:pPr>
      <w:r>
        <w:t xml:space="preserve">Spot diameter, if you can measure it</w:t>
      </w:r>
    </w:p>
    <w:p>
      <w:pPr>
        <w:pStyle w:val="FirstParagraph"/>
      </w:pPr>
      <w:r>
        <w:t xml:space="preserve">I will compute the power densities, update the Methods and Section 3.3, and</w:t>
      </w:r>
      <w:r>
        <w:t xml:space="preserve"> </w:t>
      </w:r>
      <w:r>
        <w:t xml:space="preserve">rebuild both output formats.</w:t>
      </w:r>
    </w:p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4C9D"/>
    <w:multiLevelType w:val="multilevel"/>
    <w:tmpl w:val="AB56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D12DE"/>
    <w:multiLevelType w:val="multilevel"/>
    <w:tmpl w:val="2AA0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360EF"/>
    <w:multiLevelType w:val="multilevel"/>
    <w:tmpl w:val="1CA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D2905"/>
    <w:multiLevelType w:val="multilevel"/>
    <w:tmpl w:val="AC32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D237E"/>
    <w:multiLevelType w:val="multilevel"/>
    <w:tmpl w:val="C18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1242B"/>
    <w:multiLevelType w:val="multilevel"/>
    <w:tmpl w:val="671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F6AD6"/>
    <w:multiLevelType w:val="multilevel"/>
    <w:tmpl w:val="C76E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806E0"/>
    <w:multiLevelType w:val="multilevel"/>
    <w:tmpl w:val="C01A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A61F2"/>
    <w:multiLevelType w:val="multilevel"/>
    <w:tmpl w:val="868A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96B31"/>
    <w:multiLevelType w:val="multilevel"/>
    <w:tmpl w:val="FDC6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537035425">
    <w:abstractNumId w:val="6"/>
  </w:num>
  <w:num w:numId="2" w16cid:durableId="1588415390">
    <w:abstractNumId w:val="0"/>
  </w:num>
  <w:num w:numId="3" w16cid:durableId="459345996">
    <w:abstractNumId w:val="3"/>
  </w:num>
  <w:num w:numId="4" w16cid:durableId="2102602421">
    <w:abstractNumId w:val="8"/>
  </w:num>
  <w:num w:numId="5" w16cid:durableId="987248257">
    <w:abstractNumId w:val="4"/>
  </w:num>
  <w:num w:numId="6" w16cid:durableId="1091124208">
    <w:abstractNumId w:val="5"/>
  </w:num>
  <w:num w:numId="7" w16cid:durableId="1062866896">
    <w:abstractNumId w:val="1"/>
  </w:num>
  <w:num w:numId="8" w16cid:durableId="1703899471">
    <w:abstractNumId w:val="7"/>
  </w:num>
  <w:num w:numId="9" w16cid:durableId="990405787">
    <w:abstractNumId w:val="2"/>
  </w:num>
  <w:num w:numId="10" w16cid:durableId="1968468250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E1"/>
    <w:rPr>
      <w:b/>
      <w:bCs/>
      <w:smallCaps/>
      <w:color w:val="2F5496" w:themeColor="accent1" w:themeShade="BF"/>
      <w:spacing w:val="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2026-08-10T12:14:28Z</dcterms:created>
  <dcterms:modified xsi:type="dcterms:W3CDTF">2026-08-10T12:14:28Z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