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SERS-Based Nanobiosensor for Sepsis Diagnostics</w:t>
      </w:r>
    </w:p>
    <w:p>
      <w:pPr>
        <w:pStyle w:val="Heading2"/>
        <w:spacing w:after="200"/>
        <w:jc w:val="center"/>
      </w:pPr>
      <w:r>
        <w:t xml:space="preserve">Comprehensive Publication Strategy &amp; Manuscript Guide</w:t>
      </w:r>
    </w:p>
    <w:p>
      <w:pPr>
        <w:pStyle w:val="Heading1"/>
        <w:spacing w:after="100" w:before="100"/>
      </w:pPr>
      <w:r>
        <w:t xml:space="preserve">Publication Strategy Overview</w:t>
      </w:r>
    </w:p>
    <w:p>
      <w:pPr>
        <w:spacing w:after="200"/>
      </w:pPr>
      <w:r>
        <w:t xml:space="preserve">This document outlines a strategic publication plan for your SERS nanobiosensor project, including 3 primary manuscripts + 5-7 secondary/opportunistic papers across different disciplines (materials science, diagnostics, clinical microbiology, computational methods). This multi-paper approach maximizes impact, establishes thought leadership, and creates multiple citation vectors.</w:t>
      </w:r>
    </w:p>
    <w:p>
      <w:pPr>
        <w:pStyle w:val="Heading1"/>
        <w:spacing w:after="100" w:before="100"/>
      </w:pPr>
      <w:r>
        <w:t xml:space="preserve">I. PRIMARY MANUSCRIPTS (Core Project Papers)</w:t>
      </w:r>
    </w:p>
    <w:p>
      <w:pPr>
        <w:pStyle w:val="Heading2"/>
        <w:spacing w:after="50" w:before="50"/>
      </w:pPr>
      <w:r>
        <w:t xml:space="preserve">MANUSCRIPT 1: SERS Substrate Design, Fabrication &amp; Characterization</w:t>
      </w:r>
    </w:p>
    <w:p>
      <w:pPr>
        <w:spacing w:after="30"/>
      </w:pPr>
      <w:r>
        <w:t xml:space="preserve">Timeline for Submission: Month 9-10</w:t>
      </w:r>
    </w:p>
    <w:p>
      <w:pPr>
        <w:spacing w:after="30"/>
      </w:pPr>
      <w:r>
        <w:t xml:space="preserve">Target Journals (Impact Factor ranking):</w:t>
      </w:r>
    </w:p>
    <w:p>
      <w:pPr>
        <w:spacing w:after="100"/>
      </w:pPr>
      <w:r>
        <w:t xml:space="preserve">1. ACS Nano (IF: ~15.9) — Top-tier materials/nanoscience journal
2. Nanomaterials (IF: ~5.3) — Open access, fast publication
3. Small (IF: ~13.3) — Specialty nanotechnology journal
4. Journal of Materials Chemistry A (IF: ~12.0) — Materials focus
5. Nanotechnology (IF: ~3.7) — Broad nanomaterials scope</w:t>
      </w:r>
    </w:p>
    <w:p>
      <w:pPr>
        <w:spacing w:after="30"/>
      </w:pPr>
      <w:r>
        <w:t xml:space="preserve">Manuscript Title (Suggested):</w:t>
      </w:r>
    </w:p>
    <w:p>
      <w:pPr>
        <w:spacing w:after="100"/>
      </w:pPr>
      <w:r>
        <w:t xml:space="preserve">"Optimized Plasmonic Nanophotonic Platforms for Surface-Enhanced Raman Spectroscopy: Design, Fabrication, and Characterization of Au/Ag Nanostructures for Biomarker Detection"</w:t>
      </w:r>
    </w:p>
    <w:p>
      <w:pPr>
        <w:spacing w:after="30"/>
      </w:pPr>
      <w:r>
        <w:t xml:space="preserve">Manuscript Structure (15-20 pages):</w:t>
      </w:r>
    </w:p>
    <w:p>
      <w:pPr>
        <w:spacing w:after="100"/>
      </w:pPr>
      <w:r>
        <w:t xml:space="preserve">1. Introduction (2-3 pages)
   • Background on SERS and plasmonic platforms
   • Current substrate fabrication challenges
   • Need for reproducible, uniform substrates
   • Clinical motivation (sepsis diagnostics)
2. Methods &amp; Computational Design (3-4 pages)
   • Electromagnetic simulations (COMSOL/Lumerical)
   • Nanostructure geometry optimization
   • Enhancement factor calculations
   • Laser wavelength selection (532, 633, 785, 1064 nm)
3. Substrate Fabrication (2-3 pages)
   • Electrochemical deposition protocols
   • Chemical reduction methods
   • Self-assembly techniques
   • Batch fabrication procedures
4. Characterization Methods (2 pages)
   • SEM/TEM imaging and analysis
   • Surface Plasmon Resonance (SPR) spectroscopy
   • Raman mapping for hotspot distribution
   • Reproducibility assessment (batch-to-batch CV)
5. Results (3-4 pages)
   • Substrate morphology and geometry
   • SERS enhancement factor data
   • Reproducibility report (CV &lt; 10%)
   • Long-term stability studies
   • Comparison with literature values
6. Discussion (2-3 pages)
   • Optimization achievements
   • Advantages over existing platforms
   • Limitations and future improvements
   • Clinical applications potential
7. Conclusion &amp; Future Work (1 page)
References: 50-70 citations</w:t>
      </w:r>
    </w:p>
    <w:p>
      <w:pPr>
        <w:spacing w:after="30"/>
      </w:pPr>
      <w:r>
        <w:t xml:space="preserve">Key Figures to Include:</w:t>
      </w:r>
    </w:p>
    <w:p>
      <w:pPr>
        <w:spacing w:after="100"/>
      </w:pPr>
      <w:r>
        <w:t xml:space="preserve">• Figure 1: Schematic of SERS substrate design and hotspot formation
• Figure 2: Simulation results showing E-field enhancement
• Figure 3: SEM images of fabricated nanostructures
• Figure 4: Raman mapping data showing hotspot distribution
• Figure 5: Batch reproducibility data (CV &lt; 10%)
• Figure 6: Comparison of enhancement factors across fabrication batches
• Figure 7: SPR spectra showing plasmonic resonance
• Table 1: Nanostructure geometry parameters and performance metrics</w:t>
      </w:r>
    </w:p>
    <w:p>
      <w:pPr>
        <w:spacing w:after="30"/>
      </w:pPr>
      <w:r>
        <w:t xml:space="preserve">Key Findings to Highlight:</w:t>
      </w:r>
    </w:p>
    <w:p>
      <w:pPr>
        <w:spacing w:after="100"/>
      </w:pPr>
      <w:r>
        <w:t xml:space="preserve">✓ Enhancement factor &gt; 10^6 achieved
✓ Reproducible fabrication with CV &lt; 10%
✓ Multi-wavelength optimization (4 laser lines)
✓ Uniform hotspot distribution
✓ Storage stability &gt; 6 months
✓ Cost-effective manufacturing process</w:t>
      </w:r>
    </w:p>
    <w:p>
      <w:pPr>
        <w:spacing w:after="30"/>
      </w:pPr>
      <w:r>
        <w:t xml:space="preserve">Supporting Information (SI):</w:t>
      </w:r>
    </w:p>
    <w:p>
      <w:pPr>
        <w:spacing w:after="200"/>
      </w:pPr>
      <w:r>
        <w:t xml:space="preserve">• Detailed simulation parameters and code
• Full SEM/TEM micrographs
• Raw Raman mapping data
• Extended reproducibility data (10+ batches)
• Materials list and suppliers
• Detailed fabrication protocols (step-by-step)
• Cost analysis breakdown</w:t>
      </w:r>
    </w:p>
    <w:p>
      <w:pPr>
        <w:pStyle w:val="Heading2"/>
        <w:spacing w:after="50" w:before="50"/>
      </w:pPr>
      <w:r>
        <w:t xml:space="preserve">MANUSCRIPT 2: SERS-Based Biomarker Detection &amp; Gram Classification Algorithm</w:t>
      </w:r>
    </w:p>
    <w:p>
      <w:pPr>
        <w:spacing w:after="30"/>
      </w:pPr>
      <w:r>
        <w:t xml:space="preserve">Timeline for Submission: Month 12-13</w:t>
      </w:r>
    </w:p>
    <w:p>
      <w:pPr>
        <w:spacing w:after="30"/>
      </w:pPr>
      <w:r>
        <w:t xml:space="preserve">Target Journals (Impact Factor ranking):</w:t>
      </w:r>
    </w:p>
    <w:p>
      <w:pPr>
        <w:spacing w:after="100"/>
      </w:pPr>
      <w:r>
        <w:t xml:space="preserve">1. Biosensors &amp; Bioelectronics (IF: ~12.0) — Gold standard biosensors journal
2. Analytical Chemistry (IF: ~6.9) — Analytical methods focus
3. Sensors (IF: ~3.9) — Open access, broad sensor scope
4. Lab on a Chip (IF: ~8.0) — Diagnostics and microfluidics
5. Chemical Society Reviews (IF: ~45.8) — High-impact review journal (optional review)</w:t>
      </w:r>
    </w:p>
    <w:p>
      <w:pPr>
        <w:spacing w:after="30"/>
      </w:pPr>
      <w:r>
        <w:t xml:space="preserve">Manuscript Title (Suggested):</w:t>
      </w:r>
    </w:p>
    <w:p>
      <w:pPr>
        <w:spacing w:after="100"/>
      </w:pPr>
      <w:r>
        <w:t xml:space="preserve">"Rapid Bacterial Gram Classification via Surface-Enhanced Raman Spectroscopy: Detection of Peptidoglycan, Lipopolysaccharide, and Lipoteichoic Acid Biomarkers in Complex Biological Matrices"</w:t>
      </w:r>
    </w:p>
    <w:p>
      <w:pPr>
        <w:spacing w:after="30"/>
      </w:pPr>
      <w:r>
        <w:t xml:space="preserve">Manuscript Structure (18-22 pages):</w:t>
      </w:r>
    </w:p>
    <w:p>
      <w:pPr>
        <w:spacing w:after="100"/>
      </w:pPr>
      <w:r>
        <w:t xml:space="preserve">1. Introduction (2-3 pages)
   • Clinical need for rapid bacterial identification in sepsis
   • Limitations of blood culture and conventional diagnostics
   • SERS advantages for biomarker detection
   • Proposed biomarkers: PGN, LPS, LTA rationale
2. Methods (3-4 pages)
   • Biomarker source and purification
   • SERS measurement protocols (laser power, exposure, averaging)
   • Calibration curve generation
   • Signal processing and noise reduction algorithms
   • Complex matrix samples (blood serum/plasma)
3. Detection Results - Single Biomarkers (3-4 pages)
   • Calibration curves for PGN, LPS, LTA
   • Limit of detection (LOD) and quantification (LOQ)
   • Signal-to-noise ratios
   • Linearity and dynamic range
   • Stability assessment over time
4. Gram Classification Algorithm Development (3-4 pages)
   • Feature extraction from Raman spectra
   • Machine learning algorithm (SVM, Random Forest, Neural Networks)
   • Model training and validation
   • Cross-validation and receiver operating characteristic (ROC) curves
   • Sensitivity, specificity, accuracy metrics
5. Complex Matrix Testing (2-3 pages)
   • SERS detection in blood serum vs. buffer
   • Protein interference assessment
   • Optimization of sample preparation
   • Spiked sample validation
6. Cross-Reactivity &amp; Specificity (2 pages)
   • Testing against non-target bacteria
   • Fungal and viral marker testing
   • Selectivity for target biomarkers
7. Discussion (2-3 pages)
   • Comparison with existing diagnostic methods
   • Algorithm robustness and generalizability
   • Clinical implications and time-to-result advantage
   • Limitations and future directions
8. Conclusion (1 page)
References: 60-80 citations</w:t>
      </w:r>
    </w:p>
    <w:p>
      <w:pPr>
        <w:spacing w:after="30"/>
      </w:pPr>
      <w:r>
        <w:t xml:space="preserve">Key Figures to Include:</w:t>
      </w:r>
    </w:p>
    <w:p>
      <w:pPr>
        <w:spacing w:after="100"/>
      </w:pPr>
      <w:r>
        <w:t xml:space="preserve">• Figure 1: Raman spectra of individual biomarkers (PGN, LPS, LTA) with peak assignments
• Figure 2: Calibration curves showing linear dynamic range
• Figure 3: Sample SERS spectra at different concentrations
• Figure 4: Signal processing workflow and spectral preprocessing
• Figure 5: Gram classification algorithm decision tree/flowchart
• Figure 6: ROC curves for Gram classification
• Figure 7: Detection in complex matrix (blood) with interference assessment
• Figure 8: Comparison table: SERS vs. blood culture vs. PCT/CRP
• Table 1: LOD, LOQ, and performance metrics for each biomarker
• Table 2: Algorithm accuracy, sensitivity, specificity, predictive values</w:t>
      </w:r>
    </w:p>
    <w:p>
      <w:pPr>
        <w:spacing w:after="30"/>
      </w:pPr>
      <w:r>
        <w:t xml:space="preserve">Key Findings to Highlight:</w:t>
      </w:r>
    </w:p>
    <w:p>
      <w:pPr>
        <w:spacing w:after="100"/>
      </w:pPr>
      <w:r>
        <w:t xml:space="preserve">✓ LOD &lt; 1 ng/mL for all three biomarkers
✓ Gram classification accuracy &gt; 95% in buffer
✓ &gt; 90% sensitivity and &gt; 90% specificity in blood
✓ Time-to-result &lt; 30 minutes (including sample prep)
✓ No cross-reactivity with non-bacterial markers
✓ Robust algorithm with &lt; 5% false positive rate</w:t>
      </w:r>
    </w:p>
    <w:p>
      <w:pPr>
        <w:spacing w:after="30"/>
      </w:pPr>
      <w:r>
        <w:t xml:space="preserve">Supporting Information (SI):</w:t>
      </w:r>
    </w:p>
    <w:p>
      <w:pPr>
        <w:spacing w:after="200"/>
      </w:pPr>
      <w:r>
        <w:t xml:space="preserve">• Complete spectral database (all concentrations, replicates)
• Machine learning algorithm code and training data
• Extended cross-reactivity testing data
• Detailed sample preparation protocols
• Signal processing algorithm documentation
• Receiver Operating Characteristic (ROC) curve analysis
• Inter-batch and inter-operator reproducibility data</w:t>
      </w:r>
    </w:p>
    <w:p>
      <w:pPr>
        <w:pStyle w:val="Heading2"/>
        <w:spacing w:after="50" w:before="50"/>
      </w:pPr>
      <w:r>
        <w:t xml:space="preserve">MANUSCRIPT 3: Clinical Validation &amp; Sepsis Diagnostic Application</w:t>
      </w:r>
    </w:p>
    <w:p>
      <w:pPr>
        <w:spacing w:after="30"/>
      </w:pPr>
      <w:r>
        <w:t xml:space="preserve">Timeline for Submission: Month 17-18</w:t>
      </w:r>
    </w:p>
    <w:p>
      <w:pPr>
        <w:spacing w:after="30"/>
      </w:pPr>
      <w:r>
        <w:t xml:space="preserve">Target Journals (Impact Factor ranking):</w:t>
      </w:r>
    </w:p>
    <w:p>
      <w:pPr>
        <w:spacing w:after="100"/>
      </w:pPr>
      <w:r>
        <w:t xml:space="preserve">1. Lancet Microbe (IF: ~15.0) — Premier clinical microbiology journal
2. Clinical Microbiology Reviews (IF: ~13.1) — High-impact clinical focus
3. Journal of Clinical Microbiology (IF: ~4.7) — Standard clinical microbiology
4. Diagnostic Microbiology and Infectious Disease (IF: ~3.2) — Diagnostic methods
5. Critical Care (IF: ~8.8) — ICU/sepsis focus (open access)</w:t>
      </w:r>
    </w:p>
    <w:p>
      <w:pPr>
        <w:spacing w:after="30"/>
      </w:pPr>
      <w:r>
        <w:t xml:space="preserve">Manuscript Title (Suggested):</w:t>
      </w:r>
    </w:p>
    <w:p>
      <w:pPr>
        <w:spacing w:after="100"/>
      </w:pPr>
      <w:r>
        <w:t xml:space="preserve">"Clinical Validation of SERS-Based Nanobiosensor for Rapid Bacterial Identification in Sepsis: A Prospective Study Comparing Point-of-Care Diagnostics with Blood Culture and Molecular Assays"</w:t>
      </w:r>
    </w:p>
    <w:p>
      <w:pPr>
        <w:spacing w:after="30"/>
      </w:pPr>
      <w:r>
        <w:t xml:space="preserve">Manuscript Structure (20-24 pages):</w:t>
      </w:r>
    </w:p>
    <w:p>
      <w:pPr>
        <w:spacing w:after="100"/>
      </w:pPr>
      <w:r>
        <w:t xml:space="preserve">1. Introduction (2-3 pages)
   • Sepsis epidemiology and clinical burden
   • Current diagnostic limitations
   • Need for rapid, accurate bacterial identification
   • Previous SERS applications and limitations
   • Study objectives and hypothesis
2. Methods (4-5 pages)
   • Study design (prospective, blinded, multicenter)
   • Patient cohort: sepsis patients (n=50-100), healthy controls (n=30-50)
   • Inclusion/exclusion criteria
   • Blood collection and sample handling
   • SERS measurement protocols
   • Reference standards: blood culture, PCR, clinical diagnosis
   • Statistical analysis plan
   • IRB/Ethics approval details
3. Clinical Results (4-5 pages)
   • Patient demographics and clinical characteristics
   • SERS results in clinical samples
   • Concordance with blood culture
   • Concordance with PCR results
   • Time-to-result comparison
   • Gram classification accuracy in clinical context
   • Subgroup analysis (community-acquired vs. nosocomial)
4. Diagnostic Performance Metrics (2-3 pages)
   • Sensitivity, specificity, accuracy
   • Positive/negative predictive values
   • Receiver Operating Characteristic (ROC) curves
   • Likelihood ratios
   • Comparison with existing diagnostics (blood culture, CRP, PCT)
5. Clinical Impact &amp; Outcomes (2-3 pages)
   • Time savings (SERS vs. blood culture)
   • Impact on antibiotic stewardship
   • Potential reduction in inappropriate antibiotic use
   • Cost-effectiveness preliminary analysis
   • Patient outcome correlation (if available)
6. Discussion (3-4 pages)
   • Achievement of study objectives
   • Comparison with published literature
   • Advantages over conventional diagnostics
   • Clinical implementation considerations
   • Limitations and sources of variation
   • Regulatory pathway and commercial potential
7. Conclusion (1 page)
References: 80-100 citations</w:t>
      </w:r>
    </w:p>
    <w:p>
      <w:pPr>
        <w:spacing w:after="30"/>
      </w:pPr>
      <w:r>
        <w:t xml:space="preserve">Key Figures to Include:</w:t>
      </w:r>
    </w:p>
    <w:p>
      <w:pPr>
        <w:spacing w:after="100"/>
      </w:pPr>
      <w:r>
        <w:t xml:space="preserve">• Figure 1: Study flow diagram and patient cohort characteristics
• Figure 2: SERS spectra from representative sepsis patient samples
• Figure 3: Gram classification performance in clinical samples (ROC curve)
• Figure 4: Concordance comparison (SERS vs. blood culture)
• Figure 5: Time-to-result comparison (SERS vs. conventional methods)
• Figure 6: Positive/negative predictive value at different prevalence rates
• Figure 7: Subgroup analysis (community-acquired vs. nosocomial)
• Table 1: Patient demographics and clinical characteristics
• Table 2: Diagnostic performance metrics
• Table 3: Pathogen identification and Gram classification accuracy</w:t>
      </w:r>
    </w:p>
    <w:p>
      <w:pPr>
        <w:spacing w:after="30"/>
      </w:pPr>
      <w:r>
        <w:t xml:space="preserve">Key Findings to Highlight:</w:t>
      </w:r>
    </w:p>
    <w:p>
      <w:pPr>
        <w:spacing w:after="100"/>
      </w:pPr>
      <w:r>
        <w:t xml:space="preserve">✓ Sensitivity &gt; 90%, Specificity &gt; 95% in clinical sepsis cohort
✓ 95-100% concordance with blood culture for Gram classification
✓ Time-to-result 28±5 minutes (vs. 48-72 hours for blood culture)
✓ Positive impact on early targeted antibiotic selection
✓ Reduction in empirical broad-spectrum antibiotic use
✓ Improved patient outcomes (if mortality/morbidity data available)
✓ Cost-effective alternative to rapid PCR methods</w:t>
      </w:r>
    </w:p>
    <w:p>
      <w:pPr>
        <w:spacing w:after="30"/>
      </w:pPr>
      <w:r>
        <w:t xml:space="preserve">Supporting Information (SI):</w:t>
      </w:r>
    </w:p>
    <w:p>
      <w:pPr>
        <w:spacing w:after="300"/>
      </w:pPr>
      <w:r>
        <w:t xml:space="preserve">• Detailed patient data (de-identified)
• Standard Operating Procedures (SOPs) for clinical use
• Institutional Review Board (IRB) approval documentation
• Comparison of pathogen identification with conventional methods
• Outcome data correlations (mortality, ICU length-of-stay)
• Cost-effectiveness analysis
• Regulatory letters of support (if available)
• Device labeling and instructions for use (IFU)</w:t>
      </w:r>
    </w:p>
    <w:p>
      <w:pPr>
        <w:pStyle w:val="Heading1"/>
        <w:spacing w:after="100" w:before="100"/>
      </w:pPr>
      <w:r>
        <w:t xml:space="preserve">II. SECONDARY MANUSCRIPTS (Opportunistic/Specialized Papers)</w:t>
      </w:r>
    </w:p>
    <w:p>
      <w:pPr>
        <w:spacing w:after="100"/>
      </w:pPr>
      <w:r>
        <w:t xml:space="preserve">These papers leverage your data to explore specific aspects, methodologies, or applications, expanding your publication footprint and reaching different scientific communities.</w:t>
      </w:r>
    </w:p>
    <w:p>
      <w:pPr>
        <w:pStyle w:val="Heading2"/>
        <w:spacing w:after="50" w:before="50"/>
      </w:pPr>
      <w:r>
        <w:t xml:space="preserve">PAPER 4: Computational Design of Plasmonic Hotspots</w:t>
      </w:r>
    </w:p>
    <w:p>
      <w:pPr>
        <w:spacing w:after="100"/>
      </w:pPr>
      <w:r>
        <w:t xml:space="preserve">Timeline: Month 8-9 (can submit before Manuscript 1)
Target Journal: Journal of Computational Chemistry, Computational Materials Science, or Nanoscale
Focus: Electromagnetic simulations, COMSOL modeling, optimization algorithms
Length: 12-15 pages
Key Innovation: Novel nanostructure geometries for maximum enhancement factor at specific wavelengths</w:t>
      </w:r>
    </w:p>
    <w:p>
      <w:pPr>
        <w:pStyle w:val="Heading2"/>
        <w:spacing w:after="50" w:before="50"/>
      </w:pPr>
      <w:r>
        <w:t xml:space="preserve">PAPER 5: Machine Learning for Spectral Classification of Bacterial Biomarkers</w:t>
      </w:r>
    </w:p>
    <w:p>
      <w:pPr>
        <w:spacing w:after="100"/>
      </w:pPr>
      <w:r>
        <w:t xml:space="preserve">Timeline: Month 11-12
Target Journal: Pattern Recognition, IEEE Transactions on Biomedical Engineering, Medical Image Analysis
Focus: Algorithm development, feature extraction, model comparison (SVM vs. RF vs. NN)
Length: 14-18 pages
Key Innovation: Interpretable ML models for clinical decision-making with high accuracy</w:t>
      </w:r>
    </w:p>
    <w:p>
      <w:pPr>
        <w:pStyle w:val="Heading2"/>
        <w:spacing w:after="50" w:before="50"/>
      </w:pPr>
      <w:r>
        <w:t xml:space="preserve">PAPER 6: Microfluidic Integration with SERS for Automated Point-of-Care Testing</w:t>
      </w:r>
    </w:p>
    <w:p>
      <w:pPr>
        <w:spacing w:after="100"/>
      </w:pPr>
      <w:r>
        <w:t xml:space="preserve">Timeline: Month 14-15
Target Journal: Lab on a Chip, Microfluidics and Nanofluidics, or Analytical and Bioanalytical Chemistry
Focus: Microfluidic device design, sample preparation automation, fluid dynamics
Length: 15-18 pages
Key Innovation: Integrated chip with automated lysis, biomarker capture, and SERS detection</w:t>
      </w:r>
    </w:p>
    <w:p>
      <w:pPr>
        <w:pStyle w:val="Heading2"/>
        <w:spacing w:after="50" w:before="50"/>
      </w:pPr>
      <w:r>
        <w:t xml:space="preserve">PAPER 7: Comprehensive Review - Bacterial Surface Markers for Rapid Diagnostics</w:t>
      </w:r>
    </w:p>
    <w:p>
      <w:pPr>
        <w:spacing w:after="100"/>
      </w:pPr>
      <w:r>
        <w:t xml:space="preserve">Timeline: Month 10-12
Target Journal: Nature Reviews Microbiology, Chemical Society Reviews, Trends in Microbiology, Microbiological Reviews
Focus: Literature review of bacterial biomarkers (PGN, LPS, LTA, others), detection methods, clinical applications
Length: 20-30 pages (review article)
Key Innovation: Comprehensive guide on bacterial surface markers as diagnostic targets
Review Scope:
• Historical perspective on bacterial diagnostics
• Structure and function of PGN, LPS, LTA
• Diagnostic methods (ELISA, PCR, SERS, immunoassays)
• Clinical applications (sepsis, meningitis, pneumonia)
• Future directions and challenges
• Regulatory considerations</w:t>
      </w:r>
    </w:p>
    <w:p>
      <w:pPr>
        <w:pStyle w:val="Heading2"/>
        <w:spacing w:after="50" w:before="50"/>
      </w:pPr>
      <w:r>
        <w:t xml:space="preserve">PAPER 8: Gram Classification in Sepsis - Clinical Microbiology Perspective</w:t>
      </w:r>
    </w:p>
    <w:p>
      <w:pPr>
        <w:spacing w:after="100"/>
      </w:pPr>
      <w:r>
        <w:t xml:space="preserve">Timeline: Month 15-16
Target Journal: Emerging Infectious Diseases, Infection Control &amp; Hospital Epidemiology, Antimicrobial Agents and Chemotherapy
Focus: Clinical relevance of rapid Gram classification, antibiotic stewardship, infection control
Length: 10-12 pages
Key Innovation: Demonstrating clinical utility of rapid bacterial identification in reducing AMR
Content:
• Epidemiology of sepsis and empiric antibiotic use
• Clinical impact of delayed vs. rapid identification
• Antibiotic stewardship outcomes
• Infection control implications
• Economic impact analysis</w:t>
      </w:r>
    </w:p>
    <w:p>
      <w:pPr>
        <w:pStyle w:val="Heading2"/>
        <w:spacing w:after="50" w:before="50"/>
      </w:pPr>
      <w:r>
        <w:t xml:space="preserve">PAPER 9: SERS Technology for Infectious Disease Diagnostics - Technology Review</w:t>
      </w:r>
    </w:p>
    <w:p>
      <w:pPr>
        <w:spacing w:after="100"/>
      </w:pPr>
      <w:r>
        <w:t xml:space="preserve">Timeline: Month 13-14
Target Journal: Analytical Chemistry, ACS Analytical Chemistry, Biosensors
Focus: SERS advantages/limitations for clinical diagnostics, substrate engineering, multiplexing capabilities
Length: 12-15 pages
Key Innovation: Comprehensive overview of SERS for point-of-care diagnostics
Topics Covered:
• SERS fundamentals and enhancement mechanisms
• Substrate design and optimization
• Multiplexing strategies
• Clinical validation examples
• Regulatory and commercialization pathways</w:t>
      </w:r>
    </w:p>
    <w:p>
      <w:pPr>
        <w:pStyle w:val="Heading2"/>
        <w:spacing w:after="50" w:before="50"/>
      </w:pPr>
      <w:r>
        <w:t xml:space="preserve">PAPER 10: Experimental Validation of Bacterial Surface Markers as Sepsis Biomarkers</w:t>
      </w:r>
    </w:p>
    <w:p>
      <w:pPr>
        <w:spacing w:after="200"/>
      </w:pPr>
      <w:r>
        <w:t xml:space="preserve">Timeline: Month 10-11
Target Journal: Analytical and Bioanalytical Chemistry, Bioanalysis, Journal of Proteome Research
Focus: Proteomics validation, biomarker expression, cross-bacterial comparison
Length: 13-16 pages
Key Innovation: Comprehensive validation of PGN, LPS, LTA across bacterial species
Experiments:
• Mass spectrometry verification of biomarker identity
• Biomarker quantification in bacterial cells
• Species-specific expression patterns
• Correlation with Gram staining</w:t>
      </w:r>
    </w:p>
    <w:p>
      <w:pPr>
        <w:pStyle w:val="Heading1"/>
        <w:spacing w:after="100" w:before="100"/>
      </w:pPr>
      <w:r>
        <w:t xml:space="preserve">III. COMPLETE PUBLICATION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D3D3D3"/>
          </w:tcPr>
          <w:p>
            <w:r>
              <w:t xml:space="preserve">Month</w:t>
            </w:r>
          </w:p>
        </w:tc>
        <w:tc>
          <w:tcPr>
            <w:tcW w:type="pct" w:w="25%"/>
            <w:shd w:fill="D3D3D3"/>
          </w:tcPr>
          <w:p>
            <w:r>
              <w:t xml:space="preserve">Paper/Manuscript</w:t>
            </w:r>
          </w:p>
        </w:tc>
        <w:tc>
          <w:tcPr>
            <w:tcW w:type="pct" w:w="30%"/>
            <w:shd w:fill="D3D3D3"/>
          </w:tcPr>
          <w:p>
            <w:r>
              <w:t xml:space="preserve">Target Journal</w:t>
            </w:r>
          </w:p>
        </w:tc>
        <w:tc>
          <w:tcPr>
            <w:tcW w:type="pct" w:w="15%"/>
            <w:shd w:fill="D3D3D3"/>
          </w:tcPr>
          <w:p>
            <w:r>
              <w:t xml:space="preserve">Status</w:t>
            </w:r>
          </w:p>
        </w:tc>
        <w:tc>
          <w:tcPr>
            <w:tcW w:type="pct" w:w="18%"/>
            <w:shd w:fill="D3D3D3"/>
          </w:tcPr>
          <w:p>
            <w:r>
              <w:t xml:space="preserve">Expected Publication</w:t>
            </w:r>
          </w:p>
        </w:tc>
      </w:tr>
      <w:tr>
        <w:tc>
          <w:p>
            <w:r>
              <w:t xml:space="preserve">8-9</w:t>
            </w:r>
          </w:p>
        </w:tc>
        <w:tc>
          <w:p>
            <w:r>
              <w:t xml:space="preserve">Paper 4: Computational Design</w:t>
            </w:r>
          </w:p>
        </w:tc>
        <w:tc>
          <w:p>
            <w:r>
              <w:t xml:space="preserve">Nanoscale</w:t>
            </w:r>
          </w:p>
        </w:tc>
        <w:tc>
          <w:p>
            <w:r>
              <w:t xml:space="preserve">Writing</w:t>
            </w:r>
          </w:p>
        </w:tc>
        <w:tc>
          <w:p>
            <w:r>
              <w:t xml:space="preserve">M11-12</w:t>
            </w:r>
          </w:p>
        </w:tc>
      </w:tr>
      <w:tr>
        <w:tc>
          <w:p>
            <w:r>
              <w:t xml:space="preserve">9-10</w:t>
            </w:r>
          </w:p>
        </w:tc>
        <w:tc>
          <w:p>
            <w:r>
              <w:t xml:space="preserve">Manuscript 1: Substrate Design</w:t>
            </w:r>
          </w:p>
        </w:tc>
        <w:tc>
          <w:p>
            <w:r>
              <w:t xml:space="preserve">ACS Nano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M12-14</w:t>
            </w:r>
          </w:p>
        </w:tc>
      </w:tr>
      <w:tr>
        <w:tc>
          <w:p>
            <w:r>
              <w:t xml:space="preserve">10-11</w:t>
            </w:r>
          </w:p>
        </w:tc>
        <w:tc>
          <w:p>
            <w:r>
              <w:t xml:space="preserve">Paper 7: Biomarker Validation</w:t>
            </w:r>
          </w:p>
        </w:tc>
        <w:tc>
          <w:p>
            <w:r>
              <w:t xml:space="preserve">Anal. Bioanal. Chem.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M13-14</w:t>
            </w:r>
          </w:p>
        </w:tc>
      </w:tr>
      <w:tr>
        <w:tc>
          <w:p>
            <w:r>
              <w:t xml:space="preserve">10-12</w:t>
            </w:r>
          </w:p>
        </w:tc>
        <w:tc>
          <w:p>
            <w:r>
              <w:t xml:space="preserve">Paper 7: Review Article</w:t>
            </w:r>
          </w:p>
        </w:tc>
        <w:tc>
          <w:p>
            <w:r>
              <w:t xml:space="preserve">Chem. Soc. Rev.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M14-16</w:t>
            </w:r>
          </w:p>
        </w:tc>
      </w:tr>
      <w:tr>
        <w:tc>
          <w:p>
            <w:r>
              <w:t xml:space="preserve">11-12</w:t>
            </w:r>
          </w:p>
        </w:tc>
        <w:tc>
          <w:p>
            <w:r>
              <w:t xml:space="preserve">Paper 5: ML Algorithm</w:t>
            </w:r>
          </w:p>
        </w:tc>
        <w:tc>
          <w:p>
            <w:r>
              <w:t xml:space="preserve">IEEE T. Biomed. Eng.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M14-15</w:t>
            </w:r>
          </w:p>
        </w:tc>
      </w:tr>
      <w:tr>
        <w:tc>
          <w:p>
            <w:r>
              <w:t xml:space="preserve">12-13</w:t>
            </w:r>
          </w:p>
        </w:tc>
        <w:tc>
          <w:p>
            <w:r>
              <w:t xml:space="preserve">Manuscript 2: Detection</w:t>
            </w:r>
          </w:p>
        </w:tc>
        <w:tc>
          <w:p>
            <w:r>
              <w:t xml:space="preserve">Biosens. Bioelectron.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M15-17</w:t>
            </w:r>
          </w:p>
        </w:tc>
      </w:tr>
      <w:tr>
        <w:tc>
          <w:p>
            <w:r>
              <w:t xml:space="preserve">13-14</w:t>
            </w:r>
          </w:p>
        </w:tc>
        <w:tc>
          <w:p>
            <w:r>
              <w:t xml:space="preserve">Paper 9: SERS Review</w:t>
            </w:r>
          </w:p>
        </w:tc>
        <w:tc>
          <w:p>
            <w:r>
              <w:t xml:space="preserve">Anal. Chemistry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M15-16</w:t>
            </w:r>
          </w:p>
        </w:tc>
      </w:tr>
      <w:tr>
        <w:tc>
          <w:p>
            <w:r>
              <w:t xml:space="preserve">14-15</w:t>
            </w:r>
          </w:p>
        </w:tc>
        <w:tc>
          <w:p>
            <w:r>
              <w:t xml:space="preserve">Paper 6: Microfluidics</w:t>
            </w:r>
          </w:p>
        </w:tc>
        <w:tc>
          <w:p>
            <w:r>
              <w:t xml:space="preserve">Lab on a Chip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M17-18</w:t>
            </w:r>
          </w:p>
        </w:tc>
      </w:tr>
      <w:tr>
        <w:tc>
          <w:p>
            <w:r>
              <w:t xml:space="preserve">15-16</w:t>
            </w:r>
          </w:p>
        </w:tc>
        <w:tc>
          <w:p>
            <w:r>
              <w:t xml:space="preserve">Paper 8: Gram Classification</w:t>
            </w:r>
          </w:p>
        </w:tc>
        <w:tc>
          <w:p>
            <w:r>
              <w:t xml:space="preserve">Emerg. Infect. Dis.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M18-20</w:t>
            </w:r>
          </w:p>
        </w:tc>
      </w:tr>
      <w:tr>
        <w:tc>
          <w:p>
            <w:r>
              <w:t xml:space="preserve">17-18</w:t>
            </w:r>
          </w:p>
        </w:tc>
        <w:tc>
          <w:p>
            <w:r>
              <w:t xml:space="preserve">Manuscript 3: Clinical</w:t>
            </w:r>
          </w:p>
        </w:tc>
        <w:tc>
          <w:p>
            <w:r>
              <w:t xml:space="preserve">Lancet Microbe</w:t>
            </w:r>
          </w:p>
        </w:tc>
        <w:tc>
          <w:p>
            <w:r>
              <w:t xml:space="preserve">Submission</w:t>
            </w:r>
          </w:p>
        </w:tc>
        <w:tc>
          <w:p>
            <w:r>
              <w:t xml:space="preserve">M20-22</w:t>
            </w:r>
          </w:p>
        </w:tc>
      </w:tr>
    </w:tbl>
    <w:p>
      <w:pPr>
        <w:spacing w:after="200"/>
      </w:pPr>
    </w:p>
    <w:p>
      <w:pPr>
        <w:pStyle w:val="Heading1"/>
        <w:spacing w:after="100" w:before="100"/>
      </w:pPr>
      <w:r>
        <w:t xml:space="preserve">IV. JOURNAL SELECTION STRATEGY</w:t>
      </w:r>
    </w:p>
    <w:p>
      <w:pPr>
        <w:spacing w:after="50"/>
      </w:pPr>
      <w:r>
        <w:t xml:space="preserve">Tier 1 (High-Impact Journals - Manuscript 1-3):</w:t>
      </w:r>
    </w:p>
    <w:p>
      <w:pPr>
        <w:spacing w:after="100"/>
      </w:pPr>
      <w:r>
        <w:t xml:space="preserve">• ACS Nano (IF ~15.9) - Substrate design paper
• Biosensors &amp; Bioelectronics (IF ~12.0) - Detection/algorithm paper
• Lancet Microbe (IF ~15.0) - Clinical validation paper
• Chemical Society Reviews (IF ~45.8) - Review article</w:t>
      </w:r>
    </w:p>
    <w:p>
      <w:pPr>
        <w:spacing w:after="50"/>
      </w:pPr>
      <w:r>
        <w:t xml:space="preserve">Tier 2 (Mid-Tier Open Access - Backup Options):</w:t>
      </w:r>
    </w:p>
    <w:p>
      <w:pPr>
        <w:spacing w:after="100"/>
      </w:pPr>
      <w:r>
        <w:t xml:space="preserve">• Nanomaterials (MDPI) - Fast open access publication
• Sensors (MDPI) - Broad scope, rapid review
• Frontiers in Biomedical Engineering - Open access with impact
• PLOS ONE - Wide reach but lower prestige</w:t>
      </w:r>
    </w:p>
    <w:p>
      <w:pPr>
        <w:spacing w:after="50"/>
      </w:pPr>
      <w:r>
        <w:t xml:space="preserve">Strategy Notes:</w:t>
      </w:r>
    </w:p>
    <w:p>
      <w:pPr>
        <w:spacing w:after="200"/>
      </w:pPr>
      <w:r>
        <w:t xml:space="preserve">• Start with top-tier journals; allow 2-3 months review time
• If rejected, resubmit to Tier 2 journals (minimize delay)
• Target first manuscript 1 acceptance within 6 months of submission
• Stagger submissions to avoid editor conflicts of interest
• Use rejection from higher-impact journals to strengthen subsequent submissions</w:t>
      </w:r>
    </w:p>
    <w:p>
      <w:pPr>
        <w:pStyle w:val="Heading1"/>
        <w:spacing w:after="100" w:before="100"/>
      </w:pPr>
      <w:r>
        <w:t xml:space="preserve">V. CO-AUTHORSHIP STRATEGY</w:t>
      </w:r>
    </w:p>
    <w:p>
      <w:pPr>
        <w:spacing w:after="50"/>
      </w:pPr>
      <w:r>
        <w:t xml:space="preserve">Suggested Author Order (Manuscript 1-3 Primary Papers):</w:t>
      </w:r>
    </w:p>
    <w:p>
      <w:pPr>
        <w:spacing w:after="100"/>
      </w:pPr>
      <w:r>
        <w:t xml:space="preserve">Position 1 (First Author): PhD Student/Postdoc (lead experimental work)
Position 2-3: Collaborators (computational simulations, clinical validation)
Position 4-5: Supporting researchers (technical contributions)
Position Last (Corresponding Author): Principal Investigator / Project Lead</w:t>
      </w:r>
    </w:p>
    <w:p>
      <w:pPr>
        <w:spacing w:after="50"/>
      </w:pPr>
      <w:r>
        <w:t xml:space="preserve">Recommended Collaborators to Include:</w:t>
      </w:r>
    </w:p>
    <w:p>
      <w:pPr>
        <w:spacing w:after="200"/>
      </w:pPr>
      <w:r>
        <w:t xml:space="preserve">• Nanofabrication/materials experts (SEM/TEM characterization)
• Biostatistician (clinical data analysis)
• Infectious disease clinician (clinical validation, interpretation)
• Computational/ML specialist (algorithm development)
• Regulatory consultant (FDA pathway, compliance)
• Commercial partner (if licensing anticipated)</w:t>
      </w:r>
    </w:p>
    <w:p>
      <w:pPr>
        <w:pStyle w:val="Heading1"/>
        <w:spacing w:after="100" w:before="100"/>
      </w:pPr>
      <w:r>
        <w:t xml:space="preserve">VI. MAXIMIZING CITATION IMPACT</w:t>
      </w:r>
    </w:p>
    <w:p>
      <w:pPr>
        <w:spacing w:after="50"/>
      </w:pPr>
      <w:r>
        <w:t xml:space="preserve">Pre-Publication Strategy:</w:t>
      </w:r>
    </w:p>
    <w:p>
      <w:pPr>
        <w:spacing w:after="100"/>
      </w:pPr>
      <w:r>
        <w:t xml:space="preserve">• Submit preprints to bioRxiv (materials science/diagnostics category)
• Present findings at major conferences (month 6, 12, 18)
• Engage with peer networks via social media (Twitter, ResearchGate)
• Publish supplementary data in open repositories (GitHub, Zenodo)</w:t>
      </w:r>
    </w:p>
    <w:p>
      <w:pPr>
        <w:spacing w:after="50"/>
      </w:pPr>
      <w:r>
        <w:t xml:space="preserve">Post-Publication Strategy:</w:t>
      </w:r>
    </w:p>
    <w:p>
      <w:pPr>
        <w:spacing w:after="200"/>
      </w:pPr>
      <w:r>
        <w:t xml:space="preserve">• Write open-access commentary/perspective pieces
• Request citations from industry and academic collaborators
• Present in webinars and virtual conferences
• Create infographics summarizing key findings
• Engage with journal editors for featured articles/commentary</w:t>
      </w:r>
    </w:p>
    <w:p>
      <w:pPr>
        <w:pStyle w:val="Heading1"/>
        <w:spacing w:after="100" w:before="100"/>
      </w:pPr>
      <w:r>
        <w:t xml:space="preserve">VII. PUBLICATION METRICS &amp; RESEARCH IMPACT SUMMARY</w:t>
      </w:r>
    </w:p>
    <w:p>
      <w:pPr>
        <w:spacing w:after="50"/>
      </w:pPr>
      <w:r>
        <w:t xml:space="preserve">By Month 18-20 (Project Completion), Expected Publications:</w:t>
      </w:r>
    </w:p>
    <w:p>
      <w:pPr>
        <w:spacing w:after="100"/>
      </w:pPr>
      <w:r>
        <w:t xml:space="preserve">Total Publications: 9-10 peer-reviewed papers
  • Primary manuscripts (high-impact): 3
  • Secondary papers (mid-to-high impact): 5-7
  • Review articles: 1
Estimated Combined Impact Factor: 80-120+ (depending on acceptance)
Estimated Total Citations (5-year projection): 200-500+ citations
Patent Applications: 2 (substrate design, integrated device)
Conference Presentations: 5-8 oral/poster presentations</w:t>
      </w:r>
    </w:p>
    <w:p>
      <w:pPr>
        <w:spacing w:after="50"/>
      </w:pPr>
      <w:r>
        <w:t xml:space="preserve">Career Benefits:</w:t>
      </w:r>
    </w:p>
    <w:p>
      <w:pPr>
        <w:spacing w:after="200"/>
      </w:pPr>
      <w:r>
        <w:t xml:space="preserve">✓ Strong publication record for PhD/postdoc portfolio
✓ Demonstrates breadth (materials, algorithms, clinical translation)
✓ Establishes thought leadership in SERS diagnostics
✓ Supports funding for future research (NIH, NSF, private grants)
✓ Enhances commercialization prospects</w:t>
      </w:r>
    </w:p>
    <w:p>
      <w:pPr>
        <w:pStyle w:val="Heading1"/>
        <w:spacing w:after="100" w:before="100"/>
      </w:pPr>
      <w:r>
        <w:t xml:space="preserve">VIII. PRACTICAL MANUSCRIPT PREPARATION TIPS</w:t>
      </w:r>
    </w:p>
    <w:p>
      <w:pPr>
        <w:spacing w:after="50"/>
      </w:pPr>
      <w:r>
        <w:t xml:space="preserve">Writing Timeline:</w:t>
      </w:r>
    </w:p>
    <w:p>
      <w:pPr>
        <w:spacing w:after="100"/>
      </w:pPr>
      <w:r>
        <w:t xml:space="preserve">• Begin manuscript draft 1-2 months before target submission
• Allow 3-4 weeks for internal review (co-authors)
• Revise for journal-specific requirements (1-2 weeks)
• Submit with cover letter and suggested reviewers</w:t>
      </w:r>
    </w:p>
    <w:p>
      <w:pPr>
        <w:spacing w:after="50"/>
      </w:pPr>
      <w:r>
        <w:t xml:space="preserve">Manuscript Structure Checklist:</w:t>
      </w:r>
    </w:p>
    <w:p>
      <w:pPr>
        <w:spacing w:after="100"/>
      </w:pPr>
      <w:r>
        <w:t xml:space="preserve">□ Abstract (250-300 words, structured format)
□ Introduction (context, gap, objectives)
□ Methods (reproducible detail for SI)
□ Results (figures/tables with captions)
□ Discussion (interpretation, limitations, significance)
□ Conclusion (take-home message)
□ References (complete citations, proper formatting)
□ Supporting Information (detailed protocols, raw data, extended results)
□ Figure legends (comprehensive, self-explanatory)
□ Tables (clear headings, units, statistical info)</w:t>
      </w:r>
    </w:p>
    <w:p>
      <w:pPr>
        <w:spacing w:after="50"/>
      </w:pPr>
      <w:r>
        <w:t xml:space="preserve">Common Mistakes to Avoid:</w:t>
      </w:r>
    </w:p>
    <w:p>
      <w:pPr>
        <w:spacing w:after="200"/>
      </w:pPr>
      <w:r>
        <w:t xml:space="preserve">✗ Overclaiming without supporting data
✗ Insufficient detail for reproducibility
✗ Poor figure quality or unclear captions
✗ Neglecting limitations discussion
✗ Submitting to wrong journal (scope/IF mismatch)
✗ Incomplete Supporting Information
✗ Missing declarations (funding, conflicts, data availability)
✗ Grammatical errors (use professional editing service)</w:t>
      </w:r>
    </w:p>
    <w:p>
      <w:pPr>
        <w:pStyle w:val="Heading1"/>
        <w:spacing w:after="100" w:before="100"/>
      </w:pPr>
      <w:r>
        <w:t xml:space="preserve">IX. CONCLUSION</w:t>
      </w:r>
    </w:p>
    <w:p>
      <w:pPr>
        <w:spacing w:after="100"/>
      </w:pPr>
      <w:r>
        <w:t xml:space="preserve">This SERS nanobiosensor project generates sufficient data for 9-10 high-quality peer-reviewed publications across multiple disciplines. By strategically planning your publication sequence, targeting appropriate journals, and maintaining rigorous data documentation, you can establish a strong publication record that demonstrates scientific excellence, interdisciplinary expertise, and clinical relevance.</w:t>
      </w:r>
    </w:p>
    <w:p>
      <w:pPr>
        <w:spacing w:after="50"/>
      </w:pPr>
      <w:r>
        <w:t xml:space="preserve">Key Milestones:</w:t>
      </w:r>
    </w:p>
    <w:p>
      <w:pPr>
        <w:spacing w:after="100"/>
      </w:pPr>
      <w:r>
        <w:t xml:space="preserve">✓ Month 9-10: First manuscript submitted (Substrate Design)
✓ Month 12-13: Second manuscript submitted (Detection/Algorithm)
✓ Month 14-15: Review paper submitted (Bacterial Biomarkers)
✓ Month 17-18: Third manuscript submitted (Clinical Validation)
✓ Month 20-22: Final publications appearing in print</w:t>
      </w:r>
    </w:p>
    <w:p>
      <w:pPr>
        <w:spacing w:after="200"/>
      </w:pPr>
      <w:r>
        <w:t xml:space="preserve">This publication strategy ensures maximum visibility, impact, and career advancement while advancing the field of rapid sepsis diagnostics.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2026-08-04T11:09:30.658Z</dcterms:created>
  <dcterms:modified xsi:type="dcterms:W3CDTF">2026-08-04T11:09:30.658Z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