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Rhodamine 6G (R6G) as a SERS Probe Molecule</w:t>
      </w:r>
    </w:p>
    <w:p>
      <w:pPr>
        <w:spacing w:after="60"/>
      </w:pPr>
      <w:r>
        <w:rPr>
          <w:i/>
          <w:iCs/>
          <w:color w:val="555555"/>
          <w:sz w:val="22"/>
          <w:szCs w:val="22"/>
        </w:rPr>
        <w:t xml:space="preserve">Research briefing: literature review, cross-checked against your R6G_Raman_DFT_Validation project</w:t>
      </w:r>
    </w:p>
    <w:p>
      <w:pPr>
        <w:spacing w:after="320"/>
      </w:pPr>
      <w:r>
        <w:rPr>
          <w:color w:val="888888"/>
          <w:sz w:val="18"/>
          <w:szCs w:val="18"/>
        </w:rPr>
        <w:t xml:space="preserve">Prepared August 7, 2026</w:t>
      </w:r>
    </w:p>
    <w:p>
      <w:pPr>
        <w:pStyle w:val="Heading1"/>
        <w:spacing w:after="160" w:before="320"/>
      </w:pPr>
      <w:r>
        <w:t xml:space="preserve">1. What R6G Is</w:t>
      </w:r>
    </w:p>
    <w:p>
      <w:pPr>
        <w:spacing w:after="160"/>
      </w:pPr>
      <w:r>
        <w:t xml:space="preserve">Rhodamine 6G is a cationic xanthene dye, isolated as the chloride salt (C₂₈H₃₁N₂O₃Cl); the Raman-active species in solution/on a substrate is the R6G cation (C₂₈H₃₁N₂O₃⁺, 64 atoms) — matching the 64-atom, 186-mode cation your own Gaussian 16 calculation used. It has a very high fluorescence quantum yield (~0.95), strong visible absorption around 500–530 nm, and emission near 550–590 nm.</w:t>
      </w:r>
    </w:p>
    <w:p>
      <w:pPr>
        <w:spacing w:after="160"/>
      </w:pPr>
      <w:r>
        <w:t xml:space="preserve">Applications include dye lasers (~20% efficiency, broad tuning range), fluorescence microscopy, flow cytometry, and, most relevant here, decades of use as the default benchmark analyte for testing new SERS substrates. It is also a known environmental contaminant — a textile-industry dye pollutant with reported mutagenic potential — which is only worth noting for context; it does not affect its use as a lab test molecule.</w:t>
      </w:r>
    </w:p>
    <w:p>
      <w:pPr>
        <w:pStyle w:val="Heading1"/>
        <w:spacing w:after="160" w:before="320"/>
      </w:pPr>
      <w:r>
        <w:t xml:space="preserve">2. Why R6G Is the Standard SERS Benchmark</w:t>
      </w:r>
    </w:p>
    <w:p>
      <w:pPr>
        <w:pStyle w:val="ListParagraph"/>
        <w:numPr>
          <w:ilvl w:val="0"/>
          <w:numId w:val="1"/>
        </w:numPr>
        <w:spacing w:after="80"/>
      </w:pPr>
      <w:r>
        <w:t xml:space="preserve">Strong resonance Raman cross-section under visible excitation (514.5/532/633 nm) from its S₀→S₁ transition near 530 nm, but it still gives solid non-resonant SERS signal at 785 nm — the wavelength used in your dataset.</w:t>
      </w:r>
    </w:p>
    <w:p>
      <w:pPr>
        <w:pStyle w:val="ListParagraph"/>
        <w:numPr>
          <w:ilvl w:val="0"/>
          <w:numId w:val="1"/>
        </w:numPr>
        <w:spacing w:after="80"/>
      </w:pPr>
      <w:r>
        <w:t xml:space="preserve">A well-established literature reference frame for peak positions and assignments going back to Hildebrandt &amp; Stockburger (1984), which is exactly what makes it useful for validating a new substrate or instrument, as your project does.</w:t>
      </w:r>
    </w:p>
    <w:p>
      <w:pPr>
        <w:pStyle w:val="ListParagraph"/>
        <w:numPr>
          <w:ilvl w:val="0"/>
          <w:numId w:val="1"/>
        </w:numPr>
        <w:spacing w:after="80"/>
      </w:pPr>
      <w:r>
        <w:t xml:space="preserve">Documented sensitivity down to near-single-molecule detection on silver colloids (Kneipp et al., 1995), with reported enhancement factors up to roughly 10⁹ and limits of detection reported anywhere from ~10⁻¹² M to ~10⁻¹⁶ M depending on the substrate — useful benchmarks for judging your own substrate's performance once you compute an EF/LOD.</w:t>
      </w:r>
    </w:p>
    <w:p>
      <w:pPr>
        <w:pStyle w:val="Heading1"/>
        <w:spacing w:after="160" w:before="320"/>
      </w:pPr>
      <w:r>
        <w:t xml:space="preserve">3. Literature-Consensus R6G Raman/SERS Peak Assignments</w:t>
      </w:r>
    </w:p>
    <w:p>
      <w:pPr>
        <w:spacing w:after="160"/>
      </w:pPr>
      <w:r>
        <w:t xml:space="preserve">Cross-referencing multiple independent sources (review figures, SERS substrate papers, and the DFT studies below) gives a consistent set of fingerprint bands: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D9E2F3" w:val="clear"/>
            <w:tcMar>
              <w:top w:type="dxa" w:w="60"/>
              <w:left w:type="dxa" w:w="100"/>
              <w:bottom w:type="dxa" w:w="60"/>
              <w:right w:type="dxa" w:w="100"/>
            </w:tcMar>
          </w:tcPr>
          <w:p>
            <w:pPr>
              <w:jc w:val="left"/>
            </w:pPr>
            <w:r>
              <w:rPr>
                <w:b/>
                <w:bCs/>
                <w:i w:val="false"/>
                <w:iCs w:val="false"/>
                <w:sz w:val="19"/>
                <w:szCs w:val="19"/>
              </w:rPr>
              <w:t xml:space="preserve">Band (cm⁻¹)</w:t>
            </w:r>
          </w:p>
        </w:tc>
        <w:tc>
          <w:tcPr>
            <w:tcW w:type="dxa" w:w="4200"/>
            <w:shd w:fill="D9E2F3" w:val="clear"/>
            <w:tcMar>
              <w:top w:type="dxa" w:w="60"/>
              <w:left w:type="dxa" w:w="100"/>
              <w:bottom w:type="dxa" w:w="60"/>
              <w:right w:type="dxa" w:w="100"/>
            </w:tcMar>
          </w:tcPr>
          <w:p>
            <w:pPr>
              <w:jc w:val="left"/>
            </w:pPr>
            <w:r>
              <w:rPr>
                <w:b/>
                <w:bCs/>
                <w:i w:val="false"/>
                <w:iCs w:val="false"/>
                <w:sz w:val="19"/>
                <w:szCs w:val="19"/>
              </w:rPr>
              <w:t xml:space="preserve">Typical assignment</w:t>
            </w:r>
          </w:p>
        </w:tc>
        <w:tc>
          <w:tcPr>
            <w:tcW w:type="dxa" w:w="3200"/>
            <w:shd w:fill="D9E2F3" w:val="clear"/>
            <w:tcMar>
              <w:top w:type="dxa" w:w="60"/>
              <w:left w:type="dxa" w:w="100"/>
              <w:bottom w:type="dxa" w:w="60"/>
              <w:right w:type="dxa" w:w="100"/>
            </w:tcMar>
          </w:tcPr>
          <w:p>
            <w:pPr>
              <w:jc w:val="left"/>
            </w:pPr>
            <w:r>
              <w:rPr>
                <w:b/>
                <w:bCs/>
                <w:i w:val="false"/>
                <w:iCs w:val="false"/>
                <w:sz w:val="19"/>
                <w:szCs w:val="19"/>
              </w:rPr>
              <w:t xml:space="preserve">Notes</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612</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Xanthene ring C–C–C in-plane bending</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Skeletal ring-deformation mode; consistently reported</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773</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C–H out-of-plane bending (xanthene)</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Consistently reported, moderate intensity</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1183</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C–H in-plane bending / C–N stretching</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Xanthene ring</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1310</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Aromatic C–C stretching + N–H bending</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Sometimes reported together with 1360 region</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1360–1362</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Xanthene ring C–C stretching</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Usually the strongest, most diagnostic band — the one used for intensity comparisons across conditions</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1509–1510</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Aromatic C–C stretching (xanthene)</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Second most-cited diagnostic band</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1575–1601</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Xanthene C=C / C=O stretching</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Reported range varies more between studies</w:t>
            </w:r>
          </w:p>
        </w:tc>
      </w:tr>
      <w:tr>
        <w:tc>
          <w:tcPr>
            <w:tcW w:type="dxa" w:w="2200"/>
            <w:tcMar>
              <w:top w:type="dxa" w:w="60"/>
              <w:left w:type="dxa" w:w="100"/>
              <w:bottom w:type="dxa" w:w="60"/>
              <w:right w:type="dxa" w:w="100"/>
            </w:tcMar>
          </w:tcPr>
          <w:p>
            <w:pPr>
              <w:jc w:val="left"/>
            </w:pPr>
            <w:r>
              <w:rPr>
                <w:b w:val="false"/>
                <w:bCs w:val="false"/>
                <w:i w:val="false"/>
                <w:iCs w:val="false"/>
                <w:sz w:val="19"/>
                <w:szCs w:val="19"/>
              </w:rPr>
              <w:t xml:space="preserve">~1650</w:t>
            </w:r>
          </w:p>
        </w:tc>
        <w:tc>
          <w:tcPr>
            <w:tcW w:type="dxa" w:w="4200"/>
            <w:tcMar>
              <w:top w:type="dxa" w:w="60"/>
              <w:left w:type="dxa" w:w="100"/>
              <w:bottom w:type="dxa" w:w="60"/>
              <w:right w:type="dxa" w:w="100"/>
            </w:tcMar>
          </w:tcPr>
          <w:p>
            <w:pPr>
              <w:jc w:val="left"/>
            </w:pPr>
            <w:r>
              <w:rPr>
                <w:b w:val="false"/>
                <w:bCs w:val="false"/>
                <w:i w:val="false"/>
                <w:iCs w:val="false"/>
                <w:sz w:val="19"/>
                <w:szCs w:val="19"/>
              </w:rPr>
              <w:t xml:space="preserve">Aromatic stretching</w:t>
            </w:r>
          </w:p>
        </w:tc>
        <w:tc>
          <w:tcPr>
            <w:tcW w:type="dxa" w:w="3200"/>
            <w:tcMar>
              <w:top w:type="dxa" w:w="60"/>
              <w:left w:type="dxa" w:w="100"/>
              <w:bottom w:type="dxa" w:w="60"/>
              <w:right w:type="dxa" w:w="100"/>
            </w:tcMar>
          </w:tcPr>
          <w:p>
            <w:pPr>
              <w:jc w:val="left"/>
            </w:pPr>
            <w:r>
              <w:rPr>
                <w:b w:val="false"/>
                <w:bCs w:val="false"/>
                <w:i w:val="false"/>
                <w:iCs w:val="false"/>
                <w:sz w:val="19"/>
                <w:szCs w:val="19"/>
              </w:rPr>
              <w:t xml:space="preserve">Appears in some SERS papers/lab templates but is less consistently assigned — see Section 5</w:t>
            </w:r>
          </w:p>
        </w:tc>
      </w:tr>
    </w:tbl>
    <w:p>
      <w:pPr>
        <w:spacing w:after="160"/>
      </w:pPr>
    </w:p>
    <w:p>
      <w:pPr>
        <w:pStyle w:val="Heading1"/>
        <w:spacing w:after="160" w:before="320"/>
      </w:pPr>
      <w:r>
        <w:t xml:space="preserve">4. Your Own R6G Project (Summary)</w:t>
      </w:r>
    </w:p>
    <w:p>
      <w:pPr>
        <w:spacing w:after="160"/>
      </w:pPr>
      <w:r>
        <w:t xml:space="preserve">Your r6g-from-my-pc folder already contains a complete, rigorous, manuscript-ready study — not just raw data. In brief:</w:t>
      </w:r>
    </w:p>
    <w:p>
      <w:pPr>
        <w:pStyle w:val="ListParagraph"/>
        <w:numPr>
          <w:ilvl w:val="0"/>
          <w:numId w:val="1"/>
        </w:numPr>
        <w:spacing w:after="80"/>
      </w:pPr>
      <w:r>
        <w:t xml:space="preserve">97 raw CCD Raman acquisitions across 8 sample-preparation conditions, 97/97 passing full QC.</w:t>
      </w:r>
    </w:p>
    <w:p>
      <w:pPr>
        <w:pStyle w:val="ListParagraph"/>
        <w:numPr>
          <w:ilvl w:val="0"/>
          <w:numId w:val="1"/>
        </w:numPr>
        <w:spacing w:after="80"/>
      </w:pPr>
      <w:r>
        <w:t xml:space="preserve">A Gaussian 16 B3LYP/6-311++G(d,p) frequency/Raman calculation for the R6G cation: 186 harmonic modes, zero imaginary frequencies (confirmed minimum), HOMO–LUMO gap 2.986 eV, dipole 6.24 D.</w:t>
      </w:r>
    </w:p>
    <w:p>
      <w:pPr>
        <w:pStyle w:val="ListParagraph"/>
        <w:numPr>
          <w:ilvl w:val="0"/>
          <w:numId w:val="1"/>
        </w:numPr>
        <w:spacing w:after="80"/>
      </w:pPr>
      <w:r>
        <w:t xml:space="preserve">31 experimental peaks Hungarian-matched to scaled DFT modes (scale factor s = 0.967, matching the NIST CCCBDB literature value for this method/basis set): RMSE = 4.62 cm⁻¹, Pearson r = 0.99995.</w:t>
      </w:r>
    </w:p>
    <w:p>
      <w:pPr>
        <w:pStyle w:val="ListParagraph"/>
        <w:numPr>
          <w:ilvl w:val="0"/>
          <w:numId w:val="1"/>
        </w:numPr>
        <w:spacing w:after="80"/>
      </w:pPr>
      <w:r>
        <w:t xml:space="preserve">Whole-spectrum shape agreement is much weaker (cosine similarity 0.61) — correctly interpreted in your own Discussion as the expected signature of comparing a bare-molecule gas-phase calculation to a surface-enhanced experimental spectrum, since SERS relative intensities depend on electromagnetic/charge-transfer effects the calculation doesn't model.</w:t>
      </w:r>
    </w:p>
    <w:p>
      <w:pPr>
        <w:pStyle w:val="ListParagraph"/>
        <w:numPr>
          <w:ilvl w:val="0"/>
          <w:numId w:val="1"/>
        </w:numPr>
        <w:spacing w:after="80"/>
      </w:pPr>
      <w:r>
        <w:t xml:space="preserve">PCA across all 97 spectra: PC1 explains 39.1% of variance; the 1510 cm⁻¹ band intensity trends significantly with sample-preparation condition (r = 0.853, p = 0.0071).</w:t>
      </w:r>
    </w:p>
    <w:p>
      <w:pPr>
        <w:pStyle w:val="Heading1"/>
        <w:spacing w:after="160" w:before="320"/>
      </w:pPr>
      <w:r>
        <w:t xml:space="preserve">5. Cross-Check: Your Matched Bands vs. the External Literature</w:t>
      </w:r>
    </w:p>
    <w:p>
      <w:pPr>
        <w:spacing w:after="160"/>
      </w:pPr>
      <w:r>
        <w:t xml:space="preserve">Your Table 14 (Research_Paper.md / Findings_Report.txt) already cites four of the same primary sources found independently in this search (Hildebrandt 1984, Watanabe 2005, Jensen 2006, Liu 2008). The independent web search corroborates the same band positions and assignments without relying on your own citations: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400"/>
      </w:tblGrid>
      <w:tr>
        <w:trPr>
          <w:tblHeader/>
        </w:trPr>
        <w:tc>
          <w:tcPr>
            <w:tcW w:type="dxa" w:w="2400"/>
            <w:shd w:fill="D9E2F3" w:val="clear"/>
            <w:tcMar>
              <w:top w:type="dxa" w:w="60"/>
              <w:left w:type="dxa" w:w="100"/>
              <w:bottom w:type="dxa" w:w="60"/>
              <w:right w:type="dxa" w:w="100"/>
            </w:tcMar>
          </w:tcPr>
          <w:p>
            <w:pPr>
              <w:jc w:val="left"/>
            </w:pPr>
            <w:r>
              <w:rPr>
                <w:b/>
                <w:bCs/>
                <w:i w:val="false"/>
                <w:iCs w:val="false"/>
                <w:sz w:val="19"/>
                <w:szCs w:val="19"/>
              </w:rPr>
              <w:t xml:space="preserve">Your exp. band (cm⁻¹)</w:t>
            </w:r>
          </w:p>
        </w:tc>
        <w:tc>
          <w:tcPr>
            <w:tcW w:type="dxa" w:w="2200"/>
            <w:shd w:fill="D9E2F3" w:val="clear"/>
            <w:tcMar>
              <w:top w:type="dxa" w:w="60"/>
              <w:left w:type="dxa" w:w="100"/>
              <w:bottom w:type="dxa" w:w="60"/>
              <w:right w:type="dxa" w:w="100"/>
            </w:tcMar>
          </w:tcPr>
          <w:p>
            <w:pPr>
              <w:jc w:val="left"/>
            </w:pPr>
            <w:r>
              <w:rPr>
                <w:b/>
                <w:bCs/>
                <w:i w:val="false"/>
                <w:iCs w:val="false"/>
                <w:sz w:val="19"/>
                <w:szCs w:val="19"/>
              </w:rPr>
              <w:t xml:space="preserve">Your DFT-scaled (cm⁻¹)</w:t>
            </w:r>
          </w:p>
        </w:tc>
        <w:tc>
          <w:tcPr>
            <w:tcW w:type="dxa" w:w="2600"/>
            <w:shd w:fill="D9E2F3" w:val="clear"/>
            <w:tcMar>
              <w:top w:type="dxa" w:w="60"/>
              <w:left w:type="dxa" w:w="100"/>
              <w:bottom w:type="dxa" w:w="60"/>
              <w:right w:type="dxa" w:w="100"/>
            </w:tcMar>
          </w:tcPr>
          <w:p>
            <w:pPr>
              <w:jc w:val="left"/>
            </w:pPr>
            <w:r>
              <w:rPr>
                <w:b/>
                <w:bCs/>
                <w:i w:val="false"/>
                <w:iCs w:val="false"/>
                <w:sz w:val="19"/>
                <w:szCs w:val="19"/>
              </w:rPr>
              <w:t xml:space="preserve">Your literature label</w:t>
            </w:r>
          </w:p>
        </w:tc>
        <w:tc>
          <w:tcPr>
            <w:tcW w:type="dxa" w:w="2400"/>
            <w:shd w:fill="D9E2F3" w:val="clear"/>
            <w:tcMar>
              <w:top w:type="dxa" w:w="60"/>
              <w:left w:type="dxa" w:w="100"/>
              <w:bottom w:type="dxa" w:w="60"/>
              <w:right w:type="dxa" w:w="100"/>
            </w:tcMar>
          </w:tcPr>
          <w:p>
            <w:pPr>
              <w:jc w:val="left"/>
            </w:pPr>
            <w:r>
              <w:rPr>
                <w:b/>
                <w:bCs/>
                <w:i w:val="false"/>
                <w:iCs w:val="false"/>
                <w:sz w:val="19"/>
                <w:szCs w:val="19"/>
              </w:rPr>
              <w:t xml:space="preserve">Independently found consensus</w:t>
            </w:r>
          </w:p>
        </w:tc>
      </w:tr>
      <w:tr>
        <w:tc>
          <w:tcPr>
            <w:tcW w:type="dxa" w:w="2400"/>
            <w:tcMar>
              <w:top w:type="dxa" w:w="60"/>
              <w:left w:type="dxa" w:w="100"/>
              <w:bottom w:type="dxa" w:w="60"/>
              <w:right w:type="dxa" w:w="100"/>
            </w:tcMar>
          </w:tcPr>
          <w:p>
            <w:pPr>
              <w:jc w:val="left"/>
            </w:pPr>
            <w:r>
              <w:rPr>
                <w:b w:val="false"/>
                <w:bCs w:val="false"/>
                <w:i w:val="false"/>
                <w:iCs w:val="false"/>
                <w:sz w:val="19"/>
                <w:szCs w:val="19"/>
              </w:rPr>
              <w:t xml:space="preserve">610.2</w:t>
            </w:r>
          </w:p>
        </w:tc>
        <w:tc>
          <w:tcPr>
            <w:tcW w:type="dxa" w:w="2200"/>
            <w:tcMar>
              <w:top w:type="dxa" w:w="60"/>
              <w:left w:type="dxa" w:w="100"/>
              <w:bottom w:type="dxa" w:w="60"/>
              <w:right w:type="dxa" w:w="100"/>
            </w:tcMar>
          </w:tcPr>
          <w:p>
            <w:pPr>
              <w:jc w:val="left"/>
            </w:pPr>
            <w:r>
              <w:rPr>
                <w:b w:val="false"/>
                <w:bCs w:val="false"/>
                <w:i w:val="false"/>
                <w:iCs w:val="false"/>
                <w:sz w:val="19"/>
                <w:szCs w:val="19"/>
              </w:rPr>
              <w:t xml:space="preserve">608.5</w:t>
            </w:r>
          </w:p>
        </w:tc>
        <w:tc>
          <w:tcPr>
            <w:tcW w:type="dxa" w:w="2600"/>
            <w:tcMar>
              <w:top w:type="dxa" w:w="60"/>
              <w:left w:type="dxa" w:w="100"/>
              <w:bottom w:type="dxa" w:w="60"/>
              <w:right w:type="dxa" w:w="100"/>
            </w:tcMar>
          </w:tcPr>
          <w:p>
            <w:pPr>
              <w:jc w:val="left"/>
            </w:pPr>
            <w:r>
              <w:rPr>
                <w:b w:val="false"/>
                <w:bCs w:val="false"/>
                <w:i w:val="false"/>
                <w:iCs w:val="false"/>
                <w:sz w:val="19"/>
                <w:szCs w:val="19"/>
              </w:rPr>
              <w:t xml:space="preserve">Xanthene ring C-C-C in-plane bending</w:t>
            </w:r>
          </w:p>
        </w:tc>
        <w:tc>
          <w:tcPr>
            <w:tcW w:type="dxa" w:w="2400"/>
            <w:tcMar>
              <w:top w:type="dxa" w:w="60"/>
              <w:left w:type="dxa" w:w="100"/>
              <w:bottom w:type="dxa" w:w="60"/>
              <w:right w:type="dxa" w:w="100"/>
            </w:tcMar>
          </w:tcPr>
          <w:p>
            <w:pPr>
              <w:jc w:val="left"/>
            </w:pPr>
            <w:r>
              <w:rPr>
                <w:b w:val="false"/>
                <w:bCs w:val="false"/>
                <w:i w:val="false"/>
                <w:iCs w:val="false"/>
                <w:sz w:val="19"/>
                <w:szCs w:val="19"/>
              </w:rPr>
              <w:t xml:space="preserve">Matches — 612 cm⁻¹ band, same assignment</w:t>
            </w:r>
          </w:p>
        </w:tc>
      </w:tr>
      <w:tr>
        <w:tc>
          <w:tcPr>
            <w:tcW w:type="dxa" w:w="2400"/>
            <w:tcMar>
              <w:top w:type="dxa" w:w="60"/>
              <w:left w:type="dxa" w:w="100"/>
              <w:bottom w:type="dxa" w:w="60"/>
              <w:right w:type="dxa" w:w="100"/>
            </w:tcMar>
          </w:tcPr>
          <w:p>
            <w:pPr>
              <w:jc w:val="left"/>
            </w:pPr>
            <w:r>
              <w:rPr>
                <w:b w:val="false"/>
                <w:bCs w:val="false"/>
                <w:i w:val="false"/>
                <w:iCs w:val="false"/>
                <w:sz w:val="19"/>
                <w:szCs w:val="19"/>
              </w:rPr>
              <w:t xml:space="preserve">774.4</w:t>
            </w:r>
          </w:p>
        </w:tc>
        <w:tc>
          <w:tcPr>
            <w:tcW w:type="dxa" w:w="2200"/>
            <w:tcMar>
              <w:top w:type="dxa" w:w="60"/>
              <w:left w:type="dxa" w:w="100"/>
              <w:bottom w:type="dxa" w:w="60"/>
              <w:right w:type="dxa" w:w="100"/>
            </w:tcMar>
          </w:tcPr>
          <w:p>
            <w:pPr>
              <w:jc w:val="left"/>
            </w:pPr>
            <w:r>
              <w:rPr>
                <w:b w:val="false"/>
                <w:bCs w:val="false"/>
                <w:i w:val="false"/>
                <w:iCs w:val="false"/>
                <w:sz w:val="19"/>
                <w:szCs w:val="19"/>
              </w:rPr>
              <w:t xml:space="preserve">773.5</w:t>
            </w:r>
          </w:p>
        </w:tc>
        <w:tc>
          <w:tcPr>
            <w:tcW w:type="dxa" w:w="2600"/>
            <w:tcMar>
              <w:top w:type="dxa" w:w="60"/>
              <w:left w:type="dxa" w:w="100"/>
              <w:bottom w:type="dxa" w:w="60"/>
              <w:right w:type="dxa" w:w="100"/>
            </w:tcMar>
          </w:tcPr>
          <w:p>
            <w:pPr>
              <w:jc w:val="left"/>
            </w:pPr>
            <w:r>
              <w:rPr>
                <w:b w:val="false"/>
                <w:bCs w:val="false"/>
                <w:i w:val="false"/>
                <w:iCs w:val="false"/>
                <w:sz w:val="19"/>
                <w:szCs w:val="19"/>
              </w:rPr>
              <w:t xml:space="preserve">Xanthene ring C-H out-of-plane bending</w:t>
            </w:r>
          </w:p>
        </w:tc>
        <w:tc>
          <w:tcPr>
            <w:tcW w:type="dxa" w:w="2400"/>
            <w:tcMar>
              <w:top w:type="dxa" w:w="60"/>
              <w:left w:type="dxa" w:w="100"/>
              <w:bottom w:type="dxa" w:w="60"/>
              <w:right w:type="dxa" w:w="100"/>
            </w:tcMar>
          </w:tcPr>
          <w:p>
            <w:pPr>
              <w:jc w:val="left"/>
            </w:pPr>
            <w:r>
              <w:rPr>
                <w:b w:val="false"/>
                <w:bCs w:val="false"/>
                <w:i w:val="false"/>
                <w:iCs w:val="false"/>
                <w:sz w:val="19"/>
                <w:szCs w:val="19"/>
              </w:rPr>
              <w:t xml:space="preserve">Matches — 773 cm⁻¹ band, same assignment</w:t>
            </w:r>
          </w:p>
        </w:tc>
      </w:tr>
      <w:tr>
        <w:tc>
          <w:tcPr>
            <w:tcW w:type="dxa" w:w="2400"/>
            <w:tcMar>
              <w:top w:type="dxa" w:w="60"/>
              <w:left w:type="dxa" w:w="100"/>
              <w:bottom w:type="dxa" w:w="60"/>
              <w:right w:type="dxa" w:w="100"/>
            </w:tcMar>
          </w:tcPr>
          <w:p>
            <w:pPr>
              <w:jc w:val="left"/>
            </w:pPr>
            <w:r>
              <w:rPr>
                <w:b w:val="false"/>
                <w:bCs w:val="false"/>
                <w:i w:val="false"/>
                <w:iCs w:val="false"/>
                <w:sz w:val="19"/>
                <w:szCs w:val="19"/>
              </w:rPr>
              <w:t xml:space="preserve">1362.2</w:t>
            </w:r>
          </w:p>
        </w:tc>
        <w:tc>
          <w:tcPr>
            <w:tcW w:type="dxa" w:w="2200"/>
            <w:tcMar>
              <w:top w:type="dxa" w:w="60"/>
              <w:left w:type="dxa" w:w="100"/>
              <w:bottom w:type="dxa" w:w="60"/>
              <w:right w:type="dxa" w:w="100"/>
            </w:tcMar>
          </w:tcPr>
          <w:p>
            <w:pPr>
              <w:jc w:val="left"/>
            </w:pPr>
            <w:r>
              <w:rPr>
                <w:b w:val="false"/>
                <w:bCs w:val="false"/>
                <w:i w:val="false"/>
                <w:iCs w:val="false"/>
                <w:sz w:val="19"/>
                <w:szCs w:val="19"/>
              </w:rPr>
              <w:t xml:space="preserve">1356.4</w:t>
            </w:r>
          </w:p>
        </w:tc>
        <w:tc>
          <w:tcPr>
            <w:tcW w:type="dxa" w:w="2600"/>
            <w:tcMar>
              <w:top w:type="dxa" w:w="60"/>
              <w:left w:type="dxa" w:w="100"/>
              <w:bottom w:type="dxa" w:w="60"/>
              <w:right w:type="dxa" w:w="100"/>
            </w:tcMar>
          </w:tcPr>
          <w:p>
            <w:pPr>
              <w:jc w:val="left"/>
            </w:pPr>
            <w:r>
              <w:rPr>
                <w:b w:val="false"/>
                <w:bCs w:val="false"/>
                <w:i w:val="false"/>
                <w:iCs w:val="false"/>
                <w:sz w:val="19"/>
                <w:szCs w:val="19"/>
              </w:rPr>
              <w:t xml:space="preserve">Xanthene ring C-C stretching</w:t>
            </w:r>
          </w:p>
        </w:tc>
        <w:tc>
          <w:tcPr>
            <w:tcW w:type="dxa" w:w="2400"/>
            <w:tcMar>
              <w:top w:type="dxa" w:w="60"/>
              <w:left w:type="dxa" w:w="100"/>
              <w:bottom w:type="dxa" w:w="60"/>
              <w:right w:type="dxa" w:w="100"/>
            </w:tcMar>
          </w:tcPr>
          <w:p>
            <w:pPr>
              <w:jc w:val="left"/>
            </w:pPr>
            <w:r>
              <w:rPr>
                <w:b w:val="false"/>
                <w:bCs w:val="false"/>
                <w:i w:val="false"/>
                <w:iCs w:val="false"/>
                <w:sz w:val="19"/>
                <w:szCs w:val="19"/>
              </w:rPr>
              <w:t xml:space="preserve">Matches — 1360 cm⁻¹, the standard diagnostic band</w:t>
            </w:r>
          </w:p>
        </w:tc>
      </w:tr>
      <w:tr>
        <w:tc>
          <w:tcPr>
            <w:tcW w:type="dxa" w:w="2400"/>
            <w:tcMar>
              <w:top w:type="dxa" w:w="60"/>
              <w:left w:type="dxa" w:w="100"/>
              <w:bottom w:type="dxa" w:w="60"/>
              <w:right w:type="dxa" w:w="100"/>
            </w:tcMar>
          </w:tcPr>
          <w:p>
            <w:pPr>
              <w:jc w:val="left"/>
            </w:pPr>
            <w:r>
              <w:rPr>
                <w:b w:val="false"/>
                <w:bCs w:val="false"/>
                <w:i w:val="false"/>
                <w:iCs w:val="false"/>
                <w:sz w:val="19"/>
                <w:szCs w:val="19"/>
              </w:rPr>
              <w:t xml:space="preserve">1509.4</w:t>
            </w:r>
          </w:p>
        </w:tc>
        <w:tc>
          <w:tcPr>
            <w:tcW w:type="dxa" w:w="2200"/>
            <w:tcMar>
              <w:top w:type="dxa" w:w="60"/>
              <w:left w:type="dxa" w:w="100"/>
              <w:bottom w:type="dxa" w:w="60"/>
              <w:right w:type="dxa" w:w="100"/>
            </w:tcMar>
          </w:tcPr>
          <w:p>
            <w:pPr>
              <w:jc w:val="left"/>
            </w:pPr>
            <w:r>
              <w:rPr>
                <w:b w:val="false"/>
                <w:bCs w:val="false"/>
                <w:i w:val="false"/>
                <w:iCs w:val="false"/>
                <w:sz w:val="19"/>
                <w:szCs w:val="19"/>
              </w:rPr>
              <w:t xml:space="preserve">1505.5</w:t>
            </w:r>
          </w:p>
        </w:tc>
        <w:tc>
          <w:tcPr>
            <w:tcW w:type="dxa" w:w="2600"/>
            <w:tcMar>
              <w:top w:type="dxa" w:w="60"/>
              <w:left w:type="dxa" w:w="100"/>
              <w:bottom w:type="dxa" w:w="60"/>
              <w:right w:type="dxa" w:w="100"/>
            </w:tcMar>
          </w:tcPr>
          <w:p>
            <w:pPr>
              <w:jc w:val="left"/>
            </w:pPr>
            <w:r>
              <w:rPr>
                <w:b w:val="false"/>
                <w:bCs w:val="false"/>
                <w:i w:val="false"/>
                <w:iCs w:val="false"/>
                <w:sz w:val="19"/>
                <w:szCs w:val="19"/>
              </w:rPr>
              <w:t xml:space="preserve">Aromatic C-C stretching (xanthene)</w:t>
            </w:r>
          </w:p>
        </w:tc>
        <w:tc>
          <w:tcPr>
            <w:tcW w:type="dxa" w:w="2400"/>
            <w:tcMar>
              <w:top w:type="dxa" w:w="60"/>
              <w:left w:type="dxa" w:w="100"/>
              <w:bottom w:type="dxa" w:w="60"/>
              <w:right w:type="dxa" w:w="100"/>
            </w:tcMar>
          </w:tcPr>
          <w:p>
            <w:pPr>
              <w:jc w:val="left"/>
            </w:pPr>
            <w:r>
              <w:rPr>
                <w:b w:val="false"/>
                <w:bCs w:val="false"/>
                <w:i w:val="false"/>
                <w:iCs w:val="false"/>
                <w:sz w:val="19"/>
                <w:szCs w:val="19"/>
              </w:rPr>
              <w:t xml:space="preserve">Matches — 1510 cm⁻¹, standard second diagnostic band</w:t>
            </w:r>
          </w:p>
        </w:tc>
      </w:tr>
      <w:tr>
        <w:tc>
          <w:tcPr>
            <w:tcW w:type="dxa" w:w="2400"/>
            <w:tcMar>
              <w:top w:type="dxa" w:w="60"/>
              <w:left w:type="dxa" w:w="100"/>
              <w:bottom w:type="dxa" w:w="60"/>
              <w:right w:type="dxa" w:w="100"/>
            </w:tcMar>
          </w:tcPr>
          <w:p>
            <w:pPr>
              <w:jc w:val="left"/>
            </w:pPr>
            <w:r>
              <w:rPr>
                <w:b w:val="false"/>
                <w:bCs w:val="false"/>
                <w:i w:val="false"/>
                <w:iCs w:val="false"/>
                <w:sz w:val="19"/>
                <w:szCs w:val="19"/>
              </w:rPr>
              <w:t xml:space="preserve">1601.3</w:t>
            </w:r>
          </w:p>
        </w:tc>
        <w:tc>
          <w:tcPr>
            <w:tcW w:type="dxa" w:w="2200"/>
            <w:tcMar>
              <w:top w:type="dxa" w:w="60"/>
              <w:left w:type="dxa" w:w="100"/>
              <w:bottom w:type="dxa" w:w="60"/>
              <w:right w:type="dxa" w:w="100"/>
            </w:tcMar>
          </w:tcPr>
          <w:p>
            <w:pPr>
              <w:jc w:val="left"/>
            </w:pPr>
            <w:r>
              <w:rPr>
                <w:b w:val="false"/>
                <w:bCs w:val="false"/>
                <w:i w:val="false"/>
                <w:iCs w:val="false"/>
                <w:sz w:val="19"/>
                <w:szCs w:val="19"/>
              </w:rPr>
              <w:t xml:space="preserve">1592.7</w:t>
            </w:r>
          </w:p>
        </w:tc>
        <w:tc>
          <w:tcPr>
            <w:tcW w:type="dxa" w:w="2600"/>
            <w:tcMar>
              <w:top w:type="dxa" w:w="60"/>
              <w:left w:type="dxa" w:w="100"/>
              <w:bottom w:type="dxa" w:w="60"/>
              <w:right w:type="dxa" w:w="100"/>
            </w:tcMar>
          </w:tcPr>
          <w:p>
            <w:pPr>
              <w:jc w:val="left"/>
            </w:pPr>
            <w:r>
              <w:rPr>
                <w:b w:val="false"/>
                <w:bCs w:val="false"/>
                <w:i w:val="false"/>
                <w:iCs w:val="false"/>
                <w:sz w:val="19"/>
                <w:szCs w:val="19"/>
              </w:rPr>
              <w:t xml:space="preserve">Xanthene C=C / C=O stretching</w:t>
            </w:r>
          </w:p>
        </w:tc>
        <w:tc>
          <w:tcPr>
            <w:tcW w:type="dxa" w:w="2400"/>
            <w:tcMar>
              <w:top w:type="dxa" w:w="60"/>
              <w:left w:type="dxa" w:w="100"/>
              <w:bottom w:type="dxa" w:w="60"/>
              <w:right w:type="dxa" w:w="100"/>
            </w:tcMar>
          </w:tcPr>
          <w:p>
            <w:pPr>
              <w:jc w:val="left"/>
            </w:pPr>
            <w:r>
              <w:rPr>
                <w:b w:val="false"/>
                <w:bCs w:val="false"/>
                <w:i w:val="false"/>
                <w:iCs w:val="false"/>
                <w:sz w:val="19"/>
                <w:szCs w:val="19"/>
              </w:rPr>
              <w:t xml:space="preserve">Matches the 1575–1601 range reported elsewhere</w:t>
            </w:r>
          </w:p>
        </w:tc>
      </w:tr>
    </w:tbl>
    <w:p>
      <w:pPr>
        <w:spacing w:after="160"/>
      </w:pPr>
    </w:p>
    <w:p>
      <w:pPr>
        <w:spacing w:after="160"/>
      </w:pPr>
      <w:r>
        <w:rPr>
          <w:i/>
          <w:iCs/>
        </w:rPr>
        <w:t xml:space="preserve">One gap worth checking: your SERS lab-sheet template (and several external SERS papers) track a ~1650 cm⁻¹ band, but your final DFT-matched table (Table 14) tops out at 1601.3 cm⁻¹. It's possible a ~1650 cm⁻¹ peak was detected and fitted but landed in the “12 additional matched peaks … reported as Unassigned” bucket, or fell outside the 15 cm⁻¹ Hungarian-matching cost threshold. Worth a quick look at table_14_vibrational_assignment.csv to confirm whether that band is present and just unassigned, or genuinely absent from this condition's spectrum.</w:t>
      </w:r>
    </w:p>
    <w:p>
      <w:pPr>
        <w:pStyle w:val="Heading1"/>
        <w:spacing w:after="160" w:before="320"/>
      </w:pPr>
      <w:r>
        <w:t xml:space="preserve">6. Citation Integrity Check</w:t>
      </w:r>
    </w:p>
    <w:p>
      <w:pPr>
        <w:spacing w:after="160"/>
      </w:pPr>
      <w:r>
        <w:t xml:space="preserve">All five literature references cited in your Research_Paper.md and Findings_Report.txt were re-verified independently in this search (title, journal, volume, pages, DOI):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600"/>
        <w:gridCol w:w="2000"/>
      </w:tblGrid>
      <w:tr>
        <w:trPr>
          <w:tblHeader/>
        </w:trPr>
        <w:tc>
          <w:tcPr>
            <w:tcW w:type="dxa" w:w="7600"/>
            <w:shd w:fill="D9E2F3" w:val="clear"/>
            <w:tcMar>
              <w:top w:type="dxa" w:w="60"/>
              <w:left w:type="dxa" w:w="100"/>
              <w:bottom w:type="dxa" w:w="60"/>
              <w:right w:type="dxa" w:w="100"/>
            </w:tcMar>
          </w:tcPr>
          <w:p>
            <w:pPr>
              <w:jc w:val="left"/>
            </w:pPr>
            <w:r>
              <w:rPr>
                <w:b/>
                <w:bCs/>
                <w:i w:val="false"/>
                <w:iCs w:val="false"/>
                <w:sz w:val="19"/>
                <w:szCs w:val="19"/>
              </w:rPr>
              <w:t xml:space="preserve">Reference</w:t>
            </w:r>
          </w:p>
        </w:tc>
        <w:tc>
          <w:tcPr>
            <w:tcW w:type="dxa" w:w="2000"/>
            <w:shd w:fill="D9E2F3" w:val="clear"/>
            <w:tcMar>
              <w:top w:type="dxa" w:w="60"/>
              <w:left w:type="dxa" w:w="100"/>
              <w:bottom w:type="dxa" w:w="60"/>
              <w:right w:type="dxa" w:w="100"/>
            </w:tcMar>
          </w:tcPr>
          <w:p>
            <w:pPr>
              <w:jc w:val="left"/>
            </w:pPr>
            <w:r>
              <w:rPr>
                <w:b/>
                <w:bCs/>
                <w:i w:val="false"/>
                <w:iCs w:val="false"/>
                <w:sz w:val="19"/>
                <w:szCs w:val="19"/>
              </w:rPr>
              <w:t xml:space="preserve">Verified?</w:t>
            </w:r>
          </w:p>
        </w:tc>
      </w:tr>
      <w:tr>
        <w:tc>
          <w:tcPr>
            <w:tcW w:type="dxa" w:w="7600"/>
            <w:tcMar>
              <w:top w:type="dxa" w:w="60"/>
              <w:left w:type="dxa" w:w="100"/>
              <w:bottom w:type="dxa" w:w="60"/>
              <w:right w:type="dxa" w:w="100"/>
            </w:tcMar>
          </w:tcPr>
          <w:p>
            <w:pPr>
              <w:jc w:val="left"/>
            </w:pPr>
            <w:r>
              <w:rPr>
                <w:b w:val="false"/>
                <w:bCs w:val="false"/>
                <w:i w:val="false"/>
                <w:iCs w:val="false"/>
                <w:sz w:val="19"/>
                <w:szCs w:val="19"/>
              </w:rPr>
              <w:t xml:space="preserve">Hildebrandt &amp; Stockburger (1984), J. Phys. Chem. 88, 5935–5944, DOI 10.1021/j150668a038</w:t>
            </w:r>
          </w:p>
        </w:tc>
        <w:tc>
          <w:tcPr>
            <w:tcW w:type="dxa" w:w="2000"/>
            <w:tcMar>
              <w:top w:type="dxa" w:w="60"/>
              <w:left w:type="dxa" w:w="100"/>
              <w:bottom w:type="dxa" w:w="60"/>
              <w:right w:type="dxa" w:w="100"/>
            </w:tcMar>
          </w:tcPr>
          <w:p>
            <w:pPr>
              <w:jc w:val="left"/>
            </w:pPr>
            <w:r>
              <w:rPr>
                <w:b w:val="false"/>
                <w:bCs w:val="false"/>
                <w:i w:val="false"/>
                <w:iCs w:val="false"/>
                <w:sz w:val="19"/>
                <w:szCs w:val="19"/>
              </w:rPr>
              <w:t xml:space="preserve">Confirmed</w:t>
            </w:r>
          </w:p>
        </w:tc>
      </w:tr>
      <w:tr>
        <w:tc>
          <w:tcPr>
            <w:tcW w:type="dxa" w:w="7600"/>
            <w:tcMar>
              <w:top w:type="dxa" w:w="60"/>
              <w:left w:type="dxa" w:w="100"/>
              <w:bottom w:type="dxa" w:w="60"/>
              <w:right w:type="dxa" w:w="100"/>
            </w:tcMar>
          </w:tcPr>
          <w:p>
            <w:pPr>
              <w:jc w:val="left"/>
            </w:pPr>
            <w:r>
              <w:rPr>
                <w:b w:val="false"/>
                <w:bCs w:val="false"/>
                <w:i w:val="false"/>
                <w:iCs w:val="false"/>
                <w:sz w:val="19"/>
                <w:szCs w:val="19"/>
              </w:rPr>
              <w:t xml:space="preserve">Kneipp, Wang, Dasari &amp; Feld (1995), Appl. Spectrosc. 49, 780–784, DOI 10.1366/0003702953964480</w:t>
            </w:r>
          </w:p>
        </w:tc>
        <w:tc>
          <w:tcPr>
            <w:tcW w:type="dxa" w:w="2000"/>
            <w:tcMar>
              <w:top w:type="dxa" w:w="60"/>
              <w:left w:type="dxa" w:w="100"/>
              <w:bottom w:type="dxa" w:w="60"/>
              <w:right w:type="dxa" w:w="100"/>
            </w:tcMar>
          </w:tcPr>
          <w:p>
            <w:pPr>
              <w:jc w:val="left"/>
            </w:pPr>
            <w:r>
              <w:rPr>
                <w:b w:val="false"/>
                <w:bCs w:val="false"/>
                <w:i w:val="false"/>
                <w:iCs w:val="false"/>
                <w:sz w:val="19"/>
                <w:szCs w:val="19"/>
              </w:rPr>
              <w:t xml:space="preserve">Confirmed</w:t>
            </w:r>
          </w:p>
        </w:tc>
      </w:tr>
      <w:tr>
        <w:tc>
          <w:tcPr>
            <w:tcW w:type="dxa" w:w="7600"/>
            <w:tcMar>
              <w:top w:type="dxa" w:w="60"/>
              <w:left w:type="dxa" w:w="100"/>
              <w:bottom w:type="dxa" w:w="60"/>
              <w:right w:type="dxa" w:w="100"/>
            </w:tcMar>
          </w:tcPr>
          <w:p>
            <w:pPr>
              <w:jc w:val="left"/>
            </w:pPr>
            <w:r>
              <w:rPr>
                <w:b w:val="false"/>
                <w:bCs w:val="false"/>
                <w:i w:val="false"/>
                <w:iCs w:val="false"/>
                <w:sz w:val="19"/>
                <w:szCs w:val="19"/>
              </w:rPr>
              <w:t xml:space="preserve">Watanabe, Hayazawa, Inouye &amp; Kawata (2005), J. Phys. Chem. B 109, 5012–5020, DOI 10.1021/jp045771u</w:t>
            </w:r>
          </w:p>
        </w:tc>
        <w:tc>
          <w:tcPr>
            <w:tcW w:type="dxa" w:w="2000"/>
            <w:tcMar>
              <w:top w:type="dxa" w:w="60"/>
              <w:left w:type="dxa" w:w="100"/>
              <w:bottom w:type="dxa" w:w="60"/>
              <w:right w:type="dxa" w:w="100"/>
            </w:tcMar>
          </w:tcPr>
          <w:p>
            <w:pPr>
              <w:jc w:val="left"/>
            </w:pPr>
            <w:r>
              <w:rPr>
                <w:b w:val="false"/>
                <w:bCs w:val="false"/>
                <w:i w:val="false"/>
                <w:iCs w:val="false"/>
                <w:sz w:val="19"/>
                <w:szCs w:val="19"/>
              </w:rPr>
              <w:t xml:space="preserve">Confirmed</w:t>
            </w:r>
          </w:p>
        </w:tc>
      </w:tr>
      <w:tr>
        <w:tc>
          <w:tcPr>
            <w:tcW w:type="dxa" w:w="7600"/>
            <w:tcMar>
              <w:top w:type="dxa" w:w="60"/>
              <w:left w:type="dxa" w:w="100"/>
              <w:bottom w:type="dxa" w:w="60"/>
              <w:right w:type="dxa" w:w="100"/>
            </w:tcMar>
          </w:tcPr>
          <w:p>
            <w:pPr>
              <w:jc w:val="left"/>
            </w:pPr>
            <w:r>
              <w:rPr>
                <w:b w:val="false"/>
                <w:bCs w:val="false"/>
                <w:i w:val="false"/>
                <w:iCs w:val="false"/>
                <w:sz w:val="19"/>
                <w:szCs w:val="19"/>
              </w:rPr>
              <w:t xml:space="preserve">Jensen &amp; Schatz (2006), J. Phys. Chem. A 110, 5973–5977, DOI 10.1021/jp0610867</w:t>
            </w:r>
          </w:p>
        </w:tc>
        <w:tc>
          <w:tcPr>
            <w:tcW w:type="dxa" w:w="2000"/>
            <w:tcMar>
              <w:top w:type="dxa" w:w="60"/>
              <w:left w:type="dxa" w:w="100"/>
              <w:bottom w:type="dxa" w:w="60"/>
              <w:right w:type="dxa" w:w="100"/>
            </w:tcMar>
          </w:tcPr>
          <w:p>
            <w:pPr>
              <w:jc w:val="left"/>
            </w:pPr>
            <w:r>
              <w:rPr>
                <w:b w:val="false"/>
                <w:bCs w:val="false"/>
                <w:i w:val="false"/>
                <w:iCs w:val="false"/>
                <w:sz w:val="19"/>
                <w:szCs w:val="19"/>
              </w:rPr>
              <w:t xml:space="preserve">Confirmed</w:t>
            </w:r>
          </w:p>
        </w:tc>
      </w:tr>
      <w:tr>
        <w:tc>
          <w:tcPr>
            <w:tcW w:type="dxa" w:w="7600"/>
            <w:tcMar>
              <w:top w:type="dxa" w:w="60"/>
              <w:left w:type="dxa" w:w="100"/>
              <w:bottom w:type="dxa" w:w="60"/>
              <w:right w:type="dxa" w:w="100"/>
            </w:tcMar>
          </w:tcPr>
          <w:p>
            <w:pPr>
              <w:jc w:val="left"/>
            </w:pPr>
            <w:r>
              <w:rPr>
                <w:b w:val="false"/>
                <w:bCs w:val="false"/>
                <w:i w:val="false"/>
                <w:iCs w:val="false"/>
                <w:sz w:val="19"/>
                <w:szCs w:val="19"/>
              </w:rPr>
              <w:t xml:space="preserve">Liu, Wan, Chen &amp; Sun (2008), J. Raman Spectrosc. 39, 1170–1177, DOI 10.1002/jrs.1958</w:t>
            </w:r>
          </w:p>
        </w:tc>
        <w:tc>
          <w:tcPr>
            <w:tcW w:type="dxa" w:w="2000"/>
            <w:tcMar>
              <w:top w:type="dxa" w:w="60"/>
              <w:left w:type="dxa" w:w="100"/>
              <w:bottom w:type="dxa" w:w="60"/>
              <w:right w:type="dxa" w:w="100"/>
            </w:tcMar>
          </w:tcPr>
          <w:p>
            <w:pPr>
              <w:jc w:val="left"/>
            </w:pPr>
            <w:r>
              <w:rPr>
                <w:b w:val="false"/>
                <w:bCs w:val="false"/>
                <w:i w:val="false"/>
                <w:iCs w:val="false"/>
                <w:sz w:val="19"/>
                <w:szCs w:val="19"/>
              </w:rPr>
              <w:t xml:space="preserve">Confirmed</w:t>
            </w:r>
          </w:p>
        </w:tc>
      </w:tr>
    </w:tbl>
    <w:p>
      <w:pPr>
        <w:spacing w:after="160"/>
      </w:pPr>
    </w:p>
    <w:p>
      <w:pPr>
        <w:spacing w:after="160"/>
      </w:pPr>
      <w:r>
        <w:t xml:space="preserve">Your project had already caught and removed one bad citation (a 2008 Canamares et al. reference that actually covers crystal violet, not R6G) — that self-correction is a good sign of the pipeline's rigor. This search did not turn up any evidence of that error being reintroduced or any other citation problems.</w:t>
      </w:r>
    </w:p>
    <w:p>
      <w:pPr>
        <w:pStyle w:val="Heading1"/>
        <w:spacing w:after="160" w:before="320"/>
      </w:pPr>
      <w:r>
        <w:t xml:space="preserve">7. Gaps and Suggested Next Steps</w:t>
      </w:r>
    </w:p>
    <w:p>
      <w:pPr>
        <w:spacing w:after="160"/>
      </w:pPr>
      <w:r>
        <w:t xml:space="preserve">Your own Research_Paper.md Limitations section is already honest about most of this. Comparing against the wider literature reinforces the two additions that would most strengthen the study for publication — the same ones flagged earlier in your own working notes:</w:t>
      </w:r>
    </w:p>
    <w:p>
      <w:pPr>
        <w:pStyle w:val="ListParagraph"/>
        <w:numPr>
          <w:ilvl w:val="0"/>
          <w:numId w:val="1"/>
        </w:numPr>
        <w:spacing w:after="80"/>
      </w:pPr>
      <w:r>
        <w:t xml:space="preserve">Enhancement Factor (EF): your study reports peak-position agreement but no EF. Literature EFs for R6G on Ag substrates commonly range from ~10⁶ to ~10⁹ depending on fabrication method — reviewers will expect a number here, calculated against a non-SERS (bulk/solution) R6G reference spectrum.</w:t>
      </w:r>
    </w:p>
    <w:p>
      <w:pPr>
        <w:pStyle w:val="ListParagraph"/>
        <w:numPr>
          <w:ilvl w:val="0"/>
          <w:numId w:val="1"/>
        </w:numPr>
        <w:spacing w:after="80"/>
      </w:pPr>
      <w:r>
        <w:t xml:space="preserve">Limit of Detection (LOD): a concentration-dilution series (e.g., 10⁻⁶ down to 10⁻¹² M or lower) would let you report an LOD comparable to literature values (~10⁻¹² to ~10⁻¹⁶ M in optimized Ag systems).</w:t>
      </w:r>
    </w:p>
    <w:p>
      <w:pPr>
        <w:pStyle w:val="ListParagraph"/>
        <w:numPr>
          <w:ilvl w:val="0"/>
          <w:numId w:val="1"/>
        </w:numPr>
        <w:spacing w:after="80"/>
      </w:pPr>
      <w:r>
        <w:t xml:space="preserve">Statistical testing (ANOVA/Tukey) between soaking times and Raman acquisition settings — already identified as a to-do in your earlier working notes.</w:t>
      </w:r>
    </w:p>
    <w:p>
      <w:pPr>
        <w:pStyle w:val="ListParagraph"/>
        <w:numPr>
          <w:ilvl w:val="0"/>
          <w:numId w:val="1"/>
        </w:numPr>
        <w:spacing w:after="80"/>
      </w:pPr>
      <w:r>
        <w:t xml:space="preserve">A resonance/TD-DFT calculation (in the spirit of Jensen &amp; Schatz 2006) or an explicit metal-cluster charge-transfer model (in the spirit of Liu et al. 2008) would let you compare relative intensities, not just peak positions — directly addressing the weak 0.61 cosine-similarity result your own Discussion section flags as the calculation's main shortfall.</w:t>
      </w:r>
    </w:p>
    <w:p>
      <w:pPr>
        <w:pStyle w:val="Heading1"/>
        <w:spacing w:after="160" w:before="320"/>
      </w:pPr>
      <w:r>
        <w:t xml:space="preserve">8. References (Verified Links)</w:t>
      </w:r>
    </w:p>
    <w:p>
      <w:pPr>
        <w:spacing w:after="80"/>
      </w:pPr>
      <w:hyperlink w:history="1" r:id="rIdskb8can0xpi0kuj3axlni">
        <w:r>
          <w:rPr>
            <w:rStyle w:val="Hyperlink"/>
          </w:rPr>
          <w:t xml:space="preserve">Hildebrandt, P.; Stockburger, M. (1984) Surface-enhanced resonance Raman spectroscopy of Rhodamine 6G adsorbed on colloidal silver. J. Phys. Chem. 88, 5935–5944.</w:t>
        </w:r>
      </w:hyperlink>
    </w:p>
    <w:p>
      <w:pPr>
        <w:spacing w:after="80"/>
      </w:pPr>
      <w:hyperlink w:history="1" r:id="rIdc-5i1wet9b8nbgxj-grp7">
        <w:r>
          <w:rPr>
            <w:rStyle w:val="Hyperlink"/>
          </w:rPr>
          <w:t xml:space="preserve">Kneipp, K.; Wang, Y.; Dasari, R. R.; Feld, M. S. (1995) Approach to Single Molecule Detection Using SERRS: Rhodamine 6G on Colloidal Silver. Appl. Spectrosc. 49, 780–784.</w:t>
        </w:r>
      </w:hyperlink>
    </w:p>
    <w:p>
      <w:pPr>
        <w:spacing w:after="80"/>
      </w:pPr>
      <w:hyperlink w:history="1" r:id="rIdocby-mrolkyrcjoeiy61c">
        <w:r>
          <w:rPr>
            <w:rStyle w:val="Hyperlink"/>
          </w:rPr>
          <w:t xml:space="preserve">Watanabe, H.; Hayazawa, N.; Inouye, Y.; Kawata, S. (2005) DFT Vibrational Calculations of Rhodamine 6G Adsorbed on Silver: Analysis of TERS. J. Phys. Chem. B 109, 5012–5020.</w:t>
        </w:r>
      </w:hyperlink>
    </w:p>
    <w:p>
      <w:pPr>
        <w:spacing w:after="80"/>
      </w:pPr>
      <w:hyperlink w:history="1" r:id="rId2x8kdeuy0-sseyth7kz9c">
        <w:r>
          <w:rPr>
            <w:rStyle w:val="Hyperlink"/>
          </w:rPr>
          <w:t xml:space="preserve">Jensen, L.; Schatz, G. C. (2006) Resonance Raman Scattering of Rhodamine 6G as Calculated Using TD-DFT. J. Phys. Chem. A 110, 5973–5977.</w:t>
        </w:r>
      </w:hyperlink>
    </w:p>
    <w:p>
      <w:pPr>
        <w:spacing w:after="80"/>
      </w:pPr>
      <w:hyperlink w:history="1" r:id="rIdeyur3gpou2-prabn-ywjp">
        <w:r>
          <w:rPr>
            <w:rStyle w:val="Hyperlink"/>
          </w:rPr>
          <w:t xml:space="preserve">Liu, S.; Wan, S.; Chen, M.; Sun, M. (2008) Theoretical study on SERRS of rhodamine 6G adsorbed on Ag2 cluster. J. Raman Spectrosc. 39, 1170–1177.</w:t>
        </w:r>
      </w:hyperlink>
    </w:p>
    <w:p>
      <w:pPr>
        <w:spacing w:after="80"/>
      </w:pPr>
      <w:hyperlink w:history="1" r:id="rIdkh2lgnicen04r2fz_emto">
        <w:r>
          <w:rPr>
            <w:rStyle w:val="Hyperlink"/>
          </w:rPr>
          <w:t xml:space="preserve">Rhodamine 6G handbook entry — photophysical properties, laser/fluorescence applications.</w:t>
        </w:r>
      </w:hyperlink>
    </w:p>
    <w:p>
      <w:pPr>
        <w:spacing w:after="80"/>
      </w:pPr>
      <w:hyperlink w:history="1" r:id="rId07bti06li8pqqalphd2js">
        <w:r>
          <w:rPr>
            <w:rStyle w:val="Hyperlink"/>
          </w:rPr>
          <w:t xml:space="preserve">Rhodamine 6G as environmental dye contaminant — detection and toxicity context.</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kb8can0xpi0kuj3axlni" Type="http://schemas.openxmlformats.org/officeDocument/2006/relationships/hyperlink" Target="https://pubs.acs.org/doi/10.1021/j150668a038" TargetMode="External"/><Relationship Id="rIdc-5i1wet9b8nbgxj-grp7" Type="http://schemas.openxmlformats.org/officeDocument/2006/relationships/hyperlink" Target="https://journals.sagepub.com/doi/10.1366/0003702953964480" TargetMode="External"/><Relationship Id="rIdocby-mrolkyrcjoeiy61c" Type="http://schemas.openxmlformats.org/officeDocument/2006/relationships/hyperlink" Target="https://pubs.acs.org/doi/abs/10.1021/jp045771u" TargetMode="External"/><Relationship Id="rId2x8kdeuy0-sseyth7kz9c" Type="http://schemas.openxmlformats.org/officeDocument/2006/relationships/hyperlink" Target="https://pubs.acs.org/doi/abs/10.1021/jp0610867" TargetMode="External"/><Relationship Id="rIdeyur3gpou2-prabn-ywjp" Type="http://schemas.openxmlformats.org/officeDocument/2006/relationships/hyperlink" Target="https://analyticalsciencejournals.onlinelibrary.wiley.com/doi/abs/10.1002/jrs.1958" TargetMode="External"/><Relationship Id="rIdkh2lgnicen04r2fz_emto" Type="http://schemas.openxmlformats.org/officeDocument/2006/relationships/hyperlink" Target="https://onlinelibrary.wiley.com/doi/abs/10.1002/9781119007104.ch138" TargetMode="External"/><Relationship Id="rId07bti06li8pqqalphd2js" Type="http://schemas.openxmlformats.org/officeDocument/2006/relationships/hyperlink" Target="https://www.sciencedirect.com/topics/agricultural-and-biological-sciences/rhodamine-6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2026-08-07T04:26:31.875Z</dcterms:created>
  <dcterms:modified xsi:type="dcterms:W3CDTF">2026-08-07T04:26:31.875Z</dcterms:modified>
</cp:coreProperties>
</file>

<file path=docProps/custom.xml><?xml version="1.0" encoding="utf-8"?>
<Properties xmlns="http://schemas.openxmlformats.org/officeDocument/2006/custom-properties" xmlns:vt="http://schemas.openxmlformats.org/officeDocument/2006/docPropsVTypes"/>
</file>