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SERS-Based Nanobiosensor for Sepsis Diagnostics</w:t>
      </w:r>
    </w:p>
    <w:p>
      <w:pPr>
        <w:pStyle w:val="Heading2"/>
        <w:spacing w:after="200" w:line="240"/>
        <w:jc w:val="center"/>
      </w:pPr>
      <w:r>
        <w:t xml:space="preserve">Comprehensive Project Timeline &amp; Future Research Plan</w:t>
      </w:r>
    </w:p>
    <w:p>
      <w:pPr>
        <w:pStyle w:val="Heading1"/>
        <w:spacing w:after="100" w:before="100"/>
      </w:pPr>
      <w:r>
        <w:t xml:space="preserve">Executive Summary</w:t>
      </w:r>
    </w:p>
    <w:p>
      <w:pPr>
        <w:spacing w:after="100"/>
      </w:pPr>
      <w:r>
        <w:t xml:space="preserve">This project aims to develop a Surface-Enhanced Raman Spectroscopy (SERS)-based nanobiosensor for rapid and accurate sepsis diagnostics. The innovation focuses on detecting bacterial-specific biomarkers to enable Gram classification and guide targeted antibiotic therapy within 30 minutes, compared to traditional blood culture methods requiring 24-72 hours.</w:t>
      </w:r>
    </w:p>
    <w:p>
      <w:pPr>
        <w:spacing w:after="200"/>
      </w:pPr>
      <w:r>
        <w:t xml:space="preserve">Current Status: Research phase with completed literature review, initiated SERS simulations, and planned experimental validation.</w:t>
      </w:r>
    </w:p>
    <w:p>
      <w:pPr>
        <w:pStyle w:val="Heading1"/>
        <w:spacing w:after="100" w:before="100"/>
      </w:pPr>
      <w:r>
        <w:t xml:space="preserve">1. Project Overview &amp; Clinical Significance</w:t>
      </w:r>
    </w:p>
    <w:p>
      <w:pPr>
        <w:spacing w:after="50"/>
      </w:pPr>
      <w:r>
        <w:t xml:space="preserve">Clinical Problem:</w:t>
      </w:r>
    </w:p>
    <w:p>
      <w:pPr>
        <w:spacing w:after="100"/>
      </w:pPr>
      <w:r>
        <w:t xml:space="preserve">• 49 million sepsis cases globally (2020) with ~11 million deaths
• Current diagnostics are slow (24-72 hours for blood culture) or non-specific (CRP/PCT)
• Delayed diagnosis leads to 8% increase in mortality per hour
• Empirical broad-spectrum antibiotic use drives antimicrobial resistance (AMR)</w:t>
      </w:r>
    </w:p>
    <w:p>
      <w:pPr>
        <w:spacing w:after="50"/>
      </w:pPr>
      <w:r>
        <w:t xml:space="preserve">Innovation: Bacterial-Specific Approach</w:t>
      </w:r>
    </w:p>
    <w:p>
      <w:pPr>
        <w:spacing w:after="200"/>
      </w:pPr>
      <w:r>
        <w:t xml:space="preserve">• Direct bacterial detection vs. host response detection
• Gram classification enables targeted therapy immediately
• Reduces unnecessary broad-spectrum antibiotic use
• Portable point-of-care (POC) testing capability</w:t>
      </w:r>
    </w:p>
    <w:p>
      <w:pPr>
        <w:pStyle w:val="Heading1"/>
        <w:spacing w:after="100" w:before="100"/>
      </w:pPr>
      <w:r>
        <w:t xml:space="preserve">2. Proposed Bacterial Biomarkers Panel</w:t>
      </w:r>
    </w:p>
    <w:p>
      <w:pPr>
        <w:spacing w:after="50"/>
      </w:pPr>
      <w:r>
        <w:t xml:space="preserve">Universal Bacterial Detection:</w:t>
      </w:r>
    </w:p>
    <w:p>
      <w:pPr>
        <w:spacing w:after="100"/>
      </w:pPr>
      <w:r>
        <w:t xml:space="preserve">Peptidoglycan fragments (N-acetylmuramic acid) — Present in ALL bacteria, absent in viruses/fungi/parasites</w:t>
      </w:r>
    </w:p>
    <w:p>
      <w:pPr>
        <w:spacing w:after="50"/>
      </w:pPr>
      <w:r>
        <w:t xml:space="preserve">Gram-Negative Marker:</w:t>
      </w:r>
    </w:p>
    <w:p>
      <w:pPr>
        <w:spacing w:after="100"/>
      </w:pPr>
      <w:r>
        <w:t xml:space="preserve">Lipopolysaccharide (LPS) — Lipid A &amp; O-antigen; unique to Gram-negative bacteria; strong SERS enhancement</w:t>
      </w:r>
    </w:p>
    <w:p>
      <w:pPr>
        <w:spacing w:after="50"/>
      </w:pPr>
      <w:r>
        <w:t xml:space="preserve">Gram-Positive Markers:</w:t>
      </w:r>
    </w:p>
    <w:p>
      <w:pPr>
        <w:spacing w:after="200"/>
      </w:pPr>
      <w:r>
        <w:t xml:space="preserve">Lipoteichoic acid (LTA) and wall teichoic acids (WTA) — Present only in Gram-positive bacteria; surface accessible</w:t>
      </w:r>
    </w:p>
    <w:p>
      <w:pPr>
        <w:pStyle w:val="Heading1"/>
        <w:spacing w:after="100" w:before="100"/>
      </w:pPr>
      <w:r>
        <w:t xml:space="preserve">3. Project Phases &amp; Timeline</w:t>
      </w:r>
    </w:p>
    <w:p>
      <w:pPr>
        <w:pStyle w:val="Heading2"/>
        <w:spacing w:after="50" w:before="50"/>
      </w:pPr>
      <w:r>
        <w:t xml:space="preserve">PHASE 1: Literature Review &amp; Biomarker Identification</w:t>
      </w:r>
    </w:p>
    <w:p>
      <w:pPr>
        <w:spacing w:after="50"/>
      </w:pPr>
      <w:r>
        <w:t xml:space="preserve">Timeline: Month 1-3 (COMPLETED)</w:t>
      </w:r>
    </w:p>
    <w:p>
      <w:pPr>
        <w:spacing w:after="30"/>
      </w:pPr>
      <w:r>
        <w:t xml:space="preserve">Deliverables:</w:t>
      </w:r>
    </w:p>
    <w:p>
      <w:pPr>
        <w:spacing w:after="200"/>
      </w:pPr>
      <w:r>
        <w:t xml:space="preserve">✓ Comprehensive literature review on bacterial biomarkers and SERS technology
✓ Identification of optimal bacterial surface markers (PGN, LPS, LTA)
✓ SERS fundamentals documentation and substrate design principles
✓ Competitive landscape analysis of existing sepsis diagnostic methods
✓ Project proposal and stakeholder presentations</w:t>
      </w:r>
    </w:p>
    <w:p>
      <w:pPr>
        <w:pStyle w:val="Heading2"/>
        <w:spacing w:after="50" w:before="50"/>
      </w:pPr>
      <w:r>
        <w:t xml:space="preserve">PHASE 2: SERS Simulation &amp; Substrate Design Optimization</w:t>
      </w:r>
    </w:p>
    <w:p>
      <w:pPr>
        <w:spacing w:after="50"/>
      </w:pPr>
      <w:r>
        <w:t xml:space="preserve">Timeline: Month 3-6 (IN PROGRESS)</w:t>
      </w:r>
    </w:p>
    <w:p>
      <w:pPr>
        <w:spacing w:after="30"/>
      </w:pPr>
      <w:r>
        <w:t xml:space="preserve">Current Activities:</w:t>
      </w:r>
    </w:p>
    <w:p>
      <w:pPr>
        <w:spacing w:after="100"/>
      </w:pPr>
      <w:r>
        <w:t xml:space="preserve">• Electromagnetic simulations for Au/Ag nanostructures
• Optimization of hotspot geometry and resonance wavelengths (532 nm, 633 nm, 785 nm, 1064 nm)
• Simulation of SERS enhancement factors for target biomarkers
• Computational optimization of substrate design for reproducibility</w:t>
      </w:r>
    </w:p>
    <w:p>
      <w:pPr>
        <w:spacing w:after="30"/>
      </w:pPr>
      <w:r>
        <w:t xml:space="preserve">Expected Deliverables (Next 2-3 months):</w:t>
      </w:r>
    </w:p>
    <w:p>
      <w:pPr>
        <w:spacing w:after="200"/>
      </w:pPr>
      <w:r>
        <w:t xml:space="preserve">• Optimized substrate design specifications
• SERS enhancement predictions for each biomarker
• Selection of optimal laser wavelength and power parameters
• Substrate fabrication protocol ready for experimental validation</w:t>
      </w:r>
    </w:p>
    <w:p>
      <w:pPr>
        <w:pStyle w:val="Heading2"/>
        <w:spacing w:after="50" w:before="50"/>
      </w:pPr>
      <w:r>
        <w:t xml:space="preserve">PHASE 3: Experimental Validation &amp; Substrate Fabrication</w:t>
      </w:r>
    </w:p>
    <w:p>
      <w:pPr>
        <w:spacing w:after="50"/>
      </w:pPr>
      <w:r>
        <w:t xml:space="preserve">Timeline: Month 6-10</w:t>
      </w:r>
    </w:p>
    <w:p>
      <w:pPr>
        <w:spacing w:after="30"/>
      </w:pPr>
      <w:r>
        <w:t xml:space="preserve">Planned Activities:</w:t>
      </w:r>
    </w:p>
    <w:p>
      <w:pPr>
        <w:spacing w:after="100"/>
      </w:pPr>
      <w:r>
        <w:t xml:space="preserve">• Fabricate SERS substrate prototypes (Au/Ag nanostructures)
• Validate simulations using standard biomarker samples (purified PGN, LPS, LTA)
• Optimize spectral response and substrate uniformity
• Test substrate reproducibility across multiple batches
• Functionalize substrate with capture probes (aptamers/antibodies)</w:t>
      </w:r>
    </w:p>
    <w:p>
      <w:pPr>
        <w:spacing w:after="30"/>
      </w:pPr>
      <w:r>
        <w:t xml:space="preserve">Expected Deliverables:</w:t>
      </w:r>
    </w:p>
    <w:p>
      <w:pPr>
        <w:spacing w:after="200"/>
      </w:pPr>
      <w:r>
        <w:t xml:space="preserve">• Functional SERS substrate prototypes
• Spectral database for PGN, LPS, LTA biomarkers
• Substrate reproducibility report (CV &lt; 10%)
• Capture probe validation results
• Manuscript 1: Substrate design and fabrication</w:t>
      </w:r>
    </w:p>
    <w:p>
      <w:pPr>
        <w:pStyle w:val="Heading2"/>
        <w:spacing w:after="50" w:before="50"/>
      </w:pPr>
      <w:r>
        <w:t xml:space="preserve">PHASE 4: Integration &amp; Biomarker Detection Validation</w:t>
      </w:r>
    </w:p>
    <w:p>
      <w:pPr>
        <w:spacing w:after="50"/>
      </w:pPr>
      <w:r>
        <w:t xml:space="preserve">Timeline: Month 9-13</w:t>
      </w:r>
    </w:p>
    <w:p>
      <w:pPr>
        <w:spacing w:after="30"/>
      </w:pPr>
      <w:r>
        <w:t xml:space="preserve">Planned Activities:</w:t>
      </w:r>
    </w:p>
    <w:p>
      <w:pPr>
        <w:spacing w:after="100"/>
      </w:pPr>
      <w:r>
        <w:t xml:space="preserve">• Integrate SERS substrate with microfluidic sample preparation
• Validate detection of single biomarkers in buffer solution
• Test detection in complex matrix (blood serum, plasma)
• Optimize capture probe kinetics and binding specificity
• Develop signal processing algorithm for Gram classification</w:t>
      </w:r>
    </w:p>
    <w:p>
      <w:pPr>
        <w:spacing w:after="30"/>
      </w:pPr>
      <w:r>
        <w:t xml:space="preserve">Expected Deliverables:</w:t>
      </w:r>
    </w:p>
    <w:p>
      <w:pPr>
        <w:spacing w:after="200"/>
      </w:pPr>
      <w:r>
        <w:t xml:space="preserve">• Functional SERS biosensor prototype
• Detection limit and specificity data for each biomarker
• Gram classification algorithm
• Blood matrix interference assessment
• Manuscript 2: Detection validation and algorithm development</w:t>
      </w:r>
    </w:p>
    <w:p>
      <w:pPr>
        <w:pStyle w:val="Heading2"/>
        <w:spacing w:after="50" w:before="50"/>
      </w:pPr>
      <w:r>
        <w:t xml:space="preserve">PHASE 5: Clinical Translation &amp; Proof-of-Concept</w:t>
      </w:r>
    </w:p>
    <w:p>
      <w:pPr>
        <w:spacing w:after="50"/>
      </w:pPr>
      <w:r>
        <w:t xml:space="preserve">Timeline: Month 12-18</w:t>
      </w:r>
    </w:p>
    <w:p>
      <w:pPr>
        <w:spacing w:after="30"/>
      </w:pPr>
      <w:r>
        <w:t xml:space="preserve">Planned Activities:</w:t>
      </w:r>
    </w:p>
    <w:p>
      <w:pPr>
        <w:spacing w:after="100"/>
      </w:pPr>
      <w:r>
        <w:t xml:space="preserve">• Clinical sample validation (sepsis patient plasma/serum)
• Comparison with gold standard diagnostics (blood culture, molecular assays)
• Point-of-care (POC) device integration and miniaturization
• Regulatory pathway assessment (FDA, CE marking)
• Stakeholder engagement (hospitals, diagnostic companies)</w:t>
      </w:r>
    </w:p>
    <w:p>
      <w:pPr>
        <w:spacing w:after="30"/>
      </w:pPr>
      <w:r>
        <w:t xml:space="preserve">Expected Deliverables:</w:t>
      </w:r>
    </w:p>
    <w:p>
      <w:pPr>
        <w:spacing w:after="200"/>
      </w:pPr>
      <w:r>
        <w:t xml:space="preserve">• Clinical validation report (n=50-100 samples)
• Performance comparison with current diagnostics
• POC device prototype
• Regulatory roadmap document
• Manuscript 3: Clinical validation and translation</w:t>
      </w:r>
    </w:p>
    <w:p>
      <w:pPr>
        <w:pStyle w:val="Heading2"/>
        <w:spacing w:after="100" w:before="50"/>
      </w:pPr>
      <w:r>
        <w:t xml:space="preserve">3.1 Project Gantt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D3D3D3"/>
          </w:tcPr>
          <w:p>
            <w:r>
              <w:t xml:space="preserve">Phase</w:t>
            </w:r>
          </w:p>
        </w:tc>
        <w:tc>
          <w:tcPr>
            <w:shd w:fill="D3D3D3"/>
          </w:tcPr>
          <w:p>
            <w:r>
              <w:t xml:space="preserve">Activity</w:t>
            </w:r>
          </w:p>
        </w:tc>
        <w:tc>
          <w:tcPr>
            <w:shd w:fill="D3D3D3"/>
          </w:tcPr>
          <w:p>
            <w:r>
              <w:t xml:space="preserve">M1-3</w:t>
            </w:r>
          </w:p>
        </w:tc>
        <w:tc>
          <w:tcPr>
            <w:shd w:fill="D3D3D3"/>
          </w:tcPr>
          <w:p>
            <w:r>
              <w:t xml:space="preserve">M4-6</w:t>
            </w:r>
          </w:p>
        </w:tc>
        <w:tc>
          <w:tcPr>
            <w:shd w:fill="D3D3D3"/>
          </w:tcPr>
          <w:p>
            <w:r>
              <w:t xml:space="preserve">M7-9</w:t>
            </w:r>
          </w:p>
        </w:tc>
        <w:tc>
          <w:tcPr>
            <w:shd w:fill="D3D3D3"/>
          </w:tcPr>
          <w:p>
            <w:r>
              <w:t xml:space="preserve">M10-12</w:t>
            </w:r>
          </w:p>
        </w:tc>
        <w:tc>
          <w:tcPr>
            <w:shd w:fill="D3D3D3"/>
          </w:tcPr>
          <w:p>
            <w:r>
              <w:t xml:space="preserve">M13-18</w:t>
            </w:r>
          </w:p>
        </w:tc>
      </w:tr>
      <w:tr>
        <w:tc>
          <w:p>
            <w:r>
              <w:t xml:space="preserve">1</w:t>
            </w:r>
          </w:p>
        </w:tc>
        <w:tc>
          <w:p>
            <w:r>
              <w:t xml:space="preserve">Literature Review</w:t>
            </w:r>
          </w:p>
        </w:tc>
        <w:tc>
          <w:tcPr>
            <w:shd w:fill="90EE90"/>
          </w:tcPr>
          <w:p>
            <w:r>
              <w:t xml:space="preserve">✓✓✓</w:t>
            </w:r>
          </w:p>
        </w:tc>
        <w:tc>
          <w:p>
            <w:r>
              <w:t xml:space="preserve"/>
            </w:r>
          </w:p>
        </w:tc>
        <w:tc>
          <w:p>
            <w:r>
              <w:t xml:space="preserve"/>
            </w:r>
          </w:p>
        </w:tc>
        <w:tc>
          <w:p>
            <w:r>
              <w:t xml:space="preserve"/>
            </w:r>
          </w:p>
        </w:tc>
        <w:tc>
          <w:p>
            <w:r>
              <w:t xml:space="preserve"/>
            </w:r>
          </w:p>
        </w:tc>
      </w:tr>
      <w:tr>
        <w:tc>
          <w:p>
            <w:r>
              <w:t xml:space="preserve">2</w:t>
            </w:r>
          </w:p>
        </w:tc>
        <w:tc>
          <w:p>
            <w:r>
              <w:t xml:space="preserve">SERS Simulation</w:t>
            </w:r>
          </w:p>
        </w:tc>
        <w:tc>
          <w:p>
            <w:r>
              <w:t xml:space="preserve"/>
            </w:r>
          </w:p>
        </w:tc>
        <w:tc>
          <w:tcPr>
            <w:shd w:fill="FFFF99"/>
          </w:tcPr>
          <w:p>
            <w:r>
              <w:t xml:space="preserve">●●●</w:t>
            </w:r>
          </w:p>
        </w:tc>
        <w:tc>
          <w:p>
            <w:r>
              <w:t xml:space="preserve">●</w:t>
            </w:r>
          </w:p>
        </w:tc>
        <w:tc>
          <w:p>
            <w:r>
              <w:t xml:space="preserve"/>
            </w:r>
          </w:p>
        </w:tc>
        <w:tc>
          <w:p>
            <w:r>
              <w:t xml:space="preserve"/>
            </w:r>
          </w:p>
        </w:tc>
      </w:tr>
      <w:tr>
        <w:tc>
          <w:p>
            <w:r>
              <w:t xml:space="preserve">3</w:t>
            </w:r>
          </w:p>
        </w:tc>
        <w:tc>
          <w:p>
            <w:r>
              <w:t xml:space="preserve">Substrate Fabrication</w:t>
            </w:r>
          </w:p>
        </w:tc>
        <w:tc>
          <w:p>
            <w:r>
              <w:t xml:space="preserve"/>
            </w:r>
          </w:p>
        </w:tc>
        <w:tc>
          <w:p>
            <w:r>
              <w:t xml:space="preserve"/>
            </w:r>
          </w:p>
        </w:tc>
        <w:tc>
          <w:tcPr>
            <w:shd w:fill="FFB6C1"/>
          </w:tcPr>
          <w:p>
            <w:r>
              <w:t xml:space="preserve">►►►</w:t>
            </w:r>
          </w:p>
        </w:tc>
        <w:tc>
          <w:p>
            <w:r>
              <w:t xml:space="preserve">►</w:t>
            </w:r>
          </w:p>
        </w:tc>
        <w:tc>
          <w:p>
            <w:r>
              <w:t xml:space="preserve"/>
            </w:r>
          </w:p>
        </w:tc>
      </w:tr>
      <w:tr>
        <w:tc>
          <w:p>
            <w:r>
              <w:t xml:space="preserve">4</w:t>
            </w:r>
          </w:p>
        </w:tc>
        <w:tc>
          <w:p>
            <w:r>
              <w:t xml:space="preserve">Biomarker Validation</w:t>
            </w:r>
          </w:p>
        </w:tc>
        <w:tc>
          <w:p>
            <w:r>
              <w:t xml:space="preserve"/>
            </w:r>
          </w:p>
        </w:tc>
        <w:tc>
          <w:p>
            <w:r>
              <w:t xml:space="preserve"/>
            </w:r>
          </w:p>
        </w:tc>
        <w:tc>
          <w:p>
            <w:r>
              <w:t xml:space="preserve"/>
            </w:r>
          </w:p>
        </w:tc>
        <w:tc>
          <w:tcPr>
            <w:shd w:fill="87CEEB"/>
          </w:tcPr>
          <w:p>
            <w:r>
              <w:t xml:space="preserve">▼▼▼</w:t>
            </w:r>
          </w:p>
        </w:tc>
        <w:tc>
          <w:p>
            <w:r>
              <w:t xml:space="preserve">▼</w:t>
            </w:r>
          </w:p>
        </w:tc>
      </w:tr>
      <w:tr>
        <w:tc>
          <w:p>
            <w:r>
              <w:t xml:space="preserve">5</w:t>
            </w:r>
          </w:p>
        </w:tc>
        <w:tc>
          <w:p>
            <w:r>
              <w:t xml:space="preserve">Clinical Translation</w:t>
            </w:r>
          </w:p>
        </w:tc>
        <w:tc>
          <w:p>
            <w:r>
              <w:t xml:space="preserve"/>
            </w:r>
          </w:p>
        </w:tc>
        <w:tc>
          <w:p>
            <w:r>
              <w:t xml:space="preserve"/>
            </w:r>
          </w:p>
        </w:tc>
        <w:tc>
          <w:p>
            <w:r>
              <w:t xml:space="preserve"/>
            </w:r>
          </w:p>
        </w:tc>
        <w:tc>
          <w:p>
            <w:r>
              <w:t xml:space="preserve"/>
            </w:r>
          </w:p>
        </w:tc>
        <w:tc>
          <w:tcPr>
            <w:shd w:fill="DDA0DD"/>
          </w:tcPr>
          <w:p>
            <w:r>
              <w:t xml:space="preserve">★★★</w:t>
            </w:r>
          </w:p>
        </w:tc>
      </w:tr>
    </w:tbl>
    <w:p>
      <w:pPr>
        <w:spacing w:after="200"/>
      </w:pPr>
    </w:p>
    <w:p>
      <w:pPr>
        <w:pStyle w:val="Heading1"/>
        <w:spacing w:after="100" w:before="100"/>
      </w:pPr>
      <w:r>
        <w:t xml:space="preserve">4. Key Milestones &amp;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D3D3D3"/>
          </w:tcPr>
          <w:p>
            <w:r>
              <w:t xml:space="preserve">Milestone</w:t>
            </w:r>
          </w:p>
        </w:tc>
        <w:tc>
          <w:tcPr>
            <w:tcW w:type="pct" w:w="20%"/>
            <w:shd w:fill="D3D3D3"/>
          </w:tcPr>
          <w:p>
            <w:r>
              <w:t xml:space="preserve">Timeline</w:t>
            </w:r>
          </w:p>
        </w:tc>
        <w:tc>
          <w:tcPr>
            <w:tcW w:type="pct" w:w="60%"/>
            <w:shd w:fill="D3D3D3"/>
          </w:tcPr>
          <w:p>
            <w:r>
              <w:t xml:space="preserve">Deliverable(s)</w:t>
            </w:r>
          </w:p>
        </w:tc>
      </w:tr>
      <w:tr>
        <w:tc>
          <w:p>
            <w:r>
              <w:t xml:space="preserve">M1</w:t>
            </w:r>
          </w:p>
        </w:tc>
        <w:tc>
          <w:p>
            <w:r>
              <w:t xml:space="preserve">Month 6</w:t>
            </w:r>
          </w:p>
        </w:tc>
        <w:tc>
          <w:p>
            <w:r>
              <w:t xml:space="preserve">Optimized substrate design, simulation validation</w:t>
            </w:r>
          </w:p>
        </w:tc>
      </w:tr>
      <w:tr>
        <w:tc>
          <w:p>
            <w:r>
              <w:t xml:space="preserve">M2</w:t>
            </w:r>
          </w:p>
        </w:tc>
        <w:tc>
          <w:p>
            <w:r>
              <w:t xml:space="preserve">Month 9</w:t>
            </w:r>
          </w:p>
        </w:tc>
        <w:tc>
          <w:p>
            <w:r>
              <w:t xml:space="preserve">Functional SERS substrate, spectral database, Manuscript 1</w:t>
            </w:r>
          </w:p>
        </w:tc>
      </w:tr>
      <w:tr>
        <w:tc>
          <w:p>
            <w:r>
              <w:t xml:space="preserve">M3</w:t>
            </w:r>
          </w:p>
        </w:tc>
        <w:tc>
          <w:p>
            <w:r>
              <w:t xml:space="preserve">Month 12</w:t>
            </w:r>
          </w:p>
        </w:tc>
        <w:tc>
          <w:p>
            <w:r>
              <w:t xml:space="preserve">Integrated SERS biosensor, Gram classification algorithm, Manuscript 2</w:t>
            </w:r>
          </w:p>
        </w:tc>
      </w:tr>
      <w:tr>
        <w:tc>
          <w:p>
            <w:r>
              <w:t xml:space="preserve">M4</w:t>
            </w:r>
          </w:p>
        </w:tc>
        <w:tc>
          <w:p>
            <w:r>
              <w:t xml:space="preserve">Month 18</w:t>
            </w:r>
          </w:p>
        </w:tc>
        <w:tc>
          <w:p>
            <w:r>
              <w:t xml:space="preserve">Clinical validation, POC device, regulatory roadmap, Manuscript 3</w:t>
            </w:r>
          </w:p>
        </w:tc>
      </w:tr>
    </w:tbl>
    <w:p>
      <w:pPr>
        <w:spacing w:after="200"/>
      </w:pPr>
    </w:p>
    <w:p>
      <w:pPr>
        <w:pStyle w:val="Heading1"/>
        <w:spacing w:after="100" w:before="100"/>
      </w:pPr>
      <w:r>
        <w:t xml:space="preserve">5. Future Research Directions &amp; Expansion</w:t>
      </w:r>
    </w:p>
    <w:p>
      <w:pPr>
        <w:spacing w:after="50"/>
      </w:pPr>
      <w:r>
        <w:t xml:space="preserve">Immediate Term (0-6 months):</w:t>
      </w:r>
    </w:p>
    <w:p>
      <w:pPr>
        <w:spacing w:after="100"/>
      </w:pPr>
      <w:r>
        <w:t xml:space="preserve">• Complete SERS simulations and optimize substrate parameters
• Initiate substrate fabrication and validation against standards
• Develop preliminary biomarker detection assays</w:t>
      </w:r>
    </w:p>
    <w:p>
      <w:pPr>
        <w:spacing w:after="50"/>
      </w:pPr>
      <w:r>
        <w:t xml:space="preserve">Medium Term (6-18 months):</w:t>
      </w:r>
    </w:p>
    <w:p>
      <w:pPr>
        <w:spacing w:after="100"/>
      </w:pPr>
      <w:r>
        <w:t xml:space="preserve">• Full experimental validation of SERS substrate
• Integration with microfluidics for automated sample preparation
• Clinical proof-of-concept studies
• Development of machine learning algorithms for spectral interpretation</w:t>
      </w:r>
    </w:p>
    <w:p>
      <w:pPr>
        <w:spacing w:after="50"/>
      </w:pPr>
      <w:r>
        <w:t xml:space="preserve">Long Term (18+ months):</w:t>
      </w:r>
    </w:p>
    <w:p>
      <w:pPr>
        <w:spacing w:after="200"/>
      </w:pPr>
      <w:r>
        <w:t xml:space="preserve">• Expand to multimarker detection (species-level identification)
• Point-of-care device miniaturization
• Clinical trials and regulatory approval
• Technology transfer to commercial partner
• Applications beyond sepsis (pneumonia, meningitis diagnostics)</w:t>
      </w:r>
    </w:p>
    <w:p>
      <w:pPr>
        <w:pStyle w:val="Heading1"/>
        <w:spacing w:after="100" w:before="100"/>
      </w:pPr>
      <w:r>
        <w:t xml:space="preserve">6. Competitive Advantage &amp; Market Differentiation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3D3D3"/>
          </w:tcPr>
          <w:p>
            <w:r>
              <w:t xml:space="preserve">Feature</w:t>
            </w:r>
          </w:p>
        </w:tc>
        <w:tc>
          <w:tcPr>
            <w:shd w:fill="D3D3D3"/>
          </w:tcPr>
          <w:p>
            <w:r>
              <w:t xml:space="preserve">Blood Culture</w:t>
            </w:r>
          </w:p>
        </w:tc>
        <w:tc>
          <w:tcPr>
            <w:shd w:fill="D3D3D3"/>
          </w:tcPr>
          <w:p>
            <w:r>
              <w:t xml:space="preserve">PCT/CRP Tests</w:t>
            </w:r>
          </w:p>
        </w:tc>
        <w:tc>
          <w:tcPr>
            <w:shd w:fill="D3D3D3"/>
          </w:tcPr>
          <w:p>
            <w:r>
              <w:t xml:space="preserve">Our SERS Biosensor</w:t>
            </w:r>
          </w:p>
        </w:tc>
      </w:tr>
      <w:tr>
        <w:tc>
          <w:p>
            <w:r>
              <w:t xml:space="preserve">Time-to-Result</w:t>
            </w:r>
          </w:p>
        </w:tc>
        <w:tc>
          <w:p>
            <w:r>
              <w:t xml:space="preserve">24-72 hours</w:t>
            </w:r>
          </w:p>
        </w:tc>
        <w:tc>
          <w:p>
            <w:r>
              <w:t xml:space="preserve">~1 hour</w:t>
            </w:r>
          </w:p>
        </w:tc>
        <w:tc>
          <w:tcPr>
            <w:shd w:fill="90EE90"/>
          </w:tcPr>
          <w:p>
            <w:r>
              <w:t xml:space="preserve">&lt; 30 MIN</w:t>
            </w:r>
          </w:p>
        </w:tc>
      </w:tr>
      <w:tr>
        <w:tc>
          <w:p>
            <w:r>
              <w:t xml:space="preserve">Pathogen Specificity</w:t>
            </w:r>
          </w:p>
        </w:tc>
        <w:tc>
          <w:p>
            <w:r>
              <w:t xml:space="preserve">Yes</w:t>
            </w:r>
          </w:p>
        </w:tc>
        <w:tc>
          <w:p>
            <w:r>
              <w:t xml:space="preserve">No</w:t>
            </w:r>
          </w:p>
        </w:tc>
        <w:tc>
          <w:tcPr>
            <w:shd w:fill="90EE90"/>
          </w:tcPr>
          <w:p>
            <w:r>
              <w:t xml:space="preserve">YES (Gram-Type)</w:t>
            </w:r>
          </w:p>
        </w:tc>
      </w:tr>
      <w:tr>
        <w:tc>
          <w:p>
            <w:r>
              <w:t xml:space="preserve">AMR Guidance</w:t>
            </w:r>
          </w:p>
        </w:tc>
        <w:tc>
          <w:p>
            <w:r>
              <w:t xml:space="preserve">Delayed</w:t>
            </w:r>
          </w:p>
        </w:tc>
        <w:tc>
          <w:p>
            <w:r>
              <w:t xml:space="preserve">No</w:t>
            </w:r>
          </w:p>
        </w:tc>
        <w:tc>
          <w:tcPr>
            <w:shd w:fill="90EE90"/>
          </w:tcPr>
          <w:p>
            <w:r>
              <w:t xml:space="preserve">IMMEDIATE</w:t>
            </w:r>
          </w:p>
        </w:tc>
      </w:tr>
      <w:tr>
        <w:tc>
          <w:p>
            <w:r>
              <w:t xml:space="preserve">Platform</w:t>
            </w:r>
          </w:p>
        </w:tc>
        <w:tc>
          <w:p>
            <w:r>
              <w:t xml:space="preserve">Central Lab</w:t>
            </w:r>
          </w:p>
        </w:tc>
        <w:tc>
          <w:p>
            <w:r>
              <w:t xml:space="preserve">Point-of-Care</w:t>
            </w:r>
          </w:p>
        </w:tc>
        <w:tc>
          <w:tcPr>
            <w:shd w:fill="90EE90"/>
          </w:tcPr>
          <w:p>
            <w:r>
              <w:t xml:space="preserve">POC</w:t>
            </w:r>
          </w:p>
        </w:tc>
      </w:tr>
    </w:tbl>
    <w:p>
      <w:pPr>
        <w:spacing w:after="200"/>
      </w:pPr>
    </w:p>
    <w:p>
      <w:pPr>
        <w:pStyle w:val="Heading1"/>
        <w:spacing w:after="100" w:before="100"/>
      </w:pPr>
      <w:r>
        <w:t xml:space="preserve">7. Detailed Research Plan</w:t>
      </w:r>
    </w:p>
    <w:p>
      <w:pPr>
        <w:pStyle w:val="Heading2"/>
        <w:spacing w:after="50" w:before="50"/>
      </w:pPr>
      <w:r>
        <w:t xml:space="preserve">7.1 Simulation &amp; Design Phase</w:t>
      </w:r>
    </w:p>
    <w:p>
      <w:pPr>
        <w:spacing w:after="50"/>
      </w:pPr>
      <w:r>
        <w:t xml:space="preserve">Objective: Optimize SERS substrate design through computational modeling</w:t>
      </w:r>
    </w:p>
    <w:p>
      <w:pPr>
        <w:spacing w:after="30"/>
      </w:pPr>
      <w:r>
        <w:t xml:space="preserve">Key Tasks:</w:t>
      </w:r>
    </w:p>
    <w:p>
      <w:pPr>
        <w:spacing w:after="100"/>
      </w:pPr>
      <w:r>
        <w:t xml:space="preserve">1. Electromagnetic Simulation (COMSOL/Lumerical)
   • Model Au and Ag nanostructure geometries (nanospheres, nanorods, nanostars)
   • Calculate field enhancement factors at different wavelengths
   • Optimize hotspot density and uniformity
   • Target: Enhancement factors &gt; 10^6 for single molecule detection
2. Biomarker-Substrate Interaction Modeling
   • Molecular dynamics (MD) simulations of capture probe binding
   • Predict equilibrium binding constants and kinetics
   • Optimize capture probe sequence/design
3. Spectral Response Prediction
   • Model SERS spectra for PGN, LPS, LTA using ab initio calculations
   • Predict characteristic peaks for each biomarker
   • Develop spectral database for classification</w:t>
      </w:r>
    </w:p>
    <w:p>
      <w:pPr>
        <w:spacing w:after="150"/>
      </w:pPr>
      <w:r>
        <w:t xml:space="preserve">Timeline: Month 3-6
Resources: Computational chemistry software, HPC access
Deliverables: Design specifications, simulation reports</w:t>
      </w:r>
    </w:p>
    <w:p>
      <w:pPr>
        <w:pStyle w:val="Heading2"/>
        <w:spacing w:after="50" w:before="50"/>
      </w:pPr>
      <w:r>
        <w:t xml:space="preserve">7.2 Substrate Fabrication &amp; Characterization</w:t>
      </w:r>
    </w:p>
    <w:p>
      <w:pPr>
        <w:spacing w:after="50"/>
      </w:pPr>
      <w:r>
        <w:t xml:space="preserve">Objective: Fabricate reproducible SERS-active substrates based on optimized design</w:t>
      </w:r>
    </w:p>
    <w:p>
      <w:pPr>
        <w:spacing w:after="30"/>
      </w:pPr>
      <w:r>
        <w:t xml:space="preserve">Key Tasks:</w:t>
      </w:r>
    </w:p>
    <w:p>
      <w:pPr>
        <w:spacing w:after="100"/>
      </w:pPr>
      <w:r>
        <w:t xml:space="preserve">1. Substrate Fabrication Methods
   • Electrochemical deposition of Ag nanostructures
   • Chemical reduction for Au nanoparticle synthesis
   • Self-assembly techniques for controlled nanostructure geometry
   • Alternative: Planar chip-based substrates for portability
2. Quality Control &amp; Characterization
   • SEM/TEM imaging for morphology and uniformity
   • Surface Plasmon Resonance (SPR) spectroscopy
   • Raman mapping for hotspot distribution
   • Batch-to-batch reproducibility assessment (CV &lt; 10%)
3. Optimization for Clinical Use
   • Develop reproducible fabrication protocol
   • Test long-term stability (storage, shelf-life)
   • Biocompatibility assessment for clinical samples
   • Cost analysis and scale-up feasibility</w:t>
      </w:r>
    </w:p>
    <w:p>
      <w:pPr>
        <w:spacing w:after="150"/>
      </w:pPr>
      <w:r>
        <w:t xml:space="preserve">Timeline: Month 6-9
Resources: Nanofabrication equipment, analytical instruments
Deliverables: Substrate prototypes, characterization reports, fabrication SOP</w:t>
      </w:r>
    </w:p>
    <w:p>
      <w:pPr>
        <w:pStyle w:val="Heading2"/>
        <w:spacing w:after="50" w:before="50"/>
      </w:pPr>
      <w:r>
        <w:t xml:space="preserve">7.3 Biomarker Detection &amp; Assay Development</w:t>
      </w:r>
    </w:p>
    <w:p>
      <w:pPr>
        <w:spacing w:after="50"/>
      </w:pPr>
      <w:r>
        <w:t xml:space="preserve">Objective: Validate SERS detection of bacterial biomarkers with high specificity and sensitivity</w:t>
      </w:r>
    </w:p>
    <w:p>
      <w:pPr>
        <w:spacing w:after="30"/>
      </w:pPr>
      <w:r>
        <w:t xml:space="preserve">Key Tasks:</w:t>
      </w:r>
    </w:p>
    <w:p>
      <w:pPr>
        <w:spacing w:after="100"/>
      </w:pPr>
      <w:r>
        <w:t xml:space="preserve">1. Single Biomarker Detection (Buffer Solution)
   • Prepare calibration curves for PGN, LPS, LTA (concentration range: 0.1 ng/mL - 1 μg/mL)
   • Optimize measurement parameters (laser power, exposure time, averaging)
   • Determine limit of detection (LOD) and limit of quantification (LOQ)
   • Signal-to-noise ratio assessment
2. Multiplexing &amp; Gram Classification
   • Develop algorithms to distinguish PGN, LPS, LTA spectral signatures
   • Test simultaneous detection in buffer (PGN + LPS for Gram-neg, PGN + LTA for Gram-pos)
   • Create classification decision tree (support vector machine/machine learning)
   • Accuracy/sensitivity/specificity for Gram classification
3. Complex Matrix Testing (Blood)
   • Test in spiked blood serum/plasma samples
   • Interference testing with common blood proteins
   • Sample preparation optimization (pre-concentration, protein removal)
   • Stability assessment in physiological conditions
4. Cross-Reactivity &amp; Specificity
   • Test against non-target bacteria (to confirm species-level specificity if possible)
   • Test against fungal and viral markers
   • Selectivity validation</w:t>
      </w:r>
    </w:p>
    <w:p>
      <w:pPr>
        <w:spacing w:after="150"/>
      </w:pPr>
      <w:r>
        <w:t xml:space="preserve">Timeline: Month 9-12
Resources: Purified biomarker standards, clinical samples, Raman instrumentation
Deliverables: Detection calibration curves, assay SOP, spectral database, algorithm</w:t>
      </w:r>
    </w:p>
    <w:p>
      <w:pPr>
        <w:pStyle w:val="Heading2"/>
        <w:spacing w:after="50" w:before="50"/>
      </w:pPr>
      <w:r>
        <w:t xml:space="preserve">7.4 System Integration &amp; Microfluidics</w:t>
      </w:r>
    </w:p>
    <w:p>
      <w:pPr>
        <w:spacing w:after="50"/>
      </w:pPr>
      <w:r>
        <w:t xml:space="preserve">Objective: Integrate SERS substrate with automated sample preparation for POC use</w:t>
      </w:r>
    </w:p>
    <w:p>
      <w:pPr>
        <w:spacing w:after="30"/>
      </w:pPr>
      <w:r>
        <w:t xml:space="preserve">Key Tasks:</w:t>
      </w:r>
    </w:p>
    <w:p>
      <w:pPr>
        <w:spacing w:after="100"/>
      </w:pPr>
      <w:r>
        <w:t xml:space="preserve">1. Microfluidic Design
   • Design integrated microfluidic chip with sample inlet, lysis chamber, and SERS detection zone
   • Optimize fluid dynamics for mixing and contact time
   • Implement automated steps: cell lysis → biomarker capture → Raman measurement
2. Sample Preparation Automation
   • Develop lysis buffer optimized for blood sample processing
   • Test cell separation methods (magnetic, centrifugal)
   • Automate washing and concentration steps
3. Portable Raman Instrument
   • Evaluate compact Raman systems (&lt; 10 kg, USB-powered)
   • Test data acquisition and processing capabilities
   • Optimize for point-of-care use (bedside/ED/ICU)
   • Software development for real-time result display</w:t>
      </w:r>
    </w:p>
    <w:p>
      <w:pPr>
        <w:spacing w:after="150"/>
      </w:pPr>
      <w:r>
        <w:t xml:space="preserve">Timeline: Month 12-15
Resources: Microfluidic fabrication tools, portable Raman spectrometer, embedded systems
Deliverables: Integrated POC device prototype, software application</w:t>
      </w:r>
    </w:p>
    <w:p>
      <w:pPr>
        <w:pStyle w:val="Heading2"/>
        <w:spacing w:after="50" w:before="50"/>
      </w:pPr>
      <w:r>
        <w:t xml:space="preserve">7.5 Clinical Validation</w:t>
      </w:r>
    </w:p>
    <w:p>
      <w:pPr>
        <w:spacing w:after="50"/>
      </w:pPr>
      <w:r>
        <w:t xml:space="preserve">Objective: Demonstrate clinical performance and regulatory compliance</w:t>
      </w:r>
    </w:p>
    <w:p>
      <w:pPr>
        <w:spacing w:after="30"/>
      </w:pPr>
      <w:r>
        <w:t xml:space="preserve">Key Tasks:</w:t>
      </w:r>
    </w:p>
    <w:p>
      <w:pPr>
        <w:spacing w:after="100"/>
      </w:pPr>
      <w:r>
        <w:t xml:space="preserve">1. Clinical Sample Validation
   • Collect plasma/serum from sepsis patients (n=50-100) and healthy controls (n=30-50)
   • Blind testing: compare SERS results against gold standard (blood culture, PCR, clinical diagnosis)
   • Calculate sensitivity, specificity, accuracy, positive/negative predictive values
   • Time-to-result confirmation (&lt; 30 minutes target)
2. Regulatory Pathway Assessment
   • FDA or CE-IVD regulatory requirements review
   • Risk assessment and mitigation strategies
   • Quality management system (QMS) planning
   • Develop regulatory strategy document
3. Economic Analysis
   • Cost-of-goods-sold (COGS) calculation
   • Reimbursement potential assessment
   • Market sizing and revenue projections</w:t>
      </w:r>
    </w:p>
    <w:p>
      <w:pPr>
        <w:spacing w:after="150"/>
      </w:pPr>
      <w:r>
        <w:t xml:space="preserve">Timeline: Month 15-18
Resources: Clinical samples, IRB/Ethics approval, regulatory consultants
Deliverables: Clinical validation report, regulatory roadmap, economic analysis</w:t>
      </w:r>
    </w:p>
    <w:p>
      <w:pPr>
        <w:pStyle w:val="Heading1"/>
        <w:spacing w:after="100" w:before="100"/>
      </w:pPr>
      <w:r>
        <w:t xml:space="preserve">8. Key Performance Indicators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D3D3D3"/>
          </w:tcPr>
          <w:p>
            <w:r>
              <w:t xml:space="preserve">KPI</w:t>
            </w:r>
          </w:p>
        </w:tc>
        <w:tc>
          <w:tcPr>
            <w:tcW w:type="pct" w:w="25%"/>
            <w:shd w:fill="D3D3D3"/>
          </w:tcPr>
          <w:p>
            <w:r>
              <w:t xml:space="preserve">Target</w:t>
            </w:r>
          </w:p>
        </w:tc>
        <w:tc>
          <w:tcPr>
            <w:tcW w:type="pct" w:w="25%"/>
            <w:shd w:fill="D3D3D3"/>
          </w:tcPr>
          <w:p>
            <w:r>
              <w:t xml:space="preserve">Phase</w:t>
            </w:r>
          </w:p>
        </w:tc>
        <w:tc>
          <w:tcPr>
            <w:tcW w:type="pct" w:w="25%"/>
            <w:shd w:fill="D3D3D3"/>
          </w:tcPr>
          <w:p>
            <w:r>
              <w:t xml:space="preserve">Success Metric</w:t>
            </w:r>
          </w:p>
        </w:tc>
      </w:tr>
      <w:tr>
        <w:tc>
          <w:p>
            <w:r>
              <w:t xml:space="preserve">Enhancement Factor</w:t>
            </w:r>
          </w:p>
        </w:tc>
        <w:tc>
          <w:p>
            <w:r>
              <w:t xml:space="preserve">&gt; 10^6</w:t>
            </w:r>
          </w:p>
        </w:tc>
        <w:tc>
          <w:p>
            <w:r>
              <w:t xml:space="preserve">Ph. 2-3</w:t>
            </w:r>
          </w:p>
        </w:tc>
        <w:tc>
          <w:p>
            <w:r>
              <w:t xml:space="preserve">Achieved via simulations &amp; fabrication</w:t>
            </w:r>
          </w:p>
        </w:tc>
      </w:tr>
      <w:tr>
        <w:tc>
          <w:p>
            <w:r>
              <w:t xml:space="preserve">Limit of Detection (LOD)</w:t>
            </w:r>
          </w:p>
        </w:tc>
        <w:tc>
          <w:p>
            <w:r>
              <w:t xml:space="preserve">&lt; 1 ng/mL</w:t>
            </w:r>
          </w:p>
        </w:tc>
        <w:tc>
          <w:p>
            <w:r>
              <w:t xml:space="preserve">Ph. 4</w:t>
            </w:r>
          </w:p>
        </w:tc>
        <w:tc>
          <w:p>
            <w:r>
              <w:t xml:space="preserve">Validated with calibration curves</w:t>
            </w:r>
          </w:p>
        </w:tc>
      </w:tr>
      <w:tr>
        <w:tc>
          <w:p>
            <w:r>
              <w:t xml:space="preserve">Sensitivity</w:t>
            </w:r>
          </w:p>
        </w:tc>
        <w:tc>
          <w:p>
            <w:r>
              <w:t xml:space="preserve">&gt; 90%</w:t>
            </w:r>
          </w:p>
        </w:tc>
        <w:tc>
          <w:p>
            <w:r>
              <w:t xml:space="preserve">Ph. 5</w:t>
            </w:r>
          </w:p>
        </w:tc>
        <w:tc>
          <w:p>
            <w:r>
              <w:t xml:space="preserve">Clinical samples vs. reference</w:t>
            </w:r>
          </w:p>
        </w:tc>
      </w:tr>
      <w:tr>
        <w:tc>
          <w:p>
            <w:r>
              <w:t xml:space="preserve">Specificity</w:t>
            </w:r>
          </w:p>
        </w:tc>
        <w:tc>
          <w:p>
            <w:r>
              <w:t xml:space="preserve">&gt; 95%</w:t>
            </w:r>
          </w:p>
        </w:tc>
        <w:tc>
          <w:p>
            <w:r>
              <w:t xml:space="preserve">Ph. 5</w:t>
            </w:r>
          </w:p>
        </w:tc>
        <w:tc>
          <w:p>
            <w:r>
              <w:t xml:space="preserve">Gram classification accuracy</w:t>
            </w:r>
          </w:p>
        </w:tc>
      </w:tr>
      <w:tr>
        <w:tc>
          <w:p>
            <w:r>
              <w:t xml:space="preserve">Time-to-Result</w:t>
            </w:r>
          </w:p>
        </w:tc>
        <w:tc>
          <w:p>
            <w:r>
              <w:t xml:space="preserve">&lt; 30 minutes</w:t>
            </w:r>
          </w:p>
        </w:tc>
        <w:tc>
          <w:p>
            <w:r>
              <w:t xml:space="preserve">Ph. 5</w:t>
            </w:r>
          </w:p>
        </w:tc>
        <w:tc>
          <w:p>
            <w:r>
              <w:t xml:space="preserve">Point-of-care device validation</w:t>
            </w:r>
          </w:p>
        </w:tc>
      </w:tr>
      <w:tr>
        <w:tc>
          <w:p>
            <w:r>
              <w:t xml:space="preserve">Reproducibility</w:t>
            </w:r>
          </w:p>
        </w:tc>
        <w:tc>
          <w:p>
            <w:r>
              <w:t xml:space="preserve">CV &lt; 10%</w:t>
            </w:r>
          </w:p>
        </w:tc>
        <w:tc>
          <w:p>
            <w:r>
              <w:t xml:space="preserve">Ph. 3-4</w:t>
            </w:r>
          </w:p>
        </w:tc>
        <w:tc>
          <w:p>
            <w:r>
              <w:t xml:space="preserve">Batch-to-batch uniformity</w:t>
            </w:r>
          </w:p>
        </w:tc>
      </w:tr>
    </w:tbl>
    <w:p>
      <w:pPr>
        <w:spacing w:after="200"/>
      </w:pPr>
    </w:p>
    <w:p>
      <w:pPr>
        <w:pStyle w:val="Heading1"/>
        <w:spacing w:after="100" w:before="100"/>
      </w:pPr>
      <w:r>
        <w:t xml:space="preserve">9. Risk Assessment &amp; Mitigation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D3D3D3"/>
          </w:tcPr>
          <w:p>
            <w:r>
              <w:t xml:space="preserve">Risk</w:t>
            </w:r>
          </w:p>
        </w:tc>
        <w:tc>
          <w:tcPr>
            <w:tcW w:type="pct" w:w="20%"/>
            <w:shd w:fill="D3D3D3"/>
          </w:tcPr>
          <w:p>
            <w:r>
              <w:t xml:space="preserve">Impact</w:t>
            </w:r>
          </w:p>
        </w:tc>
        <w:tc>
          <w:tcPr>
            <w:tcW w:type="pct" w:w="20%"/>
            <w:shd w:fill="D3D3D3"/>
          </w:tcPr>
          <w:p>
            <w:r>
              <w:t xml:space="preserve">Probability</w:t>
            </w:r>
          </w:p>
        </w:tc>
        <w:tc>
          <w:tcPr>
            <w:tcW w:type="pct" w:w="35%"/>
            <w:shd w:fill="D3D3D3"/>
          </w:tcPr>
          <w:p>
            <w:r>
              <w:t xml:space="preserve">Mitigation Strategy</w:t>
            </w:r>
          </w:p>
        </w:tc>
      </w:tr>
      <w:tr>
        <w:tc>
          <w:p>
            <w:r>
              <w:t xml:space="preserve">Substrate reproducibility issues</w:t>
            </w:r>
          </w:p>
        </w:tc>
        <w:tc>
          <w:p>
            <w:r>
              <w:t xml:space="preserve">High</w:t>
            </w:r>
          </w:p>
        </w:tc>
        <w:tc>
          <w:p>
            <w:r>
              <w:t xml:space="preserve">Medium</w:t>
            </w:r>
          </w:p>
        </w:tc>
        <w:tc>
          <w:p>
            <w:r>
              <w:t xml:space="preserve">Develop automated fabrication, rigorous QC protocols</w:t>
            </w:r>
          </w:p>
        </w:tc>
      </w:tr>
      <w:tr>
        <w:tc>
          <w:p>
            <w:r>
              <w:t xml:space="preserve">False positives in blood matrix</w:t>
            </w:r>
          </w:p>
        </w:tc>
        <w:tc>
          <w:p>
            <w:r>
              <w:t xml:space="preserve">High</w:t>
            </w:r>
          </w:p>
        </w:tc>
        <w:tc>
          <w:p>
            <w:r>
              <w:t xml:space="preserve">Medium</w:t>
            </w:r>
          </w:p>
        </w:tc>
        <w:tc>
          <w:p>
            <w:r>
              <w:t xml:space="preserve">Extensive interference testing, optimize sample prep</w:t>
            </w:r>
          </w:p>
        </w:tc>
      </w:tr>
      <w:tr>
        <w:tc>
          <w:p>
            <w:r>
              <w:t xml:space="preserve">Device miniaturization challenges</w:t>
            </w:r>
          </w:p>
        </w:tc>
        <w:tc>
          <w:p>
            <w:r>
              <w:t xml:space="preserve">Medium</w:t>
            </w:r>
          </w:p>
        </w:tc>
        <w:tc>
          <w:p>
            <w:r>
              <w:t xml:space="preserve">Medium</w:t>
            </w:r>
          </w:p>
        </w:tc>
        <w:tc>
          <w:p>
            <w:r>
              <w:t xml:space="preserve">Partner with device manufacturers, modular design</w:t>
            </w:r>
          </w:p>
        </w:tc>
      </w:tr>
      <w:tr>
        <w:tc>
          <w:p>
            <w:r>
              <w:t xml:space="preserve">Regulatory delays</w:t>
            </w:r>
          </w:p>
        </w:tc>
        <w:tc>
          <w:p>
            <w:r>
              <w:t xml:space="preserve">Medium</w:t>
            </w:r>
          </w:p>
        </w:tc>
        <w:tc>
          <w:p>
            <w:r>
              <w:t xml:space="preserve">Low</w:t>
            </w:r>
          </w:p>
        </w:tc>
        <w:tc>
          <w:p>
            <w:r>
              <w:t xml:space="preserve">Early regulatory consultation, streamlined pathway</w:t>
            </w:r>
          </w:p>
        </w:tc>
      </w:tr>
      <w:tr>
        <w:tc>
          <w:p>
            <w:r>
              <w:t xml:space="preserve">Insufficient clinical samples</w:t>
            </w:r>
          </w:p>
        </w:tc>
        <w:tc>
          <w:p>
            <w:r>
              <w:t xml:space="preserve">Medium</w:t>
            </w:r>
          </w:p>
        </w:tc>
        <w:tc>
          <w:p>
            <w:r>
              <w:t xml:space="preserve">Low</w:t>
            </w:r>
          </w:p>
        </w:tc>
        <w:tc>
          <w:p>
            <w:r>
              <w:t xml:space="preserve">Multi-center partnerships, recruitment plan</w:t>
            </w:r>
          </w:p>
        </w:tc>
      </w:tr>
    </w:tbl>
    <w:p>
      <w:pPr>
        <w:spacing w:after="200"/>
      </w:pPr>
    </w:p>
    <w:p>
      <w:pPr>
        <w:pStyle w:val="Heading1"/>
        <w:spacing w:after="100" w:before="100"/>
      </w:pPr>
      <w:r>
        <w:t xml:space="preserve">10. Budget &amp; Resource Requirements</w:t>
      </w:r>
    </w:p>
    <w:p>
      <w:pPr>
        <w:spacing w:after="30"/>
      </w:pPr>
      <w:r>
        <w:t xml:space="preserve">Personnel:</w:t>
      </w:r>
    </w:p>
    <w:p>
      <w:pPr>
        <w:spacing w:after="100"/>
      </w:pPr>
      <w:r>
        <w:t xml:space="preserve">• 1 Principal Investigator (part-time)
• 1 PhD Student / Postdoctoral Researcher (full-time)
• 1 Master's Student (full-time)
• 1 Research Technician (part-time)
• 1 Biomedical Engineer / Systems Integration (part-time)</w:t>
      </w:r>
    </w:p>
    <w:p>
      <w:pPr>
        <w:spacing w:after="30"/>
      </w:pPr>
      <w:r>
        <w:t xml:space="preserve">Equipment &amp; Materials:</w:t>
      </w:r>
    </w:p>
    <w:p>
      <w:pPr>
        <w:spacing w:after="100"/>
      </w:pPr>
      <w:r>
        <w:t xml:space="preserve">• Computational resources (HPC access): $5,000-10,000
• Nanofabrication equipment (if not available): $20,000-50,000
• Raman spectrometer (portable/compact): $15,000-30,000
• Microfluidic fabrication tools: $10,000-20,000
• Analytical instruments (SEM/TEM access): Shared facilities</w:t>
      </w:r>
    </w:p>
    <w:p>
      <w:pPr>
        <w:spacing w:after="30"/>
      </w:pPr>
      <w:r>
        <w:t xml:space="preserve">Materials &amp; Consumables (18 months):</w:t>
      </w:r>
    </w:p>
    <w:p>
      <w:pPr>
        <w:spacing w:after="100"/>
      </w:pPr>
      <w:r>
        <w:t xml:space="preserve">• Chemical reagents, metal precursors: $8,000-12,000
• Biomarker standards (PGN, LPS, LTA): $5,000-10,000
• Antibodies/aptamers/capture probes: $10,000-15,000
• Clinical samples (if not donated): $5,000-10,000</w:t>
      </w:r>
    </w:p>
    <w:p>
      <w:pPr>
        <w:spacing w:after="200"/>
      </w:pPr>
      <w:r>
        <w:t xml:space="preserve">Estimated Total Budget: $78,000 - $157,000 (18-month project)</w:t>
      </w:r>
    </w:p>
    <w:p>
      <w:pPr>
        <w:pStyle w:val="Heading1"/>
        <w:spacing w:after="100" w:before="100"/>
      </w:pPr>
      <w:r>
        <w:t xml:space="preserve">11. Reporting &amp; Milestone Achievement</w:t>
      </w:r>
    </w:p>
    <w:p>
      <w:pPr>
        <w:spacing w:after="30"/>
      </w:pPr>
      <w:r>
        <w:t xml:space="preserve">Publication Strategy:</w:t>
      </w:r>
    </w:p>
    <w:p>
      <w:pPr>
        <w:spacing w:after="100"/>
      </w:pPr>
      <w:r>
        <w:t xml:space="preserve">• Manuscript 1 (Months 9-10): Substrate design, fabrication, and characterization → Publish in Nanomaterials or Nanotechnology journals
• Manuscript 2 (Months 12-13): SERS biomarker detection and algorithm development → Publish in Biosensors or Analytical Chemistry
• Manuscript 3 (Months 17-18): Clinical validation and clinical translation → Publish in Medical microbiology or Diagnostic journals</w:t>
      </w:r>
    </w:p>
    <w:p>
      <w:pPr>
        <w:spacing w:after="30"/>
      </w:pPr>
      <w:r>
        <w:t xml:space="preserve">Presentations &amp; Conferences:</w:t>
      </w:r>
    </w:p>
    <w:p>
      <w:pPr>
        <w:spacing w:after="100"/>
      </w:pPr>
      <w:r>
        <w:t xml:space="preserve">• Month 6: Conference presentation on simulation results
• Month 12: Mid-project symposium with collaborators
• Month 18: Major conference presentation (Biomedical or Diagnostics conference)</w:t>
      </w:r>
    </w:p>
    <w:p>
      <w:pPr>
        <w:spacing w:after="30"/>
      </w:pPr>
      <w:r>
        <w:t xml:space="preserve">Intellectual Property:</w:t>
      </w:r>
    </w:p>
    <w:p>
      <w:pPr>
        <w:spacing w:after="200"/>
      </w:pPr>
      <w:r>
        <w:t xml:space="preserve">• Patent application for SERS substrate design and fabrication method (Timeline: Month 9-12)
• Patent application for integrated microfluidic-SERS device (Timeline: Month 15-16)
• Potential licensing to commercial diagnostic companies</w:t>
      </w:r>
    </w:p>
    <w:p>
      <w:pPr>
        <w:pStyle w:val="Heading1"/>
        <w:spacing w:after="100" w:before="100"/>
      </w:pPr>
      <w:r>
        <w:t xml:space="preserve">12. Project Success Criteria</w:t>
      </w:r>
    </w:p>
    <w:p>
      <w:pPr>
        <w:spacing w:after="50"/>
      </w:pPr>
      <w:r>
        <w:t xml:space="preserve">Phase-by-Phase Success Metrics:</w:t>
      </w:r>
    </w:p>
    <w:p>
      <w:pPr>
        <w:spacing w:after="30"/>
      </w:pPr>
      <w:r>
        <w:t xml:space="preserve">Phase 1-2 Success:</w:t>
      </w:r>
    </w:p>
    <w:p>
      <w:pPr>
        <w:spacing w:after="100"/>
      </w:pPr>
      <w:r>
        <w:t xml:space="preserve">✓ Optimized substrate design with predicted enhancement &gt; 10^6
✓ Reproducible fabrication protocol established
✓ No major design flaws identified in simulations</w:t>
      </w:r>
    </w:p>
    <w:p>
      <w:pPr>
        <w:spacing w:after="30"/>
      </w:pPr>
      <w:r>
        <w:t xml:space="preserve">Phase 3 Success:</w:t>
      </w:r>
    </w:p>
    <w:p>
      <w:pPr>
        <w:spacing w:after="100"/>
      </w:pPr>
      <w:r>
        <w:t xml:space="preserve">✓ Functional substrate with CV &lt; 10% batch-to-batch reproducibility
✓ Clear SERS spectra obtained for all three biomarkers
✓ Proof-of-concept detection in buffer solution with LOD &lt; 1 ng/mL</w:t>
      </w:r>
    </w:p>
    <w:p>
      <w:pPr>
        <w:spacing w:after="30"/>
      </w:pPr>
      <w:r>
        <w:t xml:space="preserve">Phase 4 Success:</w:t>
      </w:r>
    </w:p>
    <w:p>
      <w:pPr>
        <w:spacing w:after="100"/>
      </w:pPr>
      <w:r>
        <w:t xml:space="preserve">✓ Integrated biosensor prototype operational
✓ &gt; 90% sensitivity and &gt; 95% specificity for Gram classification in blood samples
✓ Time-to-result &lt; 30 minutes demonstrated</w:t>
      </w:r>
    </w:p>
    <w:p>
      <w:pPr>
        <w:spacing w:after="30"/>
      </w:pPr>
      <w:r>
        <w:t xml:space="preserve">Phase 5 Success:</w:t>
      </w:r>
    </w:p>
    <w:p>
      <w:pPr>
        <w:spacing w:after="200"/>
      </w:pPr>
      <w:r>
        <w:t xml:space="preserve">✓ Clinical validation completed (n &gt; 50 sepsis samples)
✓ Performance comparable or superior to gold standard
✓ Regulatory roadmap defined; preliminary regulatory feedback positive
✓ 2-3 peer-reviewed publications; 1-2 patent applications filed</w:t>
      </w:r>
    </w:p>
    <w:p>
      <w:pPr>
        <w:pStyle w:val="Heading1"/>
        <w:spacing w:after="100" w:before="100"/>
      </w:pPr>
      <w:r>
        <w:t xml:space="preserve">13. Conclusion</w:t>
      </w:r>
    </w:p>
    <w:p>
      <w:pPr>
        <w:spacing w:after="100"/>
      </w:pPr>
      <w:r>
        <w:t xml:space="preserve">This SERS-based nanobiosensor project aims to address a critical clinical need: rapid and specific bacterial identification in sepsis diagnostics. By combining advanced nanotechnology, molecular spectroscopy, and clinical translation, this project has the potential to significantly improve sepsis patient outcomes, reduce inappropriate antibiotic use, and contribute to combating antimicrobial resistance (AMR).</w:t>
      </w:r>
    </w:p>
    <w:p>
      <w:pPr>
        <w:spacing w:after="200"/>
      </w:pPr>
      <w:r>
        <w:t xml:space="preserve">The 18-month timeline is ambitious but achievable with proper resources and team coordination. Success will be measured through clear, quantifiable milestones, leading to peer-reviewed publications, intellectual property, and potential commercial translation.</w:t>
      </w:r>
    </w:p>
    <w:p>
      <w:pPr>
        <w:pStyle w:val="Heading1"/>
        <w:spacing w:after="100" w:before="100"/>
      </w:pPr>
      <w:r>
        <w:t xml:space="preserve">APPENDIX: Key References</w:t>
      </w:r>
    </w:p>
    <w:p>
      <w:pPr>
        <w:spacing w:after="100"/>
      </w:pPr>
      <w:r>
        <w:t xml:space="preserve">1. Singer M., et al. (2016). The Third International Consensus Definitions for Sepsis and Septic Shock (Sepsis-3). JAMA.
2. Raetz CRH, Whitfield C. (2002). Lipopolysaccharide endotoxins. Annu Rev Biochem.
3. Hassan M., et al. (2024). Advances in Bacterial Detection Using SERS. Biosensors.
4. Wang A., et al. (2024). Recent advances in SERS-based biosensing. Chem Soc Rev.
5. Kundu A., et al. (2022). SERS detection of sepsis biomarkers on Ag–BP platform. Sensors &amp; Diagnostics.
6. Langer J., et al. (2019). Surface-enhanced Raman scattering (SERS) for rapid and sensitive diagnostics. ACS Nano.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2026-08-04T10:57:30.859Z</dcterms:created>
  <dcterms:modified xsi:type="dcterms:W3CDTF">2026-08-04T10:57:30.859Z</dcterms:modified>
</cp:coreProperties>
</file>

<file path=docProps/custom.xml><?xml version="1.0" encoding="utf-8"?>
<Properties xmlns="http://schemas.openxmlformats.org/officeDocument/2006/custom-properties" xmlns:vt="http://schemas.openxmlformats.org/officeDocument/2006/docPropsVTypes"/>
</file>