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sz w:val="44"/>
        </w:rPr>
        <w:t>Standard Operating Procedure</w:t>
      </w:r>
    </w:p>
    <w:p>
      <w:pPr>
        <w:spacing w:after="120"/>
        <w:jc w:val="center"/>
      </w:pPr>
      <w:r>
        <w:rPr>
          <w:b w:val="0"/>
          <w:i/>
          <w:sz w:val="26"/>
        </w:rPr>
        <w:t>Black Silicon MACE Fabrication, Substrate Cleaning, NAM Functionalization and SERS Measurement — Bench Protocol</w:t>
      </w:r>
    </w:p>
    <w:p/>
    <w:p>
      <w:pPr>
        <w:jc w:val="center"/>
      </w:pPr>
      <w:r>
        <w:rPr>
          <w:color w:val="A31F1F"/>
        </w:rPr>
        <w:t>____________________________________________________________</w:t>
      </w:r>
    </w:p>
    <w:p/>
    <w:p/>
    <w:p>
      <w:pPr>
        <w:spacing w:after="120"/>
        <w:jc w:val="center"/>
      </w:pPr>
      <w:r>
        <w:rPr>
          <w:b/>
          <w:i w:val="0"/>
        </w:rPr>
        <w:t>Prepared for:  Sukesh P (M24IM1007)</w:t>
      </w:r>
    </w:p>
    <w:p>
      <w:pPr>
        <w:spacing w:after="120"/>
        <w:jc w:val="center"/>
      </w:pPr>
      <w:r>
        <w:rPr>
          <w:b w:val="0"/>
          <w:i w:val="0"/>
        </w:rPr>
        <w:t>Programme:  M.Tech in Medical Technologies — IIT Jodhpur &amp; AIIMS Jodhpur Joint IDRP</w:t>
      </w:r>
    </w:p>
    <w:p>
      <w:pPr>
        <w:spacing w:after="120"/>
        <w:jc w:val="center"/>
      </w:pPr>
      <w:r>
        <w:rPr>
          <w:b w:val="0"/>
          <w:i w:val="0"/>
        </w:rPr>
        <w:t>Document date:  8 August 2026</w:t>
      </w:r>
    </w:p>
    <w:p>
      <w:pPr>
        <w:spacing w:after="120"/>
        <w:jc w:val="center"/>
      </w:pPr>
      <w:r>
        <w:rPr>
          <w:b w:val="0"/>
          <w:i w:val="0"/>
        </w:rPr>
        <w:t>Companion documents:  Comprehensive Research Progress Report; Critical Scientific Evaluation &amp; Sensor Development Strategy; NAM Detection Optimization &amp; Black Silicon Substrate Design (DOE); NAM-SERS Literature Review; NAM Detection Technology Comparison. This SOP operationalizes the etching and functionalization recommendations from those reports into an exact, followable bench recipe.</w:t>
      </w:r>
    </w:p>
    <w:p/>
    <w:tbl>
      <w:tblPr>
        <w:tblStyle w:val="TableGrid"/>
        <w:tblW w:type="auto" w:w="0"/>
        <w:tblLook w:firstColumn="1" w:firstRow="1" w:lastColumn="0" w:lastRow="0" w:noHBand="0" w:noVBand="1" w:val="04A0"/>
      </w:tblPr>
      <w:tblGrid>
        <w:gridCol w:w="9749"/>
      </w:tblGrid>
      <w:tr>
        <w:tc>
          <w:tcPr>
            <w:tcW w:type="dxa" w:w="9749"/>
            <w:shd w:val="clear" w:fill="FBE2E2"/>
          </w:tcPr>
          <w:p>
            <w:r/>
            <w:r>
              <w:rPr>
                <w:b/>
                <w:color w:val="8A0000"/>
                <w:sz w:val="19"/>
              </w:rPr>
              <w:t>⚠ This protocol involves concentrated hydrofluoric acid (HF) and, optionally, piranha solution (H2SO4:H2O2) — both are severe-hazard chemicals. Read Section 2 (Safety Requirements) in full before preparing any solution. Do not perform this procedure alone. Confirm every quantity below against your own lab's approved safety protocol and your supervisor's sign-off before use — the values in this document are literature-informed and reasoned starting points for a pilot run, not a substitute for institutional safety approval.</w:t>
            </w:r>
          </w:p>
        </w:tc>
      </w:tr>
    </w:tbl>
    <w:p>
      <w:pPr>
        <w:spacing w:after="80"/>
      </w:pPr>
    </w:p>
    <w:p>
      <w:r>
        <w:br w:type="page"/>
      </w:r>
    </w:p>
    <w:p>
      <w:pPr>
        <w:pStyle w:val="Heading1"/>
      </w:pPr>
      <w:r>
        <w:t>Table of Contents</w:t>
      </w:r>
    </w:p>
    <w:p>
      <w:pPr>
        <w:pStyle w:val="ListNumber"/>
        <w:spacing w:after="60"/>
      </w:pPr>
      <w:r>
        <w:t>1. Purpose and Scope</w:t>
      </w:r>
    </w:p>
    <w:p>
      <w:pPr>
        <w:pStyle w:val="ListNumber"/>
        <w:spacing w:after="60"/>
      </w:pPr>
      <w:r>
        <w:t>2. Safety Requirements</w:t>
      </w:r>
    </w:p>
    <w:p>
      <w:pPr>
        <w:pStyle w:val="ListNumber"/>
        <w:spacing w:after="60"/>
      </w:pPr>
      <w:r>
        <w:t>3. Materials and Reagents (Master List)</w:t>
      </w:r>
    </w:p>
    <w:p>
      <w:pPr>
        <w:pStyle w:val="ListNumber"/>
        <w:spacing w:after="60"/>
      </w:pPr>
      <w:r>
        <w:t>4. Equipment</w:t>
      </w:r>
    </w:p>
    <w:p>
      <w:pPr>
        <w:pStyle w:val="ListNumber"/>
        <w:spacing w:after="60"/>
      </w:pPr>
      <w:r>
        <w:t>5. Stage A — Substrate Cleaning</w:t>
      </w:r>
    </w:p>
    <w:p>
      <w:pPr>
        <w:pStyle w:val="ListNumber"/>
        <w:spacing w:after="60"/>
      </w:pPr>
      <w:r>
        <w:t>6. Stage B — MACE Etching (Black Silicon + Ag Formation)</w:t>
      </w:r>
    </w:p>
    <w:p>
      <w:pPr>
        <w:pStyle w:val="ListNumber"/>
        <w:spacing w:after="60"/>
      </w:pPr>
      <w:r>
        <w:t>7. Stage C — NAM Capture Chemistry and Sample Deposition</w:t>
      </w:r>
    </w:p>
    <w:p>
      <w:pPr>
        <w:pStyle w:val="ListNumber"/>
        <w:spacing w:after="60"/>
      </w:pPr>
      <w:r>
        <w:t>8. Stage D — Raman/SERS Measurement</w:t>
      </w:r>
    </w:p>
    <w:p>
      <w:pPr>
        <w:pStyle w:val="ListNumber"/>
        <w:spacing w:after="60"/>
      </w:pPr>
      <w:r>
        <w:t>9. Controls to Run Every Session</w:t>
      </w:r>
    </w:p>
    <w:p>
      <w:pPr>
        <w:pStyle w:val="ListNumber"/>
        <w:spacing w:after="60"/>
      </w:pPr>
      <w:r>
        <w:t>10. Batch Record Log (fill in during the run)</w:t>
      </w:r>
    </w:p>
    <w:p>
      <w:pPr>
        <w:pStyle w:val="ListNumber"/>
        <w:spacing w:after="60"/>
      </w:pPr>
      <w:r>
        <w:t>11. Quick-Reference Recipe Card</w:t>
      </w:r>
    </w:p>
    <w:p>
      <w:pPr>
        <w:pStyle w:val="ListNumber"/>
        <w:spacing w:after="60"/>
      </w:pPr>
      <w:r>
        <w:t>12. Provenance of Values / What to Verify Before Trusting a Number</w:t>
      </w:r>
    </w:p>
    <w:p>
      <w:r>
        <w:br w:type="page"/>
      </w:r>
    </w:p>
    <w:p>
      <w:pPr>
        <w:pStyle w:val="Heading1"/>
      </w:pPr>
      <w:r>
        <w:t>1. Purpose and Scope</w:t>
      </w:r>
    </w:p>
    <w:p>
      <w:pPr>
        <w:spacing w:after="120"/>
      </w:pPr>
      <w:r>
        <w:rPr>
          <w:b w:val="0"/>
          <w:i w:val="0"/>
        </w:rPr>
        <w:t>This document gives one complete, exact, followable pilot-batch recipe covering: substrate cleaning, black-silicon MACE etching with in-situ silver deposition, boronic-acid capture-chemistry functionalization for NAM, NAM sample deposition, and Raman/SERS measurement. It converts the recommendations already established across the companion research reports into one specific set of grams/mL/minutes so a first pilot run can be executed without further calculation at the bench.</w:t>
      </w:r>
    </w:p>
    <w:p>
      <w:pPr>
        <w:spacing w:after="120"/>
      </w:pPr>
      <w:r>
        <w:rPr>
          <w:b w:val="0"/>
          <w:i w:val="0"/>
        </w:rPr>
        <w:t>Batch size used throughout this document: a 50 mL etch bath and small (~1x1 cm to 2x2 cm) chip-sized silicon substrate pieces, one piece per condition. Every reagent quantity below scales linearly — formulas are given alongside each recipe so you can resize for a different substrate size or number of pieces.</w:t>
      </w:r>
    </w:p>
    <w:p>
      <w:pPr>
        <w:pStyle w:val="Heading1"/>
      </w:pPr>
      <w:r>
        <w:t>2. Safety Requirements</w:t>
      </w:r>
    </w:p>
    <w:tbl>
      <w:tblPr>
        <w:tblStyle w:val="TableGrid"/>
        <w:tblW w:type="auto" w:w="0"/>
        <w:tblLook w:firstColumn="1" w:firstRow="1" w:lastColumn="0" w:lastRow="0" w:noHBand="0" w:noVBand="1" w:val="04A0"/>
      </w:tblPr>
      <w:tblGrid>
        <w:gridCol w:w="9749"/>
      </w:tblGrid>
      <w:tr>
        <w:tc>
          <w:tcPr>
            <w:tcW w:type="dxa" w:w="9749"/>
            <w:shd w:val="clear" w:fill="FBE2E2"/>
          </w:tcPr>
          <w:p>
            <w:r/>
            <w:r>
              <w:rPr>
                <w:b/>
                <w:color w:val="8A0000"/>
                <w:sz w:val="19"/>
              </w:rPr>
              <w:t>⚠ Read this entire section before opening any reagent bottle. HF and piranha solution are both capable of causing severe or fatal injury if mishandled.</w:t>
            </w:r>
          </w:p>
        </w:tc>
      </w:tr>
    </w:tbl>
    <w:p>
      <w:pPr>
        <w:spacing w:after="80"/>
      </w:pPr>
    </w:p>
    <w:p>
      <w:pPr>
        <w:pStyle w:val="Heading2"/>
      </w:pPr>
      <w:r>
        <w:t>2.1 Personal Protective Equipment (mandatory for Stages A2, A3, B)</w:t>
      </w:r>
    </w:p>
    <w:p>
      <w:pPr>
        <w:pStyle w:val="ListBullet"/>
        <w:spacing w:after="60"/>
      </w:pPr>
      <w:r>
        <w:t>Double gloves: an inner nitrile glove under an outer HF-rated glove (neoprene or butyl rubber, long-cuffed). Nitrile alone is NOT adequate for concentrated or extended HF contact.</w:t>
      </w:r>
    </w:p>
    <w:p>
      <w:pPr>
        <w:pStyle w:val="ListBullet"/>
        <w:spacing w:after="60"/>
      </w:pPr>
      <w:r>
        <w:t>Full face shield over safety goggles (not goggles alone — HF splashes to the face are a leading cause of severe injury).</w:t>
      </w:r>
    </w:p>
    <w:p>
      <w:pPr>
        <w:pStyle w:val="ListBullet"/>
        <w:spacing w:after="60"/>
      </w:pPr>
      <w:r>
        <w:t>Acid-resistant lab coat or apron, closed-toe shoes, long trousers (no exposed skin between glove and sleeve).</w:t>
      </w:r>
    </w:p>
    <w:p>
      <w:pPr>
        <w:pStyle w:val="ListBullet"/>
        <w:spacing w:after="60"/>
      </w:pPr>
      <w:r>
        <w:t>Perform all mixing and etching inside a functioning fume hood — never on an open bench.</w:t>
      </w:r>
    </w:p>
    <w:p>
      <w:pPr>
        <w:pStyle w:val="Heading2"/>
      </w:pPr>
      <w:r>
        <w:t>2.2 Before You Start</w:t>
      </w:r>
    </w:p>
    <w:p>
      <w:pPr>
        <w:pStyle w:val="ListBullet"/>
        <w:spacing w:after="60"/>
      </w:pPr>
      <w:r>
        <w:t>2.5% calcium gluconate gel must be physically present at the workstation (not just in the building) before you open the HF bottle. This is the specific first-aid treatment for HF skin contact — generic burn treatment is not sufficient.</w:t>
      </w:r>
    </w:p>
    <w:p>
      <w:pPr>
        <w:pStyle w:val="ListBullet"/>
        <w:spacing w:after="60"/>
      </w:pPr>
      <w:r>
        <w:t>Know the location of the nearest emergency eyewash/safety shower before starting.</w:t>
      </w:r>
    </w:p>
    <w:p>
      <w:pPr>
        <w:pStyle w:val="ListBullet"/>
        <w:spacing w:after="60"/>
      </w:pPr>
      <w:r>
        <w:t>Do not work alone. Another person trained in HF emergency response should be within call at all times during Stages A2, A3, and B.</w:t>
      </w:r>
    </w:p>
    <w:p>
      <w:pPr>
        <w:pStyle w:val="ListBullet"/>
        <w:spacing w:after="60"/>
      </w:pPr>
      <w:r>
        <w:t>Use only PP (polypropylene) or PTFE labware for HF and piranha — never glass. HF etches glass; piranha can react with residual organics on some plastics, so confirm your piranha container is rated for it.</w:t>
      </w:r>
    </w:p>
    <w:p>
      <w:pPr>
        <w:pStyle w:val="ListBullet"/>
        <w:spacing w:after="60"/>
      </w:pPr>
      <w:r>
        <w:t>Piranha solution: mix by adding H2O2 to H2SO4 slowly, never the reverse. It is strongly exothermic — the container will get hot. Never seal piranha in a closed container (pressure buildup risk). Prepare it fresh immediately before use; never store it.</w:t>
      </w:r>
    </w:p>
    <w:p>
      <w:pPr>
        <w:pStyle w:val="ListBullet"/>
        <w:spacing w:after="60"/>
      </w:pPr>
      <w:r>
        <w:t>Never allow piranha solution to contact acetone, IPA, or any organic solvent residue — rinse the substrate thoroughly with DI water between the solvent-clean stage and the piranha stage.</w:t>
      </w:r>
    </w:p>
    <w:p>
      <w:pPr>
        <w:pStyle w:val="Heading2"/>
      </w:pPr>
      <w:r>
        <w:t>2.3 If Contact Occurs</w:t>
      </w:r>
    </w:p>
    <w:p>
      <w:pPr>
        <w:spacing w:after="120"/>
      </w:pPr>
      <w:r>
        <w:rPr>
          <w:b w:val="0"/>
          <w:i w:val="0"/>
        </w:rPr>
        <w:t>HF: immediately flush with water for at least 5 minutes while someone applies calcium gluconate gel, then seek emergency medical attention regardless of how the exposure looks — HF burns can be initially painless and still cause deep tissue and systemic damage (calcium/magnesium depletion). Piranha/acid: flush with copious water for at least 15 minutes and seek medical attention. In both cases, remove contaminated clothing while flushing.</w:t>
      </w:r>
    </w:p>
    <w:p>
      <w:pPr>
        <w:pStyle w:val="Heading2"/>
      </w:pPr>
      <w:r>
        <w:t>2.4 Waste Disposal</w:t>
      </w:r>
    </w:p>
    <w:p>
      <w:pPr>
        <w:spacing w:after="120"/>
      </w:pPr>
      <w:r>
        <w:rPr>
          <w:b w:val="0"/>
          <w:i w:val="0"/>
        </w:rPr>
        <w:t>Dispose of spent HF, piranha, and AgNO3-containing solutions per your institution's hazardous chemical waste protocol — do not pour down the drain. Silver-containing waste should be segregated (silver recovery/heavy-metal waste stream), separate from the acid waste stream.</w:t>
      </w:r>
    </w:p>
    <w:p>
      <w:r>
        <w:br w:type="page"/>
      </w:r>
    </w:p>
    <w:p>
      <w:pPr>
        <w:pStyle w:val="Heading1"/>
      </w:pPr>
      <w:r>
        <w:t>3. Materials and Reagents (Master List)</w:t>
      </w:r>
    </w:p>
    <w:tbl>
      <w:tblPr>
        <w:tblStyle w:val="TableGrid"/>
        <w:tblW w:type="auto" w:w="0"/>
        <w:jc w:val="center"/>
        <w:tblLayout w:type="autofit"/>
        <w:tblLook w:firstColumn="1" w:firstRow="1" w:lastColumn="0" w:lastRow="0" w:noHBand="0" w:noVBand="1" w:val="04A0"/>
      </w:tblPr>
      <w:tblGrid>
        <w:gridCol w:w="3250"/>
        <w:gridCol w:w="3250"/>
        <w:gridCol w:w="3250"/>
      </w:tblGrid>
      <w:tr>
        <w:tc>
          <w:tcPr>
            <w:tcW w:type="dxa" w:w="3312"/>
            <w:shd w:val="clear" w:fill="A31F1F"/>
          </w:tcPr>
          <w:p>
            <w:r/>
            <w:r>
              <w:rPr>
                <w:b/>
                <w:color w:val="FFFFFF"/>
                <w:sz w:val="18"/>
              </w:rPr>
              <w:t>Reagent</w:t>
            </w:r>
          </w:p>
        </w:tc>
        <w:tc>
          <w:tcPr>
            <w:tcW w:type="dxa" w:w="2880"/>
            <w:shd w:val="clear" w:fill="A31F1F"/>
          </w:tcPr>
          <w:p>
            <w:r/>
            <w:r>
              <w:rPr>
                <w:b/>
                <w:color w:val="FFFFFF"/>
                <w:sz w:val="18"/>
              </w:rPr>
              <w:t>Grade/Concentration</w:t>
            </w:r>
          </w:p>
        </w:tc>
        <w:tc>
          <w:tcPr>
            <w:tcW w:type="dxa" w:w="4608"/>
            <w:shd w:val="clear" w:fill="A31F1F"/>
          </w:tcPr>
          <w:p>
            <w:r/>
            <w:r>
              <w:rPr>
                <w:b/>
                <w:color w:val="FFFFFF"/>
                <w:sz w:val="18"/>
              </w:rPr>
              <w:t>Quantity Needed (this protocol, per substrate)</w:t>
            </w:r>
          </w:p>
        </w:tc>
      </w:tr>
      <w:tr>
        <w:tc>
          <w:tcPr>
            <w:tcW w:type="dxa" w:w="3312"/>
          </w:tcPr>
          <w:p>
            <w:r/>
            <w:r>
              <w:rPr>
                <w:sz w:val="18"/>
              </w:rPr>
              <w:t>Acetone</w:t>
            </w:r>
          </w:p>
        </w:tc>
        <w:tc>
          <w:tcPr>
            <w:tcW w:type="dxa" w:w="2880"/>
          </w:tcPr>
          <w:p>
            <w:r/>
            <w:r>
              <w:rPr>
                <w:sz w:val="18"/>
              </w:rPr>
              <w:t>Semiconductor/electronic grade</w:t>
            </w:r>
          </w:p>
        </w:tc>
        <w:tc>
          <w:tcPr>
            <w:tcW w:type="dxa" w:w="4608"/>
          </w:tcPr>
          <w:p>
            <w:r/>
            <w:r>
              <w:rPr>
                <w:sz w:val="18"/>
              </w:rPr>
              <w:t>~100 mL</w:t>
            </w:r>
          </w:p>
        </w:tc>
      </w:tr>
      <w:tr>
        <w:tc>
          <w:tcPr>
            <w:tcW w:type="dxa" w:w="3312"/>
            <w:shd w:val="clear" w:fill="F5E5E5"/>
          </w:tcPr>
          <w:p>
            <w:r/>
            <w:r>
              <w:rPr>
                <w:sz w:val="18"/>
              </w:rPr>
              <w:t>Isopropyl alcohol (IPA)</w:t>
            </w:r>
          </w:p>
        </w:tc>
        <w:tc>
          <w:tcPr>
            <w:tcW w:type="dxa" w:w="2880"/>
            <w:shd w:val="clear" w:fill="F5E5E5"/>
          </w:tcPr>
          <w:p>
            <w:r/>
            <w:r>
              <w:rPr>
                <w:sz w:val="18"/>
              </w:rPr>
              <w:t>Semiconductor/electronic grade</w:t>
            </w:r>
          </w:p>
        </w:tc>
        <w:tc>
          <w:tcPr>
            <w:tcW w:type="dxa" w:w="4608"/>
            <w:shd w:val="clear" w:fill="F5E5E5"/>
          </w:tcPr>
          <w:p>
            <w:r/>
            <w:r>
              <w:rPr>
                <w:sz w:val="18"/>
              </w:rPr>
              <w:t>~100 mL</w:t>
            </w:r>
          </w:p>
        </w:tc>
      </w:tr>
      <w:tr>
        <w:tc>
          <w:tcPr>
            <w:tcW w:type="dxa" w:w="3312"/>
          </w:tcPr>
          <w:p>
            <w:r/>
            <w:r>
              <w:rPr>
                <w:sz w:val="18"/>
              </w:rPr>
              <w:t>DI water (18.2 MOhm)</w:t>
            </w:r>
          </w:p>
        </w:tc>
        <w:tc>
          <w:tcPr>
            <w:tcW w:type="dxa" w:w="2880"/>
          </w:tcPr>
          <w:p>
            <w:r/>
            <w:r>
              <w:rPr>
                <w:sz w:val="18"/>
              </w:rPr>
              <w:t>-</w:t>
            </w:r>
          </w:p>
        </w:tc>
        <w:tc>
          <w:tcPr>
            <w:tcW w:type="dxa" w:w="4608"/>
          </w:tcPr>
          <w:p>
            <w:r/>
            <w:r>
              <w:rPr>
                <w:sz w:val="18"/>
              </w:rPr>
              <w:t>~250 mL total across all stages</w:t>
            </w:r>
          </w:p>
        </w:tc>
      </w:tr>
      <w:tr>
        <w:tc>
          <w:tcPr>
            <w:tcW w:type="dxa" w:w="3312"/>
            <w:shd w:val="clear" w:fill="F5E5E5"/>
          </w:tcPr>
          <w:p>
            <w:r/>
            <w:r>
              <w:rPr>
                <w:sz w:val="18"/>
              </w:rPr>
              <w:t>Sulfuric acid (H2SO4)</w:t>
            </w:r>
          </w:p>
        </w:tc>
        <w:tc>
          <w:tcPr>
            <w:tcW w:type="dxa" w:w="2880"/>
            <w:shd w:val="clear" w:fill="F5E5E5"/>
          </w:tcPr>
          <w:p>
            <w:r/>
            <w:r>
              <w:rPr>
                <w:sz w:val="18"/>
              </w:rPr>
              <w:t>Concentrated, ~98%</w:t>
            </w:r>
          </w:p>
        </w:tc>
        <w:tc>
          <w:tcPr>
            <w:tcW w:type="dxa" w:w="4608"/>
            <w:shd w:val="clear" w:fill="F5E5E5"/>
          </w:tcPr>
          <w:p>
            <w:r/>
            <w:r>
              <w:rPr>
                <w:sz w:val="18"/>
              </w:rPr>
              <w:t>30 mL (Stage A2, optional)</w:t>
            </w:r>
          </w:p>
        </w:tc>
      </w:tr>
      <w:tr>
        <w:tc>
          <w:tcPr>
            <w:tcW w:type="dxa" w:w="3312"/>
          </w:tcPr>
          <w:p>
            <w:r/>
            <w:r>
              <w:rPr>
                <w:sz w:val="18"/>
              </w:rPr>
              <w:t>Hydrogen peroxide (H2O2)</w:t>
            </w:r>
          </w:p>
        </w:tc>
        <w:tc>
          <w:tcPr>
            <w:tcW w:type="dxa" w:w="2880"/>
          </w:tcPr>
          <w:p>
            <w:r/>
            <w:r>
              <w:rPr>
                <w:sz w:val="18"/>
              </w:rPr>
              <w:t>30%</w:t>
            </w:r>
          </w:p>
        </w:tc>
        <w:tc>
          <w:tcPr>
            <w:tcW w:type="dxa" w:w="4608"/>
          </w:tcPr>
          <w:p>
            <w:r/>
            <w:r>
              <w:rPr>
                <w:sz w:val="18"/>
              </w:rPr>
              <w:t>10 mL (Stage A2, optional)</w:t>
            </w:r>
          </w:p>
        </w:tc>
      </w:tr>
      <w:tr>
        <w:tc>
          <w:tcPr>
            <w:tcW w:type="dxa" w:w="3312"/>
            <w:shd w:val="clear" w:fill="F5E5E5"/>
          </w:tcPr>
          <w:p>
            <w:r/>
            <w:r>
              <w:rPr>
                <w:sz w:val="18"/>
              </w:rPr>
              <w:t>Hydrofluoric acid (HF)</w:t>
            </w:r>
          </w:p>
        </w:tc>
        <w:tc>
          <w:tcPr>
            <w:tcW w:type="dxa" w:w="2880"/>
            <w:shd w:val="clear" w:fill="F5E5E5"/>
          </w:tcPr>
          <w:p>
            <w:r/>
            <w:r>
              <w:rPr>
                <w:sz w:val="18"/>
              </w:rPr>
              <w:t>48-49% aqueous, concentrated stock</w:t>
            </w:r>
          </w:p>
        </w:tc>
        <w:tc>
          <w:tcPr>
            <w:tcW w:type="dxa" w:w="4608"/>
            <w:shd w:val="clear" w:fill="F5E5E5"/>
          </w:tcPr>
          <w:p>
            <w:r/>
            <w:r>
              <w:rPr>
                <w:sz w:val="18"/>
              </w:rPr>
              <w:t>~12.5 mL total (4.1 mL for oxide strip + 8.3 mL for MACE bath)</w:t>
            </w:r>
          </w:p>
        </w:tc>
      </w:tr>
      <w:tr>
        <w:tc>
          <w:tcPr>
            <w:tcW w:type="dxa" w:w="3312"/>
          </w:tcPr>
          <w:p>
            <w:r/>
            <w:r>
              <w:rPr>
                <w:sz w:val="18"/>
              </w:rPr>
              <w:t>Silver nitrate (AgNO3)</w:t>
            </w:r>
          </w:p>
        </w:tc>
        <w:tc>
          <w:tcPr>
            <w:tcW w:type="dxa" w:w="2880"/>
          </w:tcPr>
          <w:p>
            <w:r/>
            <w:r>
              <w:rPr>
                <w:sz w:val="18"/>
              </w:rPr>
              <w:t>ACS reagent grade, solid</w:t>
            </w:r>
          </w:p>
        </w:tc>
        <w:tc>
          <w:tcPr>
            <w:tcW w:type="dxa" w:w="4608"/>
          </w:tcPr>
          <w:p>
            <w:r/>
            <w:r>
              <w:rPr>
                <w:sz w:val="18"/>
              </w:rPr>
              <w:t>0.17 g</w:t>
            </w:r>
          </w:p>
        </w:tc>
      </w:tr>
      <w:tr>
        <w:tc>
          <w:tcPr>
            <w:tcW w:type="dxa" w:w="3312"/>
            <w:shd w:val="clear" w:fill="F5E5E5"/>
          </w:tcPr>
          <w:p>
            <w:r/>
            <w:r>
              <w:rPr>
                <w:sz w:val="18"/>
              </w:rPr>
              <w:t>4-mercaptophenylboronic acid (MPBA)</w:t>
            </w:r>
          </w:p>
        </w:tc>
        <w:tc>
          <w:tcPr>
            <w:tcW w:type="dxa" w:w="2880"/>
            <w:shd w:val="clear" w:fill="F5E5E5"/>
          </w:tcPr>
          <w:p>
            <w:r/>
            <w:r>
              <w:rPr>
                <w:sz w:val="18"/>
              </w:rPr>
              <w:t>≥90% purity</w:t>
            </w:r>
          </w:p>
        </w:tc>
        <w:tc>
          <w:tcPr>
            <w:tcW w:type="dxa" w:w="4608"/>
            <w:shd w:val="clear" w:fill="F5E5E5"/>
          </w:tcPr>
          <w:p>
            <w:r/>
            <w:r>
              <w:rPr>
                <w:sz w:val="18"/>
              </w:rPr>
              <w:t>~2 mg (for optional Stage C0 functionalization)</w:t>
            </w:r>
          </w:p>
        </w:tc>
      </w:tr>
      <w:tr>
        <w:tc>
          <w:tcPr>
            <w:tcW w:type="dxa" w:w="3312"/>
          </w:tcPr>
          <w:p>
            <w:r/>
            <w:r>
              <w:rPr>
                <w:sz w:val="18"/>
              </w:rPr>
              <w:t>Ethanol</w:t>
            </w:r>
          </w:p>
        </w:tc>
        <w:tc>
          <w:tcPr>
            <w:tcW w:type="dxa" w:w="2880"/>
          </w:tcPr>
          <w:p>
            <w:r/>
            <w:r>
              <w:rPr>
                <w:sz w:val="18"/>
              </w:rPr>
              <w:t>Absolute, for MPBA dissolution</w:t>
            </w:r>
          </w:p>
        </w:tc>
        <w:tc>
          <w:tcPr>
            <w:tcW w:type="dxa" w:w="4608"/>
          </w:tcPr>
          <w:p>
            <w:r/>
            <w:r>
              <w:rPr>
                <w:sz w:val="18"/>
              </w:rPr>
              <w:t>~10 mL</w:t>
            </w:r>
          </w:p>
        </w:tc>
      </w:tr>
      <w:tr>
        <w:tc>
          <w:tcPr>
            <w:tcW w:type="dxa" w:w="3312"/>
            <w:shd w:val="clear" w:fill="F5E5E5"/>
          </w:tcPr>
          <w:p>
            <w:r/>
            <w:r>
              <w:rPr>
                <w:sz w:val="18"/>
              </w:rPr>
              <w:t>N-acetylmuramic acid (NAM)</w:t>
            </w:r>
          </w:p>
        </w:tc>
        <w:tc>
          <w:tcPr>
            <w:tcW w:type="dxa" w:w="2880"/>
            <w:shd w:val="clear" w:fill="F5E5E5"/>
          </w:tcPr>
          <w:p>
            <w:r/>
            <w:r>
              <w:rPr>
                <w:sz w:val="18"/>
              </w:rPr>
              <w:t>Your existing project stock</w:t>
            </w:r>
          </w:p>
        </w:tc>
        <w:tc>
          <w:tcPr>
            <w:tcW w:type="dxa" w:w="4608"/>
            <w:shd w:val="clear" w:fill="F5E5E5"/>
          </w:tcPr>
          <w:p>
            <w:r/>
            <w:r>
              <w:rPr>
                <w:sz w:val="18"/>
              </w:rPr>
              <w:t>~14 mg (or equivalent volume of existing stock solution)</w:t>
            </w:r>
          </w:p>
        </w:tc>
      </w:tr>
      <w:tr>
        <w:tc>
          <w:tcPr>
            <w:tcW w:type="dxa" w:w="3312"/>
          </w:tcPr>
          <w:p>
            <w:r/>
            <w:r>
              <w:rPr>
                <w:sz w:val="18"/>
              </w:rPr>
              <w:t>Nitrogen gas (N2)</w:t>
            </w:r>
          </w:p>
        </w:tc>
        <w:tc>
          <w:tcPr>
            <w:tcW w:type="dxa" w:w="2880"/>
          </w:tcPr>
          <w:p>
            <w:r/>
            <w:r>
              <w:rPr>
                <w:sz w:val="18"/>
              </w:rPr>
              <w:t>Dry, for blow-drying</w:t>
            </w:r>
          </w:p>
        </w:tc>
        <w:tc>
          <w:tcPr>
            <w:tcW w:type="dxa" w:w="4608"/>
          </w:tcPr>
          <w:p>
            <w:r/>
            <w:r>
              <w:rPr>
                <w:sz w:val="18"/>
              </w:rPr>
              <w:t>as needed</w:t>
            </w:r>
          </w:p>
        </w:tc>
      </w:tr>
      <w:tr>
        <w:tc>
          <w:tcPr>
            <w:tcW w:type="dxa" w:w="3312"/>
            <w:shd w:val="clear" w:fill="F5E5E5"/>
          </w:tcPr>
          <w:p>
            <w:r/>
            <w:r>
              <w:rPr>
                <w:sz w:val="18"/>
              </w:rPr>
              <w:t>Calcium gluconate gel (2.5%)</w:t>
            </w:r>
          </w:p>
        </w:tc>
        <w:tc>
          <w:tcPr>
            <w:tcW w:type="dxa" w:w="2880"/>
            <w:shd w:val="clear" w:fill="F5E5E5"/>
          </w:tcPr>
          <w:p>
            <w:r/>
            <w:r>
              <w:rPr>
                <w:sz w:val="18"/>
              </w:rPr>
              <w:t>First-aid, HF-specific</w:t>
            </w:r>
          </w:p>
        </w:tc>
        <w:tc>
          <w:tcPr>
            <w:tcW w:type="dxa" w:w="4608"/>
            <w:shd w:val="clear" w:fill="F5E5E5"/>
          </w:tcPr>
          <w:p>
            <w:r/>
            <w:r>
              <w:rPr>
                <w:sz w:val="18"/>
              </w:rPr>
              <w:t>on hand, not consumed</w:t>
            </w:r>
          </w:p>
        </w:tc>
      </w:tr>
    </w:tbl>
    <w:p>
      <w:pPr>
        <w:spacing w:after="40"/>
      </w:pPr>
    </w:p>
    <w:p>
      <w:pPr>
        <w:pStyle w:val="Heading1"/>
      </w:pPr>
      <w:r>
        <w:t>4. Equipment</w:t>
      </w:r>
    </w:p>
    <w:p>
      <w:pPr>
        <w:pStyle w:val="ListBullet"/>
        <w:spacing w:after="60"/>
      </w:pPr>
      <w:r>
        <w:t>Fume hood (functioning, certified)</w:t>
      </w:r>
    </w:p>
    <w:p>
      <w:pPr>
        <w:pStyle w:val="ListBullet"/>
        <w:spacing w:after="60"/>
      </w:pPr>
      <w:r>
        <w:t>PP or PTFE beakers/dishes (separate, clearly labeled sets for: solvent clean, piranha, oxide-strip HF, MACE bath — never reuse a labeled container across chemical types)</w:t>
      </w:r>
    </w:p>
    <w:p>
      <w:pPr>
        <w:pStyle w:val="ListBullet"/>
        <w:spacing w:after="60"/>
      </w:pPr>
      <w:r>
        <w:t>Analytical balance (0.1 mg resolution, for AgNO3 and MPBA weighing)</w:t>
      </w:r>
    </w:p>
    <w:p>
      <w:pPr>
        <w:pStyle w:val="ListBullet"/>
        <w:spacing w:after="60"/>
      </w:pPr>
      <w:r>
        <w:t>Calibrated micropipettes (10 uL - 10 mL range) or graduated cylinders (PP/PTFE)</w:t>
      </w:r>
    </w:p>
    <w:p>
      <w:pPr>
        <w:pStyle w:val="ListBullet"/>
        <w:spacing w:after="60"/>
      </w:pPr>
      <w:r>
        <w:t>N2 gas line/gun with regulator</w:t>
      </w:r>
    </w:p>
    <w:p>
      <w:pPr>
        <w:pStyle w:val="ListBullet"/>
        <w:spacing w:after="60"/>
      </w:pPr>
      <w:r>
        <w:t>Substrate-handling tweezers (PTFE-tipped, acid-resistant)</w:t>
      </w:r>
    </w:p>
    <w:p>
      <w:pPr>
        <w:pStyle w:val="ListBullet"/>
        <w:spacing w:after="60"/>
      </w:pPr>
      <w:r>
        <w:t>Timer</w:t>
      </w:r>
    </w:p>
    <w:p>
      <w:pPr>
        <w:pStyle w:val="ListBullet"/>
        <w:spacing w:after="60"/>
      </w:pPr>
      <w:r>
        <w:t>785 nm Raman/SERS system (as already in use on this project)</w:t>
      </w:r>
    </w:p>
    <w:p>
      <w:pPr>
        <w:pStyle w:val="ListBullet"/>
        <w:spacing w:after="60"/>
      </w:pPr>
      <w:r>
        <w:t>Petri dish or humidity chamber (for covered incubation during NAM deposition, to prevent evaporation)</w:t>
      </w:r>
    </w:p>
    <w:p>
      <w:pPr>
        <w:pStyle w:val="Heading1"/>
      </w:pPr>
      <w:r>
        <w:t>5. Stage A — Substrate Cleaning</w:t>
      </w:r>
    </w:p>
    <w:p>
      <w:pPr>
        <w:pStyle w:val="Heading2"/>
      </w:pPr>
      <w:r>
        <w:t>A1. Solvent Clean (organic/particulate removal) — always do this step</w:t>
      </w:r>
    </w:p>
    <w:tbl>
      <w:tblPr>
        <w:tblStyle w:val="TableGrid"/>
        <w:tblW w:type="auto" w:w="0"/>
        <w:jc w:val="center"/>
        <w:tblLayout w:type="autofit"/>
        <w:tblLook w:firstColumn="1" w:firstRow="1" w:lastColumn="0" w:lastRow="0" w:noHBand="0" w:noVBand="1" w:val="04A0"/>
      </w:tblPr>
      <w:tblGrid>
        <w:gridCol w:w="2437"/>
        <w:gridCol w:w="2437"/>
        <w:gridCol w:w="2437"/>
        <w:gridCol w:w="2437"/>
      </w:tblGrid>
      <w:tr>
        <w:tc>
          <w:tcPr>
            <w:tcW w:type="dxa" w:w="1152"/>
            <w:shd w:val="clear" w:fill="A31F1F"/>
          </w:tcPr>
          <w:p>
            <w:r/>
            <w:r>
              <w:rPr>
                <w:b/>
                <w:color w:val="FFFFFF"/>
                <w:sz w:val="18"/>
              </w:rPr>
              <w:t>Step</w:t>
            </w:r>
          </w:p>
        </w:tc>
        <w:tc>
          <w:tcPr>
            <w:tcW w:type="dxa" w:w="4320"/>
            <w:shd w:val="clear" w:fill="A31F1F"/>
          </w:tcPr>
          <w:p>
            <w:r/>
            <w:r>
              <w:rPr>
                <w:b/>
                <w:color w:val="FFFFFF"/>
                <w:sz w:val="18"/>
              </w:rPr>
              <w:t>Reagent/Volume</w:t>
            </w:r>
          </w:p>
        </w:tc>
        <w:tc>
          <w:tcPr>
            <w:tcW w:type="dxa" w:w="3168"/>
            <w:shd w:val="clear" w:fill="A31F1F"/>
          </w:tcPr>
          <w:p>
            <w:r/>
            <w:r>
              <w:rPr>
                <w:b/>
                <w:color w:val="FFFFFF"/>
                <w:sz w:val="18"/>
              </w:rPr>
              <w:t>Time</w:t>
            </w:r>
          </w:p>
        </w:tc>
        <w:tc>
          <w:tcPr>
            <w:tcW w:type="dxa" w:w="3600"/>
            <w:shd w:val="clear" w:fill="A31F1F"/>
          </w:tcPr>
          <w:p>
            <w:r/>
            <w:r>
              <w:rPr>
                <w:b/>
                <w:color w:val="FFFFFF"/>
                <w:sz w:val="18"/>
              </w:rPr>
              <w:t>Notes</w:t>
            </w:r>
          </w:p>
        </w:tc>
      </w:tr>
      <w:tr>
        <w:tc>
          <w:tcPr>
            <w:tcW w:type="dxa" w:w="1152"/>
          </w:tcPr>
          <w:p>
            <w:r/>
            <w:r>
              <w:rPr>
                <w:sz w:val="18"/>
              </w:rPr>
              <w:t>A1.1</w:t>
            </w:r>
          </w:p>
        </w:tc>
        <w:tc>
          <w:tcPr>
            <w:tcW w:type="dxa" w:w="4320"/>
          </w:tcPr>
          <w:p>
            <w:r/>
            <w:r>
              <w:rPr>
                <w:sz w:val="18"/>
              </w:rPr>
              <w:t>Acetone, ~50 mL in a PP beaker, fully submerge substrate</w:t>
            </w:r>
          </w:p>
        </w:tc>
        <w:tc>
          <w:tcPr>
            <w:tcW w:type="dxa" w:w="3168"/>
          </w:tcPr>
          <w:p>
            <w:r/>
            <w:r>
              <w:rPr>
                <w:sz w:val="18"/>
              </w:rPr>
              <w:t>5 min (ultrasonicate if available)</w:t>
            </w:r>
          </w:p>
        </w:tc>
        <w:tc>
          <w:tcPr>
            <w:tcW w:type="dxa" w:w="3600"/>
          </w:tcPr>
          <w:p>
            <w:r/>
            <w:r>
              <w:rPr>
                <w:sz w:val="18"/>
              </w:rPr>
              <w:t>Removes organic residues, dust, fingerprints</w:t>
            </w:r>
          </w:p>
        </w:tc>
      </w:tr>
      <w:tr>
        <w:tc>
          <w:tcPr>
            <w:tcW w:type="dxa" w:w="1152"/>
            <w:shd w:val="clear" w:fill="F5E5E5"/>
          </w:tcPr>
          <w:p>
            <w:r/>
            <w:r>
              <w:rPr>
                <w:sz w:val="18"/>
              </w:rPr>
              <w:t>A1.2</w:t>
            </w:r>
          </w:p>
        </w:tc>
        <w:tc>
          <w:tcPr>
            <w:tcW w:type="dxa" w:w="4320"/>
            <w:shd w:val="clear" w:fill="F5E5E5"/>
          </w:tcPr>
          <w:p>
            <w:r/>
            <w:r>
              <w:rPr>
                <w:sz w:val="18"/>
              </w:rPr>
              <w:t>IPA, ~50 mL, fresh beaker</w:t>
            </w:r>
          </w:p>
        </w:tc>
        <w:tc>
          <w:tcPr>
            <w:tcW w:type="dxa" w:w="3168"/>
            <w:shd w:val="clear" w:fill="F5E5E5"/>
          </w:tcPr>
          <w:p>
            <w:r/>
            <w:r>
              <w:rPr>
                <w:sz w:val="18"/>
              </w:rPr>
              <w:t>5 min (ultrasonicate if available)</w:t>
            </w:r>
          </w:p>
        </w:tc>
        <w:tc>
          <w:tcPr>
            <w:tcW w:type="dxa" w:w="3600"/>
            <w:shd w:val="clear" w:fill="F5E5E5"/>
          </w:tcPr>
          <w:p>
            <w:r/>
            <w:r>
              <w:rPr>
                <w:sz w:val="18"/>
              </w:rPr>
              <w:t>Displaces acetone residue</w:t>
            </w:r>
          </w:p>
        </w:tc>
      </w:tr>
      <w:tr>
        <w:tc>
          <w:tcPr>
            <w:tcW w:type="dxa" w:w="1152"/>
          </w:tcPr>
          <w:p>
            <w:r/>
            <w:r>
              <w:rPr>
                <w:sz w:val="18"/>
              </w:rPr>
              <w:t>A1.3</w:t>
            </w:r>
          </w:p>
        </w:tc>
        <w:tc>
          <w:tcPr>
            <w:tcW w:type="dxa" w:w="4320"/>
          </w:tcPr>
          <w:p>
            <w:r/>
            <w:r>
              <w:rPr>
                <w:sz w:val="18"/>
              </w:rPr>
              <w:t>DI water rinse</w:t>
            </w:r>
          </w:p>
        </w:tc>
        <w:tc>
          <w:tcPr>
            <w:tcW w:type="dxa" w:w="3168"/>
          </w:tcPr>
          <w:p>
            <w:r/>
            <w:r>
              <w:rPr>
                <w:sz w:val="18"/>
              </w:rPr>
              <w:t>3 changes, ~30 sec swirl each</w:t>
            </w:r>
          </w:p>
        </w:tc>
        <w:tc>
          <w:tcPr>
            <w:tcW w:type="dxa" w:w="3600"/>
          </w:tcPr>
          <w:p>
            <w:r/>
            <w:r>
              <w:rPr>
                <w:sz w:val="18"/>
              </w:rPr>
              <w:t>Substrate should remain wet going into A2 — do not N2-dry yet</w:t>
            </w:r>
          </w:p>
        </w:tc>
      </w:tr>
    </w:tbl>
    <w:p>
      <w:pPr>
        <w:spacing w:after="40"/>
      </w:pPr>
    </w:p>
    <w:p>
      <w:pPr>
        <w:pStyle w:val="Heading2"/>
      </w:pPr>
      <w:r>
        <w:t>A2. Piranha Clean — OPTIONAL, confirm this is what you intend before proceeding</w:t>
      </w:r>
    </w:p>
    <w:tbl>
      <w:tblPr>
        <w:tblStyle w:val="TableGrid"/>
        <w:tblW w:type="auto" w:w="0"/>
        <w:tblLook w:firstColumn="1" w:firstRow="1" w:lastColumn="0" w:lastRow="0" w:noHBand="0" w:noVBand="1" w:val="04A0"/>
      </w:tblPr>
      <w:tblGrid>
        <w:gridCol w:w="9749"/>
      </w:tblGrid>
      <w:tr>
        <w:tc>
          <w:tcPr>
            <w:tcW w:type="dxa" w:w="9749"/>
            <w:shd w:val="clear" w:fill="FBE2E2"/>
          </w:tcPr>
          <w:p>
            <w:r/>
            <w:r>
              <w:rPr>
                <w:b/>
                <w:color w:val="8A0000"/>
                <w:sz w:val="19"/>
              </w:rPr>
              <w:t>⚠ Only perform this step if you have confirmed piranha solution is what you meant and your lab is set up for it. If not, skip directly to A3.</w:t>
            </w:r>
          </w:p>
        </w:tc>
      </w:tr>
    </w:tbl>
    <w:p>
      <w:pPr>
        <w:spacing w:after="80"/>
      </w:pPr>
    </w:p>
    <w:tbl>
      <w:tblPr>
        <w:tblStyle w:val="TableGrid"/>
        <w:tblW w:type="auto" w:w="0"/>
        <w:jc w:val="center"/>
        <w:tblLayout w:type="autofit"/>
        <w:tblLook w:firstColumn="1" w:firstRow="1" w:lastColumn="0" w:lastRow="0" w:noHBand="0" w:noVBand="1" w:val="04A0"/>
      </w:tblPr>
      <w:tblGrid>
        <w:gridCol w:w="2437"/>
        <w:gridCol w:w="2437"/>
        <w:gridCol w:w="2437"/>
        <w:gridCol w:w="2437"/>
      </w:tblGrid>
      <w:tr>
        <w:tc>
          <w:tcPr>
            <w:tcW w:type="dxa" w:w="1152"/>
            <w:shd w:val="clear" w:fill="A31F1F"/>
          </w:tcPr>
          <w:p>
            <w:r/>
            <w:r>
              <w:rPr>
                <w:b/>
                <w:color w:val="FFFFFF"/>
                <w:sz w:val="18"/>
              </w:rPr>
              <w:t>Step</w:t>
            </w:r>
          </w:p>
        </w:tc>
        <w:tc>
          <w:tcPr>
            <w:tcW w:type="dxa" w:w="4608"/>
            <w:shd w:val="clear" w:fill="A31F1F"/>
          </w:tcPr>
          <w:p>
            <w:r/>
            <w:r>
              <w:rPr>
                <w:b/>
                <w:color w:val="FFFFFF"/>
                <w:sz w:val="18"/>
              </w:rPr>
              <w:t>Reagent/Volume</w:t>
            </w:r>
          </w:p>
        </w:tc>
        <w:tc>
          <w:tcPr>
            <w:tcW w:type="dxa" w:w="2880"/>
            <w:shd w:val="clear" w:fill="A31F1F"/>
          </w:tcPr>
          <w:p>
            <w:r/>
            <w:r>
              <w:rPr>
                <w:b/>
                <w:color w:val="FFFFFF"/>
                <w:sz w:val="18"/>
              </w:rPr>
              <w:t>Time</w:t>
            </w:r>
          </w:p>
        </w:tc>
        <w:tc>
          <w:tcPr>
            <w:tcW w:type="dxa" w:w="3600"/>
            <w:shd w:val="clear" w:fill="A31F1F"/>
          </w:tcPr>
          <w:p>
            <w:r/>
            <w:r>
              <w:rPr>
                <w:b/>
                <w:color w:val="FFFFFF"/>
                <w:sz w:val="18"/>
              </w:rPr>
              <w:t>Notes</w:t>
            </w:r>
          </w:p>
        </w:tc>
      </w:tr>
      <w:tr>
        <w:tc>
          <w:tcPr>
            <w:tcW w:type="dxa" w:w="1152"/>
          </w:tcPr>
          <w:p>
            <w:r/>
            <w:r>
              <w:rPr>
                <w:sz w:val="18"/>
              </w:rPr>
              <w:t>A2.1</w:t>
            </w:r>
          </w:p>
        </w:tc>
        <w:tc>
          <w:tcPr>
            <w:tcW w:type="dxa" w:w="4608"/>
          </w:tcPr>
          <w:p>
            <w:r/>
            <w:r>
              <w:rPr>
                <w:sz w:val="18"/>
              </w:rPr>
              <w:t>Prepare fresh: 30 mL conc. H2SO4 in a PP beaker</w:t>
            </w:r>
          </w:p>
        </w:tc>
        <w:tc>
          <w:tcPr>
            <w:tcW w:type="dxa" w:w="2880"/>
          </w:tcPr>
          <w:p>
            <w:r/>
            <w:r>
              <w:rPr>
                <w:sz w:val="18"/>
              </w:rPr>
              <w:t>-</w:t>
            </w:r>
          </w:p>
        </w:tc>
        <w:tc>
          <w:tcPr>
            <w:tcW w:type="dxa" w:w="3600"/>
          </w:tcPr>
          <w:p>
            <w:r/>
            <w:r>
              <w:rPr>
                <w:sz w:val="18"/>
              </w:rPr>
              <w:t>Add acid to the beaker first</w:t>
            </w:r>
          </w:p>
        </w:tc>
      </w:tr>
      <w:tr>
        <w:tc>
          <w:tcPr>
            <w:tcW w:type="dxa" w:w="1152"/>
            <w:shd w:val="clear" w:fill="F5E5E5"/>
          </w:tcPr>
          <w:p>
            <w:r/>
            <w:r>
              <w:rPr>
                <w:sz w:val="18"/>
              </w:rPr>
              <w:t>A2.2</w:t>
            </w:r>
          </w:p>
        </w:tc>
        <w:tc>
          <w:tcPr>
            <w:tcW w:type="dxa" w:w="4608"/>
            <w:shd w:val="clear" w:fill="F5E5E5"/>
          </w:tcPr>
          <w:p>
            <w:r/>
            <w:r>
              <w:rPr>
                <w:sz w:val="18"/>
              </w:rPr>
              <w:t>Slowly add 10 mL H2O2 (30%) to the H2SO4 — 3:1 ratio, 40 mL total</w:t>
            </w:r>
          </w:p>
        </w:tc>
        <w:tc>
          <w:tcPr>
            <w:tcW w:type="dxa" w:w="2880"/>
            <w:shd w:val="clear" w:fill="F5E5E5"/>
          </w:tcPr>
          <w:p>
            <w:r/>
            <w:r>
              <w:rPr>
                <w:sz w:val="18"/>
              </w:rPr>
              <w:t>Add dropwise/slowly over 1-2 min</w:t>
            </w:r>
          </w:p>
        </w:tc>
        <w:tc>
          <w:tcPr>
            <w:tcW w:type="dxa" w:w="3600"/>
            <w:shd w:val="clear" w:fill="F5E5E5"/>
          </w:tcPr>
          <w:p>
            <w:r/>
            <w:r>
              <w:rPr>
                <w:sz w:val="18"/>
              </w:rPr>
              <w:t>Solution will heat up and bubble — this is expected. Never add in reverse order.</w:t>
            </w:r>
          </w:p>
        </w:tc>
      </w:tr>
      <w:tr>
        <w:tc>
          <w:tcPr>
            <w:tcW w:type="dxa" w:w="1152"/>
          </w:tcPr>
          <w:p>
            <w:r/>
            <w:r>
              <w:rPr>
                <w:sz w:val="18"/>
              </w:rPr>
              <w:t>A2.3</w:t>
            </w:r>
          </w:p>
        </w:tc>
        <w:tc>
          <w:tcPr>
            <w:tcW w:type="dxa" w:w="4608"/>
          </w:tcPr>
          <w:p>
            <w:r/>
            <w:r>
              <w:rPr>
                <w:sz w:val="18"/>
              </w:rPr>
              <w:t>Submerge substrate in the piranha bath</w:t>
            </w:r>
          </w:p>
        </w:tc>
        <w:tc>
          <w:tcPr>
            <w:tcW w:type="dxa" w:w="2880"/>
          </w:tcPr>
          <w:p>
            <w:r/>
            <w:r>
              <w:rPr>
                <w:sz w:val="18"/>
              </w:rPr>
              <w:t>10-15 min</w:t>
            </w:r>
          </w:p>
        </w:tc>
        <w:tc>
          <w:tcPr>
            <w:tcW w:type="dxa" w:w="3600"/>
          </w:tcPr>
          <w:p>
            <w:r/>
            <w:r>
              <w:rPr>
                <w:sz w:val="18"/>
              </w:rPr>
              <w:t>Do not seal the container</w:t>
            </w:r>
          </w:p>
        </w:tc>
      </w:tr>
      <w:tr>
        <w:tc>
          <w:tcPr>
            <w:tcW w:type="dxa" w:w="1152"/>
            <w:shd w:val="clear" w:fill="F5E5E5"/>
          </w:tcPr>
          <w:p>
            <w:r/>
            <w:r>
              <w:rPr>
                <w:sz w:val="18"/>
              </w:rPr>
              <w:t>A2.4</w:t>
            </w:r>
          </w:p>
        </w:tc>
        <w:tc>
          <w:tcPr>
            <w:tcW w:type="dxa" w:w="4608"/>
            <w:shd w:val="clear" w:fill="F5E5E5"/>
          </w:tcPr>
          <w:p>
            <w:r/>
            <w:r>
              <w:rPr>
                <w:sz w:val="18"/>
              </w:rPr>
              <w:t>Remove substrate, DI water rinse</w:t>
            </w:r>
          </w:p>
        </w:tc>
        <w:tc>
          <w:tcPr>
            <w:tcW w:type="dxa" w:w="2880"/>
            <w:shd w:val="clear" w:fill="F5E5E5"/>
          </w:tcPr>
          <w:p>
            <w:r/>
            <w:r>
              <w:rPr>
                <w:sz w:val="18"/>
              </w:rPr>
              <w:t>3 changes, ~30 sec each</w:t>
            </w:r>
          </w:p>
        </w:tc>
        <w:tc>
          <w:tcPr>
            <w:tcW w:type="dxa" w:w="3600"/>
            <w:shd w:val="clear" w:fill="F5E5E5"/>
          </w:tcPr>
          <w:p>
            <w:r/>
            <w:r>
              <w:rPr>
                <w:sz w:val="18"/>
              </w:rPr>
              <w:t>Let piranha waste cool fully before disposal per Section 2.4</w:t>
            </w:r>
          </w:p>
        </w:tc>
      </w:tr>
    </w:tbl>
    <w:p>
      <w:pPr>
        <w:spacing w:after="40"/>
      </w:pPr>
    </w:p>
    <w:p>
      <w:pPr>
        <w:pStyle w:val="Heading2"/>
      </w:pPr>
      <w:r>
        <w:t>A3. Native Oxide Strip (dilute HF dip) — always do this step, immediately before Stage B</w:t>
      </w:r>
    </w:p>
    <w:p>
      <w:pPr>
        <w:spacing w:after="120"/>
      </w:pPr>
      <w:r>
        <w:rPr>
          <w:b w:val="0"/>
          <w:i w:val="0"/>
        </w:rPr>
        <w:t>Target: ~10% HF, 20 mL total, from your 48-49% stock.</w:t>
      </w:r>
    </w:p>
    <w:tbl>
      <w:tblPr>
        <w:tblStyle w:val="TableGrid"/>
        <w:tblW w:type="auto" w:w="0"/>
        <w:jc w:val="center"/>
        <w:tblLayout w:type="autofit"/>
        <w:tblLook w:firstColumn="1" w:firstRow="1" w:lastColumn="0" w:lastRow="0" w:noHBand="0" w:noVBand="1" w:val="04A0"/>
      </w:tblPr>
      <w:tblGrid>
        <w:gridCol w:w="3250"/>
        <w:gridCol w:w="3250"/>
        <w:gridCol w:w="3250"/>
      </w:tblGrid>
      <w:tr>
        <w:tc>
          <w:tcPr>
            <w:tcW w:type="dxa" w:w="3600"/>
            <w:shd w:val="clear" w:fill="A31F1F"/>
          </w:tcPr>
          <w:p>
            <w:r/>
            <w:r>
              <w:rPr>
                <w:b/>
                <w:color w:val="FFFFFF"/>
                <w:sz w:val="18"/>
              </w:rPr>
              <w:t>Component</w:t>
            </w:r>
          </w:p>
        </w:tc>
        <w:tc>
          <w:tcPr>
            <w:tcW w:type="dxa" w:w="2160"/>
            <w:shd w:val="clear" w:fill="A31F1F"/>
          </w:tcPr>
          <w:p>
            <w:r/>
            <w:r>
              <w:rPr>
                <w:b/>
                <w:color w:val="FFFFFF"/>
                <w:sz w:val="18"/>
              </w:rPr>
              <w:t>Amount</w:t>
            </w:r>
          </w:p>
        </w:tc>
        <w:tc>
          <w:tcPr>
            <w:tcW w:type="dxa" w:w="5760"/>
            <w:shd w:val="clear" w:fill="A31F1F"/>
          </w:tcPr>
          <w:p>
            <w:r/>
            <w:r>
              <w:rPr>
                <w:b/>
                <w:color w:val="FFFFFF"/>
                <w:sz w:val="18"/>
              </w:rPr>
              <w:t>Calculation</w:t>
            </w:r>
          </w:p>
        </w:tc>
      </w:tr>
      <w:tr>
        <w:tc>
          <w:tcPr>
            <w:tcW w:type="dxa" w:w="3600"/>
          </w:tcPr>
          <w:p>
            <w:r/>
            <w:r>
              <w:rPr>
                <w:sz w:val="18"/>
              </w:rPr>
              <w:t>48-49% HF stock (~28.9 M)</w:t>
            </w:r>
          </w:p>
        </w:tc>
        <w:tc>
          <w:tcPr>
            <w:tcW w:type="dxa" w:w="2160"/>
          </w:tcPr>
          <w:p>
            <w:r/>
            <w:r>
              <w:rPr>
                <w:sz w:val="18"/>
              </w:rPr>
              <w:t>4.1 mL</w:t>
            </w:r>
          </w:p>
        </w:tc>
        <w:tc>
          <w:tcPr>
            <w:tcW w:type="dxa" w:w="5760"/>
          </w:tcPr>
          <w:p>
            <w:r/>
            <w:r>
              <w:rPr>
                <w:sz w:val="18"/>
              </w:rPr>
              <w:t>C1V1=C2V2: (10% x 20mL)/49% = 4.08 mL (round to 4.1 mL)</w:t>
            </w:r>
          </w:p>
        </w:tc>
      </w:tr>
      <w:tr>
        <w:tc>
          <w:tcPr>
            <w:tcW w:type="dxa" w:w="3600"/>
            <w:shd w:val="clear" w:fill="F5E5E5"/>
          </w:tcPr>
          <w:p>
            <w:r/>
            <w:r>
              <w:rPr>
                <w:sz w:val="18"/>
              </w:rPr>
              <w:t>DI water</w:t>
            </w:r>
          </w:p>
        </w:tc>
        <w:tc>
          <w:tcPr>
            <w:tcW w:type="dxa" w:w="2160"/>
            <w:shd w:val="clear" w:fill="F5E5E5"/>
          </w:tcPr>
          <w:p>
            <w:r/>
            <w:r>
              <w:rPr>
                <w:sz w:val="18"/>
              </w:rPr>
              <w:t>15.9 mL</w:t>
            </w:r>
          </w:p>
        </w:tc>
        <w:tc>
          <w:tcPr>
            <w:tcW w:type="dxa" w:w="5760"/>
            <w:shd w:val="clear" w:fill="F5E5E5"/>
          </w:tcPr>
          <w:p>
            <w:r/>
            <w:r>
              <w:rPr>
                <w:sz w:val="18"/>
              </w:rPr>
              <w:t>20 mL total - 4.1 mL HF</w:t>
            </w:r>
          </w:p>
        </w:tc>
      </w:tr>
      <w:tr>
        <w:tc>
          <w:tcPr>
            <w:tcW w:type="dxa" w:w="3600"/>
          </w:tcPr>
          <w:p>
            <w:r/>
            <w:r>
              <w:rPr>
                <w:sz w:val="18"/>
              </w:rPr>
              <w:t>Total dip volume</w:t>
            </w:r>
          </w:p>
        </w:tc>
        <w:tc>
          <w:tcPr>
            <w:tcW w:type="dxa" w:w="2160"/>
          </w:tcPr>
          <w:p>
            <w:r/>
            <w:r>
              <w:rPr>
                <w:sz w:val="18"/>
              </w:rPr>
              <w:t>20 mL</w:t>
            </w:r>
          </w:p>
        </w:tc>
        <w:tc>
          <w:tcPr>
            <w:tcW w:type="dxa" w:w="5760"/>
          </w:tcPr>
          <w:p>
            <w:r/>
            <w:r>
              <w:rPr>
                <w:sz w:val="18"/>
              </w:rPr>
              <w:t>In a PP/PTFE dish, enough to fully submerge the chip</w:t>
            </w:r>
          </w:p>
        </w:tc>
      </w:tr>
    </w:tbl>
    <w:p>
      <w:pPr>
        <w:spacing w:after="40"/>
      </w:pPr>
    </w:p>
    <w:p>
      <w:pPr>
        <w:pStyle w:val="ListBullet"/>
        <w:spacing w:after="60"/>
      </w:pPr>
      <w:r>
        <w:t>Dip the substrate 30-60 seconds.</w:t>
      </w:r>
    </w:p>
    <w:p>
      <w:pPr>
        <w:pStyle w:val="ListBullet"/>
        <w:spacing w:after="60"/>
      </w:pPr>
      <w:r>
        <w:t>Brief DI water rinse (a few seconds — do not over-rinse; the goal is to remove excess HF, not to leave the surface exposed to air/water for long).</w:t>
      </w:r>
    </w:p>
    <w:p>
      <w:pPr>
        <w:pStyle w:val="ListBullet"/>
        <w:spacing w:after="60"/>
      </w:pPr>
      <w:r>
        <w:t>N2 dry.</w:t>
      </w:r>
    </w:p>
    <w:p>
      <w:pPr>
        <w:pStyle w:val="ListBullet"/>
        <w:spacing w:after="60"/>
      </w:pPr>
      <w:r>
        <w:t>PROCEED DIRECTLY to Stage B with minimal delay (ideally under 5 minutes). Native oxide regrows on bare Si within minutes of air exposure and will degrade the uniformity of the silver deposition in Stage B if you wait too long. Have the MACE bath (Stage B) already prepared and ready before you start this dip.</w:t>
      </w:r>
    </w:p>
    <w:p>
      <w:pPr>
        <w:pStyle w:val="Heading1"/>
      </w:pPr>
      <w:r>
        <w:t>6. Stage B — MACE Etching (Black Silicon + Ag Formation)</w:t>
      </w:r>
    </w:p>
    <w:p>
      <w:pPr>
        <w:spacing w:after="120"/>
      </w:pPr>
      <w:r>
        <w:rPr>
          <w:b w:val="0"/>
          <w:i w:val="0"/>
        </w:rPr>
        <w:t>Target working-bath composition: 4.8 M HF, 20 mM AgNO3, 50 mL total. This is a literature-informed starting point for a one-step MACE process (Section 12 explains the provenance) — treat this first run as a pilot, and check SEM morphology afterward before committing more substrate to this exact recipe.</w:t>
      </w:r>
    </w:p>
    <w:tbl>
      <w:tblPr>
        <w:tblStyle w:val="TableGrid"/>
        <w:tblW w:type="auto" w:w="0"/>
        <w:tblLook w:firstColumn="1" w:firstRow="1" w:lastColumn="0" w:lastRow="0" w:noHBand="0" w:noVBand="1" w:val="04A0"/>
      </w:tblPr>
      <w:tblGrid>
        <w:gridCol w:w="9749"/>
      </w:tblGrid>
      <w:tr>
        <w:tc>
          <w:tcPr>
            <w:tcW w:type="dxa" w:w="9749"/>
            <w:shd w:val="clear" w:fill="FBE2E2"/>
          </w:tcPr>
          <w:p>
            <w:r/>
            <w:r>
              <w:rPr>
                <w:b/>
                <w:color w:val="8A0000"/>
                <w:sz w:val="19"/>
              </w:rPr>
              <w:t>⚠ Prepare this bath BEFORE you do the Stage A3 oxide-strip dip, so the substrate can move from the oxide-strip dish straight into this bath with minimal air exposure.</w:t>
            </w:r>
          </w:p>
        </w:tc>
      </w:tr>
    </w:tbl>
    <w:p>
      <w:pPr>
        <w:spacing w:after="80"/>
      </w:pPr>
    </w:p>
    <w:p>
      <w:pPr>
        <w:pStyle w:val="Heading2"/>
      </w:pPr>
      <w:r>
        <w:t>B1. Prepare the 50 mL MACE Etch Bath</w:t>
      </w:r>
    </w:p>
    <w:tbl>
      <w:tblPr>
        <w:tblStyle w:val="TableGrid"/>
        <w:tblW w:type="auto" w:w="0"/>
        <w:jc w:val="center"/>
        <w:tblLayout w:type="autofit"/>
        <w:tblLook w:firstColumn="1" w:firstRow="1" w:lastColumn="0" w:lastRow="0" w:noHBand="0" w:noVBand="1" w:val="04A0"/>
      </w:tblPr>
      <w:tblGrid>
        <w:gridCol w:w="3250"/>
        <w:gridCol w:w="3250"/>
        <w:gridCol w:w="3250"/>
      </w:tblGrid>
      <w:tr>
        <w:tc>
          <w:tcPr>
            <w:tcW w:type="dxa" w:w="3744"/>
            <w:shd w:val="clear" w:fill="A31F1F"/>
          </w:tcPr>
          <w:p>
            <w:r/>
            <w:r>
              <w:rPr>
                <w:b/>
                <w:color w:val="FFFFFF"/>
                <w:sz w:val="18"/>
              </w:rPr>
              <w:t>Component</w:t>
            </w:r>
          </w:p>
        </w:tc>
        <w:tc>
          <w:tcPr>
            <w:tcW w:type="dxa" w:w="2016"/>
            <w:shd w:val="clear" w:fill="A31F1F"/>
          </w:tcPr>
          <w:p>
            <w:r/>
            <w:r>
              <w:rPr>
                <w:b/>
                <w:color w:val="FFFFFF"/>
                <w:sz w:val="18"/>
              </w:rPr>
              <w:t>Amount</w:t>
            </w:r>
          </w:p>
        </w:tc>
        <w:tc>
          <w:tcPr>
            <w:tcW w:type="dxa" w:w="4752"/>
            <w:shd w:val="clear" w:fill="A31F1F"/>
          </w:tcPr>
          <w:p>
            <w:r/>
            <w:r>
              <w:rPr>
                <w:b/>
                <w:color w:val="FFFFFF"/>
                <w:sz w:val="18"/>
              </w:rPr>
              <w:t>Calculation</w:t>
            </w:r>
          </w:p>
        </w:tc>
      </w:tr>
      <w:tr>
        <w:tc>
          <w:tcPr>
            <w:tcW w:type="dxa" w:w="3744"/>
          </w:tcPr>
          <w:p>
            <w:r/>
            <w:r>
              <w:rPr>
                <w:sz w:val="18"/>
              </w:rPr>
              <w:t>DI water (for dissolving AgNO3)</w:t>
            </w:r>
          </w:p>
        </w:tc>
        <w:tc>
          <w:tcPr>
            <w:tcW w:type="dxa" w:w="2016"/>
          </w:tcPr>
          <w:p>
            <w:r/>
            <w:r>
              <w:rPr>
                <w:sz w:val="18"/>
              </w:rPr>
              <w:t>~20 mL</w:t>
            </w:r>
          </w:p>
        </w:tc>
        <w:tc>
          <w:tcPr>
            <w:tcW w:type="dxa" w:w="4752"/>
          </w:tcPr>
          <w:p>
            <w:r/>
            <w:r>
              <w:rPr>
                <w:sz w:val="18"/>
              </w:rPr>
              <w:t>Working volume to dissolve the silver nitrate first</w:t>
            </w:r>
          </w:p>
        </w:tc>
      </w:tr>
      <w:tr>
        <w:tc>
          <w:tcPr>
            <w:tcW w:type="dxa" w:w="3744"/>
            <w:shd w:val="clear" w:fill="F5E5E5"/>
          </w:tcPr>
          <w:p>
            <w:r/>
            <w:r>
              <w:rPr>
                <w:sz w:val="18"/>
              </w:rPr>
              <w:t>Silver nitrate (AgNO3), solid</w:t>
            </w:r>
          </w:p>
        </w:tc>
        <w:tc>
          <w:tcPr>
            <w:tcW w:type="dxa" w:w="2016"/>
            <w:shd w:val="clear" w:fill="F5E5E5"/>
          </w:tcPr>
          <w:p>
            <w:r/>
            <w:r>
              <w:rPr>
                <w:sz w:val="18"/>
              </w:rPr>
              <w:t>0.17 g</w:t>
            </w:r>
          </w:p>
        </w:tc>
        <w:tc>
          <w:tcPr>
            <w:tcW w:type="dxa" w:w="4752"/>
            <w:shd w:val="clear" w:fill="F5E5E5"/>
          </w:tcPr>
          <w:p>
            <w:r/>
            <w:r>
              <w:rPr>
                <w:sz w:val="18"/>
              </w:rPr>
              <w:t>0.020 mol/L x 0.050 L x 169.87 g/mol = 0.1699 g -&gt; 0.17 g. Dissolve fully in the 20 mL DI water above.</w:t>
            </w:r>
          </w:p>
        </w:tc>
      </w:tr>
      <w:tr>
        <w:tc>
          <w:tcPr>
            <w:tcW w:type="dxa" w:w="3744"/>
          </w:tcPr>
          <w:p>
            <w:r/>
            <w:r>
              <w:rPr>
                <w:sz w:val="18"/>
              </w:rPr>
              <w:t>48-49% HF stock (~28.9 M)</w:t>
            </w:r>
          </w:p>
        </w:tc>
        <w:tc>
          <w:tcPr>
            <w:tcW w:type="dxa" w:w="2016"/>
          </w:tcPr>
          <w:p>
            <w:r/>
            <w:r>
              <w:rPr>
                <w:sz w:val="18"/>
              </w:rPr>
              <w:t>8.3 mL</w:t>
            </w:r>
          </w:p>
        </w:tc>
        <w:tc>
          <w:tcPr>
            <w:tcW w:type="dxa" w:w="4752"/>
          </w:tcPr>
          <w:p>
            <w:r/>
            <w:r>
              <w:rPr>
                <w:sz w:val="18"/>
              </w:rPr>
              <w:t>C1V1=C2V2: (4.8M x 50mL)/28.9M = 8.30 mL</w:t>
            </w:r>
          </w:p>
        </w:tc>
      </w:tr>
      <w:tr>
        <w:tc>
          <w:tcPr>
            <w:tcW w:type="dxa" w:w="3744"/>
            <w:shd w:val="clear" w:fill="F5E5E5"/>
          </w:tcPr>
          <w:p>
            <w:r/>
            <w:r>
              <w:rPr>
                <w:sz w:val="18"/>
              </w:rPr>
              <w:t>DI water, top-up</w:t>
            </w:r>
          </w:p>
        </w:tc>
        <w:tc>
          <w:tcPr>
            <w:tcW w:type="dxa" w:w="2016"/>
            <w:shd w:val="clear" w:fill="F5E5E5"/>
          </w:tcPr>
          <w:p>
            <w:r/>
            <w:r>
              <w:rPr>
                <w:sz w:val="18"/>
              </w:rPr>
              <w:t>~21.7 mL</w:t>
            </w:r>
          </w:p>
        </w:tc>
        <w:tc>
          <w:tcPr>
            <w:tcW w:type="dxa" w:w="4752"/>
            <w:shd w:val="clear" w:fill="F5E5E5"/>
          </w:tcPr>
          <w:p>
            <w:r/>
            <w:r>
              <w:rPr>
                <w:sz w:val="18"/>
              </w:rPr>
              <w:t>To bring total volume to 50 mL</w:t>
            </w:r>
          </w:p>
        </w:tc>
      </w:tr>
      <w:tr>
        <w:tc>
          <w:tcPr>
            <w:tcW w:type="dxa" w:w="3744"/>
          </w:tcPr>
          <w:p>
            <w:r/>
            <w:r>
              <w:rPr>
                <w:sz w:val="18"/>
              </w:rPr>
              <w:t>TOTAL BATH VOLUME</w:t>
            </w:r>
          </w:p>
        </w:tc>
        <w:tc>
          <w:tcPr>
            <w:tcW w:type="dxa" w:w="2016"/>
          </w:tcPr>
          <w:p>
            <w:r/>
            <w:r>
              <w:rPr>
                <w:sz w:val="18"/>
              </w:rPr>
              <w:t>50 mL</w:t>
            </w:r>
          </w:p>
        </w:tc>
        <w:tc>
          <w:tcPr>
            <w:tcW w:type="dxa" w:w="4752"/>
          </w:tcPr>
          <w:p>
            <w:r/>
            <w:r>
              <w:rPr>
                <w:sz w:val="18"/>
              </w:rPr>
              <w:t>4.8 M HF / 20 mM AgNO3</w:t>
            </w:r>
          </w:p>
        </w:tc>
      </w:tr>
    </w:tbl>
    <w:p>
      <w:pPr>
        <w:spacing w:after="40"/>
      </w:pPr>
    </w:p>
    <w:p>
      <w:pPr>
        <w:spacing w:after="120"/>
      </w:pPr>
      <w:r>
        <w:rPr>
          <w:b w:val="0"/>
          <w:i w:val="0"/>
        </w:rPr>
        <w:t>Mixing order: dissolve the AgNO3 in the 20 mL DI water first (in a PP/PTFE dish, protected from bright light — AgNO3 solutions are light-sensitive). Then, in the fume hood, add the 8.3 mL of concentrated HF to this AgNO3 solution (add acid to the solution, not the reverse). Top up to 50 mL total with the remaining DI water. Swirl gently to mix. Use immediately — do not store the prepared bath.</w:t>
      </w:r>
    </w:p>
    <w:p>
      <w:pPr>
        <w:pStyle w:val="Heading2"/>
      </w:pPr>
      <w:r>
        <w:t>B2. Etch</w:t>
      </w:r>
    </w:p>
    <w:tbl>
      <w:tblPr>
        <w:tblStyle w:val="TableGrid"/>
        <w:tblW w:type="auto" w:w="0"/>
        <w:jc w:val="center"/>
        <w:tblLayout w:type="autofit"/>
        <w:tblLook w:firstColumn="1" w:firstRow="1" w:lastColumn="0" w:lastRow="0" w:noHBand="0" w:noVBand="1" w:val="04A0"/>
      </w:tblPr>
      <w:tblGrid>
        <w:gridCol w:w="3250"/>
        <w:gridCol w:w="3250"/>
        <w:gridCol w:w="3250"/>
      </w:tblGrid>
      <w:tr>
        <w:tc>
          <w:tcPr>
            <w:tcW w:type="dxa" w:w="2592"/>
            <w:shd w:val="clear" w:fill="A31F1F"/>
          </w:tcPr>
          <w:p>
            <w:r/>
            <w:r>
              <w:rPr>
                <w:b/>
                <w:color w:val="FFFFFF"/>
                <w:sz w:val="18"/>
              </w:rPr>
              <w:t>Parameter</w:t>
            </w:r>
          </w:p>
        </w:tc>
        <w:tc>
          <w:tcPr>
            <w:tcW w:type="dxa" w:w="4608"/>
            <w:shd w:val="clear" w:fill="A31F1F"/>
          </w:tcPr>
          <w:p>
            <w:r/>
            <w:r>
              <w:rPr>
                <w:b/>
                <w:color w:val="FFFFFF"/>
                <w:sz w:val="18"/>
              </w:rPr>
              <w:t>Pilot Value</w:t>
            </w:r>
          </w:p>
        </w:tc>
        <w:tc>
          <w:tcPr>
            <w:tcW w:type="dxa" w:w="4752"/>
            <w:shd w:val="clear" w:fill="A31F1F"/>
          </w:tcPr>
          <w:p>
            <w:r/>
            <w:r>
              <w:rPr>
                <w:b/>
                <w:color w:val="FFFFFF"/>
                <w:sz w:val="18"/>
              </w:rPr>
              <w:t>Notes</w:t>
            </w:r>
          </w:p>
        </w:tc>
      </w:tr>
      <w:tr>
        <w:tc>
          <w:tcPr>
            <w:tcW w:type="dxa" w:w="2592"/>
          </w:tcPr>
          <w:p>
            <w:r/>
            <w:r>
              <w:rPr>
                <w:sz w:val="18"/>
              </w:rPr>
              <w:t>Temperature</w:t>
            </w:r>
          </w:p>
        </w:tc>
        <w:tc>
          <w:tcPr>
            <w:tcW w:type="dxa" w:w="4608"/>
          </w:tcPr>
          <w:p>
            <w:r/>
            <w:r>
              <w:rPr>
                <w:sz w:val="18"/>
              </w:rPr>
              <w:t>Room temperature (~22-25C)</w:t>
            </w:r>
          </w:p>
        </w:tc>
        <w:tc>
          <w:tcPr>
            <w:tcW w:type="dxa" w:w="4752"/>
          </w:tcPr>
          <w:p>
            <w:r/>
            <w:r>
              <w:rPr>
                <w:sz w:val="18"/>
              </w:rPr>
              <w:t>No heating/cooling needed</w:t>
            </w:r>
          </w:p>
        </w:tc>
      </w:tr>
      <w:tr>
        <w:tc>
          <w:tcPr>
            <w:tcW w:type="dxa" w:w="2592"/>
            <w:shd w:val="clear" w:fill="F5E5E5"/>
          </w:tcPr>
          <w:p>
            <w:r/>
            <w:r>
              <w:rPr>
                <w:sz w:val="18"/>
              </w:rPr>
              <w:t>Immersion time</w:t>
            </w:r>
          </w:p>
        </w:tc>
        <w:tc>
          <w:tcPr>
            <w:tcW w:type="dxa" w:w="4608"/>
            <w:shd w:val="clear" w:fill="F5E5E5"/>
          </w:tcPr>
          <w:p>
            <w:r/>
            <w:r>
              <w:rPr>
                <w:sz w:val="18"/>
              </w:rPr>
              <w:t>10 minutes (start here)</w:t>
            </w:r>
          </w:p>
        </w:tc>
        <w:tc>
          <w:tcPr>
            <w:tcW w:type="dxa" w:w="4752"/>
            <w:shd w:val="clear" w:fill="F5E5E5"/>
          </w:tcPr>
          <w:p>
            <w:r/>
            <w:r>
              <w:rPr>
                <w:sz w:val="18"/>
              </w:rPr>
              <w:t>Range 5-15 min reasonable for a first pilot; shorter (5-10 min) if you want to bias toward smaller/denser Ag particle spacing rather than deep vertical etch, per the interparticle-gap discussion in the companion research</w:t>
            </w:r>
          </w:p>
        </w:tc>
      </w:tr>
      <w:tr>
        <w:tc>
          <w:tcPr>
            <w:tcW w:type="dxa" w:w="2592"/>
          </w:tcPr>
          <w:p>
            <w:r/>
            <w:r>
              <w:rPr>
                <w:sz w:val="18"/>
              </w:rPr>
              <w:t>Agitation</w:t>
            </w:r>
          </w:p>
        </w:tc>
        <w:tc>
          <w:tcPr>
            <w:tcW w:type="dxa" w:w="4608"/>
          </w:tcPr>
          <w:p>
            <w:r/>
            <w:r>
              <w:rPr>
                <w:sz w:val="18"/>
              </w:rPr>
              <w:t>None required (static immersion)</w:t>
            </w:r>
          </w:p>
        </w:tc>
        <w:tc>
          <w:tcPr>
            <w:tcW w:type="dxa" w:w="4752"/>
          </w:tcPr>
          <w:p>
            <w:r/>
            <w:r>
              <w:rPr>
                <w:sz w:val="18"/>
              </w:rPr>
              <w:t>-</w:t>
            </w:r>
          </w:p>
        </w:tc>
      </w:tr>
    </w:tbl>
    <w:p>
      <w:pPr>
        <w:spacing w:after="40"/>
      </w:pPr>
    </w:p>
    <w:p>
      <w:pPr>
        <w:pStyle w:val="Heading2"/>
      </w:pPr>
      <w:r>
        <w:t>B3. Rinse and Dry</w:t>
      </w:r>
    </w:p>
    <w:p>
      <w:pPr>
        <w:pStyle w:val="ListBullet"/>
        <w:spacing w:after="60"/>
      </w:pPr>
      <w:r>
        <w:t>Remove the substrate with PTFE-tipped tweezers.</w:t>
      </w:r>
    </w:p>
    <w:p>
      <w:pPr>
        <w:pStyle w:val="ListBullet"/>
        <w:spacing w:after="60"/>
      </w:pPr>
      <w:r>
        <w:t>DI water rinse: 3 changes, ~30 sec gentle swirl each, to remove residual HF/AgNO3.</w:t>
      </w:r>
    </w:p>
    <w:p>
      <w:pPr>
        <w:pStyle w:val="ListBullet"/>
        <w:spacing w:after="60"/>
      </w:pPr>
      <w:r>
        <w:t>Dry under a gentle N2 stream (directional, not ambient air-dry — reduces coffee-ring-type redistribution of any residual solution and dries faster/more evenly).</w:t>
      </w:r>
    </w:p>
    <w:p>
      <w:pPr>
        <w:pStyle w:val="ListBullet"/>
        <w:spacing w:after="60"/>
      </w:pPr>
      <w:r>
        <w:t>Inspect visually (the surface should appear visibly darkened/matte — "black silicon" — compared to the shiny starting wafer). If it does not look visibly darker, note this in the batch log (Section 10); it may indicate the etch bath concentration or time needs adjustment.</w:t>
      </w:r>
    </w:p>
    <w:p>
      <w:pPr>
        <w:pStyle w:val="Heading1"/>
      </w:pPr>
      <w:r>
        <w:t>7. Stage C — NAM Capture Chemistry and Sample Deposition</w:t>
      </w:r>
    </w:p>
    <w:p>
      <w:pPr>
        <w:pStyle w:val="Heading2"/>
      </w:pPr>
      <w:r>
        <w:t>C0. Boronic-Acid Functionalization (RECOMMENDED — the companion research reports identify this as the most likely fix for NAM detection; run in parallel with a bare-Ag control, do not skip the control)</w:t>
      </w:r>
    </w:p>
    <w:tbl>
      <w:tblPr>
        <w:tblStyle w:val="TableGrid"/>
        <w:tblW w:type="auto" w:w="0"/>
        <w:jc w:val="center"/>
        <w:tblLayout w:type="autofit"/>
        <w:tblLook w:firstColumn="1" w:firstRow="1" w:lastColumn="0" w:lastRow="0" w:noHBand="0" w:noVBand="1" w:val="04A0"/>
      </w:tblPr>
      <w:tblGrid>
        <w:gridCol w:w="3250"/>
        <w:gridCol w:w="3250"/>
        <w:gridCol w:w="3250"/>
      </w:tblGrid>
      <w:tr>
        <w:tc>
          <w:tcPr>
            <w:tcW w:type="dxa" w:w="4320"/>
            <w:shd w:val="clear" w:fill="A31F1F"/>
          </w:tcPr>
          <w:p>
            <w:r/>
            <w:r>
              <w:rPr>
                <w:b/>
                <w:color w:val="FFFFFF"/>
                <w:sz w:val="18"/>
              </w:rPr>
              <w:t>Component</w:t>
            </w:r>
          </w:p>
        </w:tc>
        <w:tc>
          <w:tcPr>
            <w:tcW w:type="dxa" w:w="2592"/>
            <w:shd w:val="clear" w:fill="A31F1F"/>
          </w:tcPr>
          <w:p>
            <w:r/>
            <w:r>
              <w:rPr>
                <w:b/>
                <w:color w:val="FFFFFF"/>
                <w:sz w:val="18"/>
              </w:rPr>
              <w:t>Amount</w:t>
            </w:r>
          </w:p>
        </w:tc>
        <w:tc>
          <w:tcPr>
            <w:tcW w:type="dxa" w:w="4608"/>
            <w:shd w:val="clear" w:fill="A31F1F"/>
          </w:tcPr>
          <w:p>
            <w:r/>
            <w:r>
              <w:rPr>
                <w:b/>
                <w:color w:val="FFFFFF"/>
                <w:sz w:val="18"/>
              </w:rPr>
              <w:t>Calculation</w:t>
            </w:r>
          </w:p>
        </w:tc>
      </w:tr>
      <w:tr>
        <w:tc>
          <w:tcPr>
            <w:tcW w:type="dxa" w:w="4320"/>
          </w:tcPr>
          <w:p>
            <w:r/>
            <w:r>
              <w:rPr>
                <w:sz w:val="18"/>
              </w:rPr>
              <w:t>MPBA (4-mercaptophenylboronic acid)</w:t>
            </w:r>
          </w:p>
        </w:tc>
        <w:tc>
          <w:tcPr>
            <w:tcW w:type="dxa" w:w="2592"/>
          </w:tcPr>
          <w:p>
            <w:r/>
            <w:r>
              <w:rPr>
                <w:sz w:val="18"/>
              </w:rPr>
              <w:t>~2 mg</w:t>
            </w:r>
          </w:p>
        </w:tc>
        <w:tc>
          <w:tcPr>
            <w:tcW w:type="dxa" w:w="4608"/>
          </w:tcPr>
          <w:p>
            <w:r/>
            <w:r>
              <w:rPr>
                <w:sz w:val="18"/>
              </w:rPr>
              <w:t>For a 1 mM solution in 10 mL ethanol: 0.001 mol/L x 0.010 L x 168.0 g/mol = 1.68 mg -&gt; use ~2 mg</w:t>
            </w:r>
          </w:p>
        </w:tc>
      </w:tr>
      <w:tr>
        <w:tc>
          <w:tcPr>
            <w:tcW w:type="dxa" w:w="4320"/>
            <w:shd w:val="clear" w:fill="F5E5E5"/>
          </w:tcPr>
          <w:p>
            <w:r/>
            <w:r>
              <w:rPr>
                <w:sz w:val="18"/>
              </w:rPr>
              <w:t>Absolute ethanol</w:t>
            </w:r>
          </w:p>
        </w:tc>
        <w:tc>
          <w:tcPr>
            <w:tcW w:type="dxa" w:w="2592"/>
            <w:shd w:val="clear" w:fill="F5E5E5"/>
          </w:tcPr>
          <w:p>
            <w:r/>
            <w:r>
              <w:rPr>
                <w:sz w:val="18"/>
              </w:rPr>
              <w:t>10 mL</w:t>
            </w:r>
          </w:p>
        </w:tc>
        <w:tc>
          <w:tcPr>
            <w:tcW w:type="dxa" w:w="4608"/>
            <w:shd w:val="clear" w:fill="F5E5E5"/>
          </w:tcPr>
          <w:p>
            <w:r/>
            <w:r>
              <w:rPr>
                <w:sz w:val="18"/>
              </w:rPr>
              <w:t>Solvent for MPBA SAM formation</w:t>
            </w:r>
          </w:p>
        </w:tc>
      </w:tr>
    </w:tbl>
    <w:p>
      <w:pPr>
        <w:spacing w:after="40"/>
      </w:pPr>
    </w:p>
    <w:p>
      <w:pPr>
        <w:pStyle w:val="ListBullet"/>
        <w:spacing w:after="60"/>
      </w:pPr>
      <w:r>
        <w:t>Dissolve the MPBA in ethanol to make a 1 mM solution.</w:t>
      </w:r>
    </w:p>
    <w:p>
      <w:pPr>
        <w:pStyle w:val="ListBullet"/>
        <w:spacing w:after="60"/>
      </w:pPr>
      <w:r>
        <w:t>Immerse the freshly-etched (Stage B) substrate in this solution for 12-24 hours at room temperature, covered, to allow self-assembled monolayer formation via the thiol-Ag bond.</w:t>
      </w:r>
    </w:p>
    <w:p>
      <w:pPr>
        <w:pStyle w:val="ListBullet"/>
        <w:spacing w:after="60"/>
      </w:pPr>
      <w:r>
        <w:t>Rinse with ethanol (~10 mL, brief dip) to remove unbound MPBA, then DI water.</w:t>
      </w:r>
    </w:p>
    <w:p>
      <w:pPr>
        <w:pStyle w:val="ListBullet"/>
        <w:spacing w:after="60"/>
      </w:pPr>
      <w:r>
        <w:t>N2 dry.</w:t>
      </w:r>
    </w:p>
    <w:p>
      <w:pPr>
        <w:pStyle w:val="ListBullet"/>
        <w:spacing w:after="60"/>
      </w:pPr>
      <w:r>
        <w:t>pH note: the literature flags that MPBA-on-Ag is sensitive to hydroxide/anhydride side reactions at high pH — keep this functionalization step and all subsequent NAM incubation steps at a controlled, recorded pH (start at neutral, pH ~7, for the first pilot) rather than an uncontrolled/unrecorded pH.</w:t>
      </w:r>
    </w:p>
    <w:p>
      <w:pPr>
        <w:pStyle w:val="Heading2"/>
      </w:pPr>
      <w:r>
        <w:t>C1. NAM Stock Solution</w:t>
      </w:r>
    </w:p>
    <w:tbl>
      <w:tblPr>
        <w:tblStyle w:val="TableGrid"/>
        <w:tblW w:type="auto" w:w="0"/>
        <w:jc w:val="center"/>
        <w:tblLayout w:type="autofit"/>
        <w:tblLook w:firstColumn="1" w:firstRow="1" w:lastColumn="0" w:lastRow="0" w:noHBand="0" w:noVBand="1" w:val="04A0"/>
      </w:tblPr>
      <w:tblGrid>
        <w:gridCol w:w="3250"/>
        <w:gridCol w:w="3250"/>
        <w:gridCol w:w="3250"/>
      </w:tblGrid>
      <w:tr>
        <w:tc>
          <w:tcPr>
            <w:tcW w:type="dxa" w:w="4032"/>
            <w:shd w:val="clear" w:fill="A31F1F"/>
          </w:tcPr>
          <w:p>
            <w:r/>
            <w:r>
              <w:rPr>
                <w:b/>
                <w:color w:val="FFFFFF"/>
                <w:sz w:val="18"/>
              </w:rPr>
              <w:t>Component</w:t>
            </w:r>
          </w:p>
        </w:tc>
        <w:tc>
          <w:tcPr>
            <w:tcW w:type="dxa" w:w="2304"/>
            <w:shd w:val="clear" w:fill="A31F1F"/>
          </w:tcPr>
          <w:p>
            <w:r/>
            <w:r>
              <w:rPr>
                <w:b/>
                <w:color w:val="FFFFFF"/>
                <w:sz w:val="18"/>
              </w:rPr>
              <w:t>Amount</w:t>
            </w:r>
          </w:p>
        </w:tc>
        <w:tc>
          <w:tcPr>
            <w:tcW w:type="dxa" w:w="5184"/>
            <w:shd w:val="clear" w:fill="A31F1F"/>
          </w:tcPr>
          <w:p>
            <w:r/>
            <w:r>
              <w:rPr>
                <w:b/>
                <w:color w:val="FFFFFF"/>
                <w:sz w:val="18"/>
              </w:rPr>
              <w:t>Calculation</w:t>
            </w:r>
          </w:p>
        </w:tc>
      </w:tr>
      <w:tr>
        <w:tc>
          <w:tcPr>
            <w:tcW w:type="dxa" w:w="4032"/>
          </w:tcPr>
          <w:p>
            <w:r/>
            <w:r>
              <w:rPr>
                <w:sz w:val="18"/>
              </w:rPr>
              <w:t>NAM (N-acetylmuramic acid)</w:t>
            </w:r>
          </w:p>
        </w:tc>
        <w:tc>
          <w:tcPr>
            <w:tcW w:type="dxa" w:w="2304"/>
          </w:tcPr>
          <w:p>
            <w:r/>
            <w:r>
              <w:rPr>
                <w:sz w:val="18"/>
              </w:rPr>
              <w:t>~14 mg</w:t>
            </w:r>
          </w:p>
        </w:tc>
        <w:tc>
          <w:tcPr>
            <w:tcW w:type="dxa" w:w="5184"/>
          </w:tcPr>
          <w:p>
            <w:r/>
            <w:r>
              <w:rPr>
                <w:sz w:val="18"/>
              </w:rPr>
              <w:t>For a 5 mM solution in 10 mL: 0.005 mol/L x 0.010 L x 275.25 g/mol = 13.76 mg -&gt; ~14 mg. VERIFY the exact molar mass against your reagent's certificate of analysis — salt/hydrate forms shift this number.</w:t>
            </w:r>
          </w:p>
        </w:tc>
      </w:tr>
      <w:tr>
        <w:tc>
          <w:tcPr>
            <w:tcW w:type="dxa" w:w="4032"/>
            <w:shd w:val="clear" w:fill="F5E5E5"/>
          </w:tcPr>
          <w:p>
            <w:r/>
            <w:r>
              <w:rPr>
                <w:sz w:val="18"/>
              </w:rPr>
              <w:t>DI water (or pH 7 buffer)</w:t>
            </w:r>
          </w:p>
        </w:tc>
        <w:tc>
          <w:tcPr>
            <w:tcW w:type="dxa" w:w="2304"/>
            <w:shd w:val="clear" w:fill="F5E5E5"/>
          </w:tcPr>
          <w:p>
            <w:r/>
            <w:r>
              <w:rPr>
                <w:sz w:val="18"/>
              </w:rPr>
              <w:t>10 mL</w:t>
            </w:r>
          </w:p>
        </w:tc>
        <w:tc>
          <w:tcPr>
            <w:tcW w:type="dxa" w:w="5184"/>
            <w:shd w:val="clear" w:fill="F5E5E5"/>
          </w:tcPr>
          <w:p>
            <w:r/>
            <w:r>
              <w:rPr>
                <w:sz w:val="18"/>
              </w:rPr>
              <w:t>Prepare fresh; do not store long-term</w:t>
            </w:r>
          </w:p>
        </w:tc>
      </w:tr>
    </w:tbl>
    <w:p>
      <w:pPr>
        <w:spacing w:after="40"/>
      </w:pPr>
    </w:p>
    <w:p>
      <w:pPr>
        <w:spacing w:after="120"/>
      </w:pPr>
      <w:r>
        <w:rPr>
          <w:b w:val="0"/>
          <w:i w:val="0"/>
        </w:rPr>
        <w:t>This 5 mM concentration is a high-end "prove the concept works at all" starting point per the companion DOE report's concentration strategy — the goal of this first pilot is to get ANY positive, control-verified signal, not yet to establish a limit of detection. Once a positive condition is found, a serial dilution series (10-fold steps) toward more clinically relevant concentrations is the next stage, not this one.</w:t>
      </w:r>
    </w:p>
    <w:p>
      <w:pPr>
        <w:pStyle w:val="Heading2"/>
      </w:pPr>
      <w:r>
        <w:t>C2-C5. Deposition, Incubation, Wash, Dry</w:t>
      </w:r>
    </w:p>
    <w:tbl>
      <w:tblPr>
        <w:tblStyle w:val="TableGrid"/>
        <w:tblW w:type="auto" w:w="0"/>
        <w:jc w:val="center"/>
        <w:tblLayout w:type="autofit"/>
        <w:tblLook w:firstColumn="1" w:firstRow="1" w:lastColumn="0" w:lastRow="0" w:noHBand="0" w:noVBand="1" w:val="04A0"/>
      </w:tblPr>
      <w:tblGrid>
        <w:gridCol w:w="3250"/>
        <w:gridCol w:w="3250"/>
        <w:gridCol w:w="3250"/>
      </w:tblGrid>
      <w:tr>
        <w:tc>
          <w:tcPr>
            <w:tcW w:type="dxa" w:w="1008"/>
            <w:shd w:val="clear" w:fill="A31F1F"/>
          </w:tcPr>
          <w:p>
            <w:r/>
            <w:r>
              <w:rPr>
                <w:b/>
                <w:color w:val="FFFFFF"/>
                <w:sz w:val="18"/>
              </w:rPr>
              <w:t>Step</w:t>
            </w:r>
          </w:p>
        </w:tc>
        <w:tc>
          <w:tcPr>
            <w:tcW w:type="dxa" w:w="5904"/>
            <w:shd w:val="clear" w:fill="A31F1F"/>
          </w:tcPr>
          <w:p>
            <w:r/>
            <w:r>
              <w:rPr>
                <w:b/>
                <w:color w:val="FFFFFF"/>
                <w:sz w:val="18"/>
              </w:rPr>
              <w:t>Action</w:t>
            </w:r>
          </w:p>
        </w:tc>
        <w:tc>
          <w:tcPr>
            <w:tcW w:type="dxa" w:w="4608"/>
            <w:shd w:val="clear" w:fill="A31F1F"/>
          </w:tcPr>
          <w:p>
            <w:r/>
            <w:r>
              <w:rPr>
                <w:b/>
                <w:color w:val="FFFFFF"/>
                <w:sz w:val="18"/>
              </w:rPr>
              <w:t>Notes</w:t>
            </w:r>
          </w:p>
        </w:tc>
      </w:tr>
      <w:tr>
        <w:tc>
          <w:tcPr>
            <w:tcW w:type="dxa" w:w="1008"/>
          </w:tcPr>
          <w:p>
            <w:r/>
            <w:r>
              <w:rPr>
                <w:sz w:val="18"/>
              </w:rPr>
              <w:t>C2</w:t>
            </w:r>
          </w:p>
        </w:tc>
        <w:tc>
          <w:tcPr>
            <w:tcW w:type="dxa" w:w="5904"/>
          </w:tcPr>
          <w:p>
            <w:r/>
            <w:r>
              <w:rPr>
                <w:sz w:val="18"/>
              </w:rPr>
              <w:t>Drop-cast 10 uL of the NAM stock solution onto the substrate surface (functionalized or bare-Ag, per your control set)</w:t>
            </w:r>
          </w:p>
        </w:tc>
        <w:tc>
          <w:tcPr>
            <w:tcW w:type="dxa" w:w="4608"/>
          </w:tcPr>
          <w:p>
            <w:r/>
            <w:r>
              <w:rPr>
                <w:sz w:val="18"/>
              </w:rPr>
              <w:t>Use a calibrated micropipette; place the drop centrally on the SERS-active area</w:t>
            </w:r>
          </w:p>
        </w:tc>
      </w:tr>
      <w:tr>
        <w:tc>
          <w:tcPr>
            <w:tcW w:type="dxa" w:w="1008"/>
            <w:shd w:val="clear" w:fill="F5E5E5"/>
          </w:tcPr>
          <w:p>
            <w:r/>
            <w:r>
              <w:rPr>
                <w:sz w:val="18"/>
              </w:rPr>
              <w:t>C3</w:t>
            </w:r>
          </w:p>
        </w:tc>
        <w:tc>
          <w:tcPr>
            <w:tcW w:type="dxa" w:w="5904"/>
            <w:shd w:val="clear" w:fill="F5E5E5"/>
          </w:tcPr>
          <w:p>
            <w:r/>
            <w:r>
              <w:rPr>
                <w:sz w:val="18"/>
              </w:rPr>
              <w:t>Incubate 30 minutes at room temperature, covered (petri dish) to prevent evaporation</w:t>
            </w:r>
          </w:p>
        </w:tc>
        <w:tc>
          <w:tcPr>
            <w:tcW w:type="dxa" w:w="4608"/>
            <w:shd w:val="clear" w:fill="F5E5E5"/>
          </w:tcPr>
          <w:p>
            <w:r/>
            <w:r>
              <w:rPr>
                <w:sz w:val="18"/>
              </w:rPr>
              <w:t>This is a starting default — the companion DOE report recommends a proper time-course (5/15/30/60/120 min) once you have a working condition to optimize</w:t>
            </w:r>
          </w:p>
        </w:tc>
      </w:tr>
      <w:tr>
        <w:tc>
          <w:tcPr>
            <w:tcW w:type="dxa" w:w="1008"/>
          </w:tcPr>
          <w:p>
            <w:r/>
            <w:r>
              <w:rPr>
                <w:sz w:val="18"/>
              </w:rPr>
              <w:t>C4</w:t>
            </w:r>
          </w:p>
        </w:tc>
        <w:tc>
          <w:tcPr>
            <w:tcW w:type="dxa" w:w="5904"/>
          </w:tcPr>
          <w:p>
            <w:r/>
            <w:r>
              <w:rPr>
                <w:sz w:val="18"/>
              </w:rPr>
              <w:t>OPTIONAL gentle wash: dip in DI water 5-10 sec</w:t>
            </w:r>
          </w:p>
        </w:tc>
        <w:tc>
          <w:tcPr>
            <w:tcW w:type="dxa" w:w="4608"/>
          </w:tcPr>
          <w:p>
            <w:r/>
            <w:r>
              <w:rPr>
                <w:sz w:val="18"/>
              </w:rPr>
              <w:t>Run one substrate washed and one unwashed for comparison — washing removes unbound analyte but may also remove weakly-bound NAM; both conditions are informative</w:t>
            </w:r>
          </w:p>
        </w:tc>
      </w:tr>
      <w:tr>
        <w:tc>
          <w:tcPr>
            <w:tcW w:type="dxa" w:w="1008"/>
            <w:shd w:val="clear" w:fill="F5E5E5"/>
          </w:tcPr>
          <w:p>
            <w:r/>
            <w:r>
              <w:rPr>
                <w:sz w:val="18"/>
              </w:rPr>
              <w:t>C5</w:t>
            </w:r>
          </w:p>
        </w:tc>
        <w:tc>
          <w:tcPr>
            <w:tcW w:type="dxa" w:w="5904"/>
            <w:shd w:val="clear" w:fill="F5E5E5"/>
          </w:tcPr>
          <w:p>
            <w:r/>
            <w:r>
              <w:rPr>
                <w:sz w:val="18"/>
              </w:rPr>
              <w:t>Dry under N2 stream</w:t>
            </w:r>
          </w:p>
        </w:tc>
        <w:tc>
          <w:tcPr>
            <w:tcW w:type="dxa" w:w="4608"/>
            <w:shd w:val="clear" w:fill="F5E5E5"/>
          </w:tcPr>
          <w:p>
            <w:r/>
            <w:r>
              <w:rPr>
                <w:sz w:val="18"/>
              </w:rPr>
              <w:t>Directional N2 dry is preferred over ambient air-dry to minimize uncontrolled coffee-ring redistribution</w:t>
            </w:r>
          </w:p>
        </w:tc>
      </w:tr>
    </w:tbl>
    <w:p>
      <w:pPr>
        <w:spacing w:after="40"/>
      </w:pPr>
    </w:p>
    <w:p>
      <w:r>
        <w:br w:type="page"/>
      </w:r>
    </w:p>
    <w:p>
      <w:pPr>
        <w:pStyle w:val="Heading1"/>
      </w:pPr>
      <w:r>
        <w:t>8. Stage D — Raman/SERS Measurement</w:t>
      </w:r>
    </w:p>
    <w:tbl>
      <w:tblPr>
        <w:tblStyle w:val="TableGrid"/>
        <w:tblW w:type="auto" w:w="0"/>
        <w:jc w:val="center"/>
        <w:tblLayout w:type="autofit"/>
        <w:tblLook w:firstColumn="1" w:firstRow="1" w:lastColumn="0" w:lastRow="0" w:noHBand="0" w:noVBand="1" w:val="04A0"/>
      </w:tblPr>
      <w:tblGrid>
        <w:gridCol w:w="3250"/>
        <w:gridCol w:w="3250"/>
        <w:gridCol w:w="3250"/>
      </w:tblGrid>
      <w:tr>
        <w:tc>
          <w:tcPr>
            <w:tcW w:type="dxa" w:w="2448"/>
            <w:shd w:val="clear" w:fill="A31F1F"/>
          </w:tcPr>
          <w:p>
            <w:r/>
            <w:r>
              <w:rPr>
                <w:b/>
                <w:color w:val="FFFFFF"/>
                <w:sz w:val="18"/>
              </w:rPr>
              <w:t>Parameter</w:t>
            </w:r>
          </w:p>
        </w:tc>
        <w:tc>
          <w:tcPr>
            <w:tcW w:type="dxa" w:w="4608"/>
            <w:shd w:val="clear" w:fill="A31F1F"/>
          </w:tcPr>
          <w:p>
            <w:r/>
            <w:r>
              <w:rPr>
                <w:b/>
                <w:color w:val="FFFFFF"/>
                <w:sz w:val="18"/>
              </w:rPr>
              <w:t>Starting Value</w:t>
            </w:r>
          </w:p>
        </w:tc>
        <w:tc>
          <w:tcPr>
            <w:tcW w:type="dxa" w:w="4752"/>
            <w:shd w:val="clear" w:fill="A31F1F"/>
          </w:tcPr>
          <w:p>
            <w:r/>
            <w:r>
              <w:rPr>
                <w:b/>
                <w:color w:val="FFFFFF"/>
                <w:sz w:val="18"/>
              </w:rPr>
              <w:t>Notes</w:t>
            </w:r>
          </w:p>
        </w:tc>
      </w:tr>
      <w:tr>
        <w:tc>
          <w:tcPr>
            <w:tcW w:type="dxa" w:w="2448"/>
          </w:tcPr>
          <w:p>
            <w:r/>
            <w:r>
              <w:rPr>
                <w:sz w:val="18"/>
              </w:rPr>
              <w:t>Laser wavelength</w:t>
            </w:r>
          </w:p>
        </w:tc>
        <w:tc>
          <w:tcPr>
            <w:tcW w:type="dxa" w:w="4608"/>
          </w:tcPr>
          <w:p>
            <w:r/>
            <w:r>
              <w:rPr>
                <w:sz w:val="18"/>
              </w:rPr>
              <w:t>785 nm</w:t>
            </w:r>
          </w:p>
        </w:tc>
        <w:tc>
          <w:tcPr>
            <w:tcW w:type="dxa" w:w="4752"/>
          </w:tcPr>
          <w:p>
            <w:r/>
            <w:r>
              <w:rPr>
                <w:sz w:val="18"/>
              </w:rPr>
              <w:t>Keep consistent with your existing R6G-validated setup</w:t>
            </w:r>
          </w:p>
        </w:tc>
      </w:tr>
      <w:tr>
        <w:tc>
          <w:tcPr>
            <w:tcW w:type="dxa" w:w="2448"/>
            <w:shd w:val="clear" w:fill="F5E5E5"/>
          </w:tcPr>
          <w:p>
            <w:r/>
            <w:r>
              <w:rPr>
                <w:sz w:val="18"/>
              </w:rPr>
              <w:t>Laser power at sample</w:t>
            </w:r>
          </w:p>
        </w:tc>
        <w:tc>
          <w:tcPr>
            <w:tcW w:type="dxa" w:w="4608"/>
            <w:shd w:val="clear" w:fill="F5E5E5"/>
          </w:tcPr>
          <w:p>
            <w:r/>
            <w:r>
              <w:rPr>
                <w:sz w:val="18"/>
              </w:rPr>
              <w:t>Start at the lowest usable setting (e.g. ~5-10% of max)</w:t>
            </w:r>
          </w:p>
        </w:tc>
        <w:tc>
          <w:tcPr>
            <w:tcW w:type="dxa" w:w="4752"/>
            <w:shd w:val="clear" w:fill="F5E5E5"/>
          </w:tcPr>
          <w:p>
            <w:r/>
            <w:r>
              <w:rPr>
                <w:sz w:val="18"/>
              </w:rPr>
              <w:t>Increase incrementally only if signal is inadequate; watch for visible photodamage or burning on the substrate, which is a hard stop</w:t>
            </w:r>
          </w:p>
        </w:tc>
      </w:tr>
      <w:tr>
        <w:tc>
          <w:tcPr>
            <w:tcW w:type="dxa" w:w="2448"/>
          </w:tcPr>
          <w:p>
            <w:r/>
            <w:r>
              <w:rPr>
                <w:sz w:val="18"/>
              </w:rPr>
              <w:t>Integration time</w:t>
            </w:r>
          </w:p>
        </w:tc>
        <w:tc>
          <w:tcPr>
            <w:tcW w:type="dxa" w:w="4608"/>
          </w:tcPr>
          <w:p>
            <w:r/>
            <w:r>
              <w:rPr>
                <w:sz w:val="18"/>
              </w:rPr>
              <w:t>10 sec x 3 accumulations (start here)</w:t>
            </w:r>
          </w:p>
        </w:tc>
        <w:tc>
          <w:tcPr>
            <w:tcW w:type="dxa" w:w="4752"/>
          </w:tcPr>
          <w:p>
            <w:r/>
            <w:r>
              <w:rPr>
                <w:sz w:val="18"/>
              </w:rPr>
              <w:t>Increase if signal-to-noise is poor; NAM's signal is expected to be weak</w:t>
            </w:r>
          </w:p>
        </w:tc>
      </w:tr>
      <w:tr>
        <w:tc>
          <w:tcPr>
            <w:tcW w:type="dxa" w:w="2448"/>
            <w:shd w:val="clear" w:fill="F5E5E5"/>
          </w:tcPr>
          <w:p>
            <w:r/>
            <w:r>
              <w:rPr>
                <w:sz w:val="18"/>
              </w:rPr>
              <w:t>Acquisition mode</w:t>
            </w:r>
          </w:p>
        </w:tc>
        <w:tc>
          <w:tcPr>
            <w:tcW w:type="dxa" w:w="4608"/>
            <w:shd w:val="clear" w:fill="F5E5E5"/>
          </w:tcPr>
          <w:p>
            <w:r/>
            <w:r>
              <w:rPr>
                <w:sz w:val="18"/>
              </w:rPr>
              <w:t>Multi-point grid map, not a single spectrum</w:t>
            </w:r>
          </w:p>
        </w:tc>
        <w:tc>
          <w:tcPr>
            <w:tcW w:type="dxa" w:w="4752"/>
            <w:shd w:val="clear" w:fill="F5E5E5"/>
          </w:tcPr>
          <w:p>
            <w:r/>
            <w:r>
              <w:rPr>
                <w:sz w:val="18"/>
              </w:rPr>
              <w:t>10x10 grid minimum across the drop-cast area — SERS hotspot density is non-uniform, and a single point is not representative</w:t>
            </w:r>
          </w:p>
        </w:tc>
      </w:tr>
      <w:tr>
        <w:tc>
          <w:tcPr>
            <w:tcW w:type="dxa" w:w="2448"/>
          </w:tcPr>
          <w:p>
            <w:r/>
            <w:r>
              <w:rPr>
                <w:sz w:val="18"/>
              </w:rPr>
              <w:t>Spectral range</w:t>
            </w:r>
          </w:p>
        </w:tc>
        <w:tc>
          <w:tcPr>
            <w:tcW w:type="dxa" w:w="4608"/>
          </w:tcPr>
          <w:p>
            <w:r/>
            <w:r>
              <w:rPr>
                <w:sz w:val="18"/>
              </w:rPr>
              <w:t>Cover at least 400-1800 cm-1</w:t>
            </w:r>
          </w:p>
        </w:tc>
        <w:tc>
          <w:tcPr>
            <w:tcW w:type="dxa" w:w="4752"/>
          </w:tcPr>
          <w:p>
            <w:r/>
            <w:r>
              <w:rPr>
                <w:sz w:val="18"/>
              </w:rPr>
              <w:t>Include the low-wavenumber region where glycosidic ring modes are expected, and the Si 520-521 cm-1 band for use as an internal reference/alignment check</w:t>
            </w:r>
          </w:p>
        </w:tc>
      </w:tr>
    </w:tbl>
    <w:p>
      <w:pPr>
        <w:spacing w:after="40"/>
      </w:pPr>
    </w:p>
    <w:p>
      <w:pPr>
        <w:pStyle w:val="Heading1"/>
      </w:pPr>
      <w:r>
        <w:t>9. Controls to Run Every Session</w:t>
      </w:r>
    </w:p>
    <w:p>
      <w:pPr>
        <w:spacing w:after="120"/>
      </w:pPr>
      <w:r>
        <w:rPr>
          <w:b w:val="0"/>
          <w:i w:val="0"/>
        </w:rPr>
        <w:t>Run these alongside your test condition(s) in the same session, on substrates from the same fabrication batch, so a negative result can be correctly attributed.</w:t>
      </w:r>
    </w:p>
    <w:tbl>
      <w:tblPr>
        <w:tblStyle w:val="TableGrid"/>
        <w:tblW w:type="auto" w:w="0"/>
        <w:jc w:val="center"/>
        <w:tblLayout w:type="autofit"/>
        <w:tblLook w:firstColumn="1" w:firstRow="1" w:lastColumn="0" w:lastRow="0" w:noHBand="0" w:noVBand="1" w:val="04A0"/>
      </w:tblPr>
      <w:tblGrid>
        <w:gridCol w:w="4874"/>
        <w:gridCol w:w="4874"/>
      </w:tblGrid>
      <w:tr>
        <w:tc>
          <w:tcPr>
            <w:tcW w:type="dxa" w:w="4320"/>
            <w:shd w:val="clear" w:fill="A31F1F"/>
          </w:tcPr>
          <w:p>
            <w:r/>
            <w:r>
              <w:rPr>
                <w:b/>
                <w:color w:val="FFFFFF"/>
                <w:sz w:val="18"/>
              </w:rPr>
              <w:t>Control</w:t>
            </w:r>
          </w:p>
        </w:tc>
        <w:tc>
          <w:tcPr>
            <w:tcW w:type="dxa" w:w="7056"/>
            <w:shd w:val="clear" w:fill="A31F1F"/>
          </w:tcPr>
          <w:p>
            <w:r/>
            <w:r>
              <w:rPr>
                <w:b/>
                <w:color w:val="FFFFFF"/>
                <w:sz w:val="18"/>
              </w:rPr>
              <w:t>Purpose</w:t>
            </w:r>
          </w:p>
        </w:tc>
      </w:tr>
      <w:tr>
        <w:tc>
          <w:tcPr>
            <w:tcW w:type="dxa" w:w="4320"/>
          </w:tcPr>
          <w:p>
            <w:r/>
            <w:r>
              <w:rPr>
                <w:sz w:val="18"/>
              </w:rPr>
              <w:t>Blank: functionalized substrate + solvent only, no NAM</w:t>
            </w:r>
          </w:p>
        </w:tc>
        <w:tc>
          <w:tcPr>
            <w:tcW w:type="dxa" w:w="7056"/>
          </w:tcPr>
          <w:p>
            <w:r/>
            <w:r>
              <w:rPr>
                <w:sz w:val="18"/>
              </w:rPr>
              <w:t>Establishes the baseline/background spectrum; rules out the MPBA layer itself producing bands that could be mistaken for NAM signal</w:t>
            </w:r>
          </w:p>
        </w:tc>
      </w:tr>
      <w:tr>
        <w:tc>
          <w:tcPr>
            <w:tcW w:type="dxa" w:w="4320"/>
            <w:shd w:val="clear" w:fill="F5E5E5"/>
          </w:tcPr>
          <w:p>
            <w:r/>
            <w:r>
              <w:rPr>
                <w:sz w:val="18"/>
              </w:rPr>
              <w:t>Positive instrument control: R6G on a substrate from the same fabrication batch</w:t>
            </w:r>
          </w:p>
        </w:tc>
        <w:tc>
          <w:tcPr>
            <w:tcW w:type="dxa" w:w="7056"/>
            <w:shd w:val="clear" w:fill="F5E5E5"/>
          </w:tcPr>
          <w:p>
            <w:r/>
            <w:r>
              <w:rPr>
                <w:sz w:val="18"/>
              </w:rPr>
              <w:t>Confirms this specific batch's SERS activity is intact — separates a batch-fabrication problem from a NAM-chemistry problem if the NAM condition shows no signal</w:t>
            </w:r>
          </w:p>
        </w:tc>
      </w:tr>
      <w:tr>
        <w:tc>
          <w:tcPr>
            <w:tcW w:type="dxa" w:w="4320"/>
          </w:tcPr>
          <w:p>
            <w:r/>
            <w:r>
              <w:rPr>
                <w:sz w:val="18"/>
              </w:rPr>
              <w:t>Bare-Ag + NAM (no MPBA)</w:t>
            </w:r>
          </w:p>
        </w:tc>
        <w:tc>
          <w:tcPr>
            <w:tcW w:type="dxa" w:w="7056"/>
          </w:tcPr>
          <w:p>
            <w:r/>
            <w:r>
              <w:rPr>
                <w:sz w:val="18"/>
              </w:rPr>
              <w:t>Reproduces the project's previously-observed failing condition; the reference every functionalized condition must beat to count as a genuine improvement</w:t>
            </w:r>
          </w:p>
        </w:tc>
      </w:tr>
    </w:tbl>
    <w:p>
      <w:pPr>
        <w:spacing w:after="40"/>
      </w:pPr>
    </w:p>
    <w:p>
      <w:r>
        <w:br w:type="page"/>
      </w:r>
    </w:p>
    <w:p>
      <w:pPr>
        <w:pStyle w:val="Heading1"/>
      </w:pPr>
      <w:r>
        <w:t>10. Batch Record Log (fill in during the run)</w:t>
      </w:r>
    </w:p>
    <w:p>
      <w:pPr>
        <w:spacing w:after="120"/>
      </w:pPr>
      <w:r>
        <w:rPr>
          <w:b w:val="0"/>
          <w:i w:val="0"/>
        </w:rPr>
        <w:t>Photocopy or duplicate this page for each batch. Recording the ACTUAL values used (not just the plan) is what makes a negative result diagnostically useful later.</w:t>
      </w:r>
    </w:p>
    <w:tbl>
      <w:tblPr>
        <w:tblStyle w:val="TableGrid"/>
        <w:tblW w:type="auto" w:w="0"/>
        <w:jc w:val="center"/>
        <w:tblLayout w:type="autofit"/>
        <w:tblLook w:firstColumn="1" w:firstRow="1" w:lastColumn="0" w:lastRow="0" w:noHBand="0" w:noVBand="1" w:val="04A0"/>
      </w:tblPr>
      <w:tblGrid>
        <w:gridCol w:w="4874"/>
        <w:gridCol w:w="4874"/>
      </w:tblGrid>
      <w:tr>
        <w:tc>
          <w:tcPr>
            <w:tcW w:type="dxa" w:w="5184"/>
            <w:shd w:val="clear" w:fill="A31F1F"/>
          </w:tcPr>
          <w:p>
            <w:r/>
            <w:r>
              <w:rPr>
                <w:b/>
                <w:color w:val="FFFFFF"/>
                <w:sz w:val="18"/>
              </w:rPr>
              <w:t>Field</w:t>
            </w:r>
          </w:p>
        </w:tc>
        <w:tc>
          <w:tcPr>
            <w:tcW w:type="dxa" w:w="6192"/>
            <w:shd w:val="clear" w:fill="A31F1F"/>
          </w:tcPr>
          <w:p>
            <w:r/>
            <w:r>
              <w:rPr>
                <w:b/>
                <w:color w:val="FFFFFF"/>
                <w:sz w:val="18"/>
              </w:rPr>
              <w:t>Value</w:t>
            </w:r>
          </w:p>
        </w:tc>
      </w:tr>
      <w:tr>
        <w:tc>
          <w:tcPr>
            <w:tcW w:type="dxa" w:w="5184"/>
          </w:tcPr>
          <w:p>
            <w:r/>
            <w:r>
              <w:rPr>
                <w:sz w:val="18"/>
              </w:rPr>
              <w:t>Date / Operator</w:t>
            </w:r>
          </w:p>
        </w:tc>
        <w:tc>
          <w:tcPr>
            <w:tcW w:type="dxa" w:w="6192"/>
          </w:tcPr>
          <w:p>
            <w:r/>
            <w:r>
              <w:rPr>
                <w:sz w:val="18"/>
              </w:rPr>
            </w:r>
          </w:p>
        </w:tc>
      </w:tr>
      <w:tr>
        <w:tc>
          <w:tcPr>
            <w:tcW w:type="dxa" w:w="5184"/>
            <w:shd w:val="clear" w:fill="F5E5E5"/>
          </w:tcPr>
          <w:p>
            <w:r/>
            <w:r>
              <w:rPr>
                <w:sz w:val="18"/>
              </w:rPr>
              <w:t>Substrate ID(s)</w:t>
            </w:r>
          </w:p>
        </w:tc>
        <w:tc>
          <w:tcPr>
            <w:tcW w:type="dxa" w:w="6192"/>
            <w:shd w:val="clear" w:fill="F5E5E5"/>
          </w:tcPr>
          <w:p>
            <w:r/>
            <w:r>
              <w:rPr>
                <w:sz w:val="18"/>
              </w:rPr>
            </w:r>
          </w:p>
        </w:tc>
      </w:tr>
      <w:tr>
        <w:tc>
          <w:tcPr>
            <w:tcW w:type="dxa" w:w="5184"/>
          </w:tcPr>
          <w:p>
            <w:r/>
            <w:r>
              <w:rPr>
                <w:sz w:val="18"/>
              </w:rPr>
              <w:t>HF stock bottle lot # / opened date</w:t>
            </w:r>
          </w:p>
        </w:tc>
        <w:tc>
          <w:tcPr>
            <w:tcW w:type="dxa" w:w="6192"/>
          </w:tcPr>
          <w:p>
            <w:r/>
            <w:r>
              <w:rPr>
                <w:sz w:val="18"/>
              </w:rPr>
            </w:r>
          </w:p>
        </w:tc>
      </w:tr>
      <w:tr>
        <w:tc>
          <w:tcPr>
            <w:tcW w:type="dxa" w:w="5184"/>
            <w:shd w:val="clear" w:fill="F5E5E5"/>
          </w:tcPr>
          <w:p>
            <w:r/>
            <w:r>
              <w:rPr>
                <w:sz w:val="18"/>
              </w:rPr>
              <w:t>AgNO3 lot #</w:t>
            </w:r>
          </w:p>
        </w:tc>
        <w:tc>
          <w:tcPr>
            <w:tcW w:type="dxa" w:w="6192"/>
            <w:shd w:val="clear" w:fill="F5E5E5"/>
          </w:tcPr>
          <w:p>
            <w:r/>
            <w:r>
              <w:rPr>
                <w:sz w:val="18"/>
              </w:rPr>
            </w:r>
          </w:p>
        </w:tc>
      </w:tr>
      <w:tr>
        <w:tc>
          <w:tcPr>
            <w:tcW w:type="dxa" w:w="5184"/>
          </w:tcPr>
          <w:p>
            <w:r/>
            <w:r>
              <w:rPr>
                <w:sz w:val="18"/>
              </w:rPr>
              <w:t>Piranha step performed? (Y/N)</w:t>
            </w:r>
          </w:p>
        </w:tc>
        <w:tc>
          <w:tcPr>
            <w:tcW w:type="dxa" w:w="6192"/>
          </w:tcPr>
          <w:p>
            <w:r/>
            <w:r>
              <w:rPr>
                <w:sz w:val="18"/>
              </w:rPr>
            </w:r>
          </w:p>
        </w:tc>
      </w:tr>
      <w:tr>
        <w:tc>
          <w:tcPr>
            <w:tcW w:type="dxa" w:w="5184"/>
            <w:shd w:val="clear" w:fill="F5E5E5"/>
          </w:tcPr>
          <w:p>
            <w:r/>
            <w:r>
              <w:rPr>
                <w:sz w:val="18"/>
              </w:rPr>
              <w:t>Oxide-strip HF %  actually used</w:t>
            </w:r>
          </w:p>
        </w:tc>
        <w:tc>
          <w:tcPr>
            <w:tcW w:type="dxa" w:w="6192"/>
            <w:shd w:val="clear" w:fill="F5E5E5"/>
          </w:tcPr>
          <w:p>
            <w:r/>
            <w:r>
              <w:rPr>
                <w:sz w:val="18"/>
              </w:rPr>
            </w:r>
          </w:p>
        </w:tc>
      </w:tr>
      <w:tr>
        <w:tc>
          <w:tcPr>
            <w:tcW w:type="dxa" w:w="5184"/>
          </w:tcPr>
          <w:p>
            <w:r/>
            <w:r>
              <w:rPr>
                <w:sz w:val="18"/>
              </w:rPr>
              <w:t>MACE bath: actual HF volume / AgNO3 mass / final volume</w:t>
            </w:r>
          </w:p>
        </w:tc>
        <w:tc>
          <w:tcPr>
            <w:tcW w:type="dxa" w:w="6192"/>
          </w:tcPr>
          <w:p>
            <w:r/>
            <w:r>
              <w:rPr>
                <w:sz w:val="18"/>
              </w:rPr>
            </w:r>
          </w:p>
        </w:tc>
      </w:tr>
      <w:tr>
        <w:tc>
          <w:tcPr>
            <w:tcW w:type="dxa" w:w="5184"/>
            <w:shd w:val="clear" w:fill="F5E5E5"/>
          </w:tcPr>
          <w:p>
            <w:r/>
            <w:r>
              <w:rPr>
                <w:sz w:val="18"/>
              </w:rPr>
              <w:t>MACE immersion time actual</w:t>
            </w:r>
          </w:p>
        </w:tc>
        <w:tc>
          <w:tcPr>
            <w:tcW w:type="dxa" w:w="6192"/>
            <w:shd w:val="clear" w:fill="F5E5E5"/>
          </w:tcPr>
          <w:p>
            <w:r/>
            <w:r>
              <w:rPr>
                <w:sz w:val="18"/>
              </w:rPr>
            </w:r>
          </w:p>
        </w:tc>
      </w:tr>
      <w:tr>
        <w:tc>
          <w:tcPr>
            <w:tcW w:type="dxa" w:w="5184"/>
          </w:tcPr>
          <w:p>
            <w:r/>
            <w:r>
              <w:rPr>
                <w:sz w:val="18"/>
              </w:rPr>
              <w:t>Visual result after etch (color/texture)</w:t>
            </w:r>
          </w:p>
        </w:tc>
        <w:tc>
          <w:tcPr>
            <w:tcW w:type="dxa" w:w="6192"/>
          </w:tcPr>
          <w:p>
            <w:r/>
            <w:r>
              <w:rPr>
                <w:sz w:val="18"/>
              </w:rPr>
            </w:r>
          </w:p>
        </w:tc>
      </w:tr>
      <w:tr>
        <w:tc>
          <w:tcPr>
            <w:tcW w:type="dxa" w:w="5184"/>
            <w:shd w:val="clear" w:fill="F5E5E5"/>
          </w:tcPr>
          <w:p>
            <w:r/>
            <w:r>
              <w:rPr>
                <w:sz w:val="18"/>
              </w:rPr>
              <w:t>MPBA functionalization performed? (Y/N), incubation time actual</w:t>
            </w:r>
          </w:p>
        </w:tc>
        <w:tc>
          <w:tcPr>
            <w:tcW w:type="dxa" w:w="6192"/>
            <w:shd w:val="clear" w:fill="F5E5E5"/>
          </w:tcPr>
          <w:p>
            <w:r/>
            <w:r>
              <w:rPr>
                <w:sz w:val="18"/>
              </w:rPr>
            </w:r>
          </w:p>
        </w:tc>
      </w:tr>
      <w:tr>
        <w:tc>
          <w:tcPr>
            <w:tcW w:type="dxa" w:w="5184"/>
          </w:tcPr>
          <w:p>
            <w:r/>
            <w:r>
              <w:rPr>
                <w:sz w:val="18"/>
              </w:rPr>
              <w:t>NAM concentration actual / volume dropped</w:t>
            </w:r>
          </w:p>
        </w:tc>
        <w:tc>
          <w:tcPr>
            <w:tcW w:type="dxa" w:w="6192"/>
          </w:tcPr>
          <w:p>
            <w:r/>
            <w:r>
              <w:rPr>
                <w:sz w:val="18"/>
              </w:rPr>
            </w:r>
          </w:p>
        </w:tc>
      </w:tr>
      <w:tr>
        <w:tc>
          <w:tcPr>
            <w:tcW w:type="dxa" w:w="5184"/>
            <w:shd w:val="clear" w:fill="F5E5E5"/>
          </w:tcPr>
          <w:p>
            <w:r/>
            <w:r>
              <w:rPr>
                <w:sz w:val="18"/>
              </w:rPr>
              <w:t>Incubation time actual / washed or unwashed</w:t>
            </w:r>
          </w:p>
        </w:tc>
        <w:tc>
          <w:tcPr>
            <w:tcW w:type="dxa" w:w="6192"/>
            <w:shd w:val="clear" w:fill="F5E5E5"/>
          </w:tcPr>
          <w:p>
            <w:r/>
            <w:r>
              <w:rPr>
                <w:sz w:val="18"/>
              </w:rPr>
            </w:r>
          </w:p>
        </w:tc>
      </w:tr>
      <w:tr>
        <w:tc>
          <w:tcPr>
            <w:tcW w:type="dxa" w:w="5184"/>
          </w:tcPr>
          <w:p>
            <w:r/>
            <w:r>
              <w:rPr>
                <w:sz w:val="18"/>
              </w:rPr>
              <w:t>Raman: power / integration time / accumulations actual</w:t>
            </w:r>
          </w:p>
        </w:tc>
        <w:tc>
          <w:tcPr>
            <w:tcW w:type="dxa" w:w="6192"/>
          </w:tcPr>
          <w:p>
            <w:r/>
            <w:r>
              <w:rPr>
                <w:sz w:val="18"/>
              </w:rPr>
            </w:r>
          </w:p>
        </w:tc>
      </w:tr>
      <w:tr>
        <w:tc>
          <w:tcPr>
            <w:tcW w:type="dxa" w:w="5184"/>
            <w:shd w:val="clear" w:fill="F5E5E5"/>
          </w:tcPr>
          <w:p>
            <w:r/>
            <w:r>
              <w:rPr>
                <w:sz w:val="18"/>
              </w:rPr>
              <w:t>Result summary (signal Y/N, which controls passed)</w:t>
            </w:r>
          </w:p>
        </w:tc>
        <w:tc>
          <w:tcPr>
            <w:tcW w:type="dxa" w:w="6192"/>
            <w:shd w:val="clear" w:fill="F5E5E5"/>
          </w:tcPr>
          <w:p>
            <w:r/>
            <w:r>
              <w:rPr>
                <w:sz w:val="18"/>
              </w:rPr>
            </w:r>
          </w:p>
        </w:tc>
      </w:tr>
      <w:tr>
        <w:tc>
          <w:tcPr>
            <w:tcW w:type="dxa" w:w="5184"/>
          </w:tcPr>
          <w:p>
            <w:r/>
            <w:r>
              <w:rPr>
                <w:sz w:val="18"/>
              </w:rPr>
              <w:t>Notes / deviations from this SOP</w:t>
            </w:r>
          </w:p>
        </w:tc>
        <w:tc>
          <w:tcPr>
            <w:tcW w:type="dxa" w:w="6192"/>
          </w:tcPr>
          <w:p>
            <w:r/>
            <w:r>
              <w:rPr>
                <w:sz w:val="18"/>
              </w:rPr>
            </w:r>
          </w:p>
        </w:tc>
      </w:tr>
    </w:tbl>
    <w:p>
      <w:pPr>
        <w:spacing w:after="40"/>
      </w:pPr>
    </w:p>
    <w:p>
      <w:r>
        <w:br w:type="page"/>
      </w:r>
    </w:p>
    <w:p>
      <w:pPr>
        <w:pStyle w:val="Heading1"/>
      </w:pPr>
      <w:r>
        <w:t>11. Quick-Reference Recipe Card</w:t>
      </w:r>
    </w:p>
    <w:p>
      <w:pPr>
        <w:spacing w:after="160"/>
        <w:ind w:left="360"/>
      </w:pPr>
      <w:r>
        <w:rPr>
          <w:i/>
          <w:color w:val="555555"/>
          <w:sz w:val="19"/>
        </w:rPr>
        <w:t>This page summarizes every quantity in this document in one place for bench use. It does not replace the safety and procedural detail in Sections 2 and 5-8 — read those in full before your first run.</w:t>
      </w:r>
    </w:p>
    <w:tbl>
      <w:tblPr>
        <w:tblStyle w:val="TableGrid"/>
        <w:tblW w:type="auto" w:w="0"/>
        <w:jc w:val="center"/>
        <w:tblLayout w:type="autofit"/>
        <w:tblLook w:firstColumn="1" w:firstRow="1" w:lastColumn="0" w:lastRow="0" w:noHBand="0" w:noVBand="1" w:val="04A0"/>
      </w:tblPr>
      <w:tblGrid>
        <w:gridCol w:w="4874"/>
        <w:gridCol w:w="4874"/>
      </w:tblGrid>
      <w:tr>
        <w:tc>
          <w:tcPr>
            <w:tcW w:type="dxa" w:w="3744"/>
            <w:shd w:val="clear" w:fill="A31F1F"/>
          </w:tcPr>
          <w:p>
            <w:r/>
            <w:r>
              <w:rPr>
                <w:b/>
                <w:color w:val="FFFFFF"/>
                <w:sz w:val="18"/>
              </w:rPr>
              <w:t>Solution</w:t>
            </w:r>
          </w:p>
        </w:tc>
        <w:tc>
          <w:tcPr>
            <w:tcW w:type="dxa" w:w="7632"/>
            <w:shd w:val="clear" w:fill="A31F1F"/>
          </w:tcPr>
          <w:p>
            <w:r/>
            <w:r>
              <w:rPr>
                <w:b/>
                <w:color w:val="FFFFFF"/>
                <w:sz w:val="18"/>
              </w:rPr>
              <w:t>Recipe</w:t>
            </w:r>
          </w:p>
        </w:tc>
      </w:tr>
      <w:tr>
        <w:tc>
          <w:tcPr>
            <w:tcW w:type="dxa" w:w="3744"/>
          </w:tcPr>
          <w:p>
            <w:r/>
            <w:r>
              <w:rPr>
                <w:sz w:val="18"/>
              </w:rPr>
              <w:t>A2. Piranha (optional, 40 mL)</w:t>
            </w:r>
          </w:p>
        </w:tc>
        <w:tc>
          <w:tcPr>
            <w:tcW w:type="dxa" w:w="7632"/>
          </w:tcPr>
          <w:p>
            <w:r/>
            <w:r>
              <w:rPr>
                <w:sz w:val="18"/>
              </w:rPr>
              <w:t>30 mL conc. H2SO4 + 10 mL 30% H2O2 (add peroxide to acid slowly). 10-15 min.</w:t>
            </w:r>
          </w:p>
        </w:tc>
      </w:tr>
      <w:tr>
        <w:tc>
          <w:tcPr>
            <w:tcW w:type="dxa" w:w="3744"/>
            <w:shd w:val="clear" w:fill="F5E5E5"/>
          </w:tcPr>
          <w:p>
            <w:r/>
            <w:r>
              <w:rPr>
                <w:sz w:val="18"/>
              </w:rPr>
              <w:t>A3. Oxide-strip HF (20 mL, ~10%)</w:t>
            </w:r>
          </w:p>
        </w:tc>
        <w:tc>
          <w:tcPr>
            <w:tcW w:type="dxa" w:w="7632"/>
            <w:shd w:val="clear" w:fill="F5E5E5"/>
          </w:tcPr>
          <w:p>
            <w:r/>
            <w:r>
              <w:rPr>
                <w:sz w:val="18"/>
              </w:rPr>
              <w:t>4.1 mL of 49% HF stock + 15.9 mL DI water. 30-60 sec dip.</w:t>
            </w:r>
          </w:p>
        </w:tc>
      </w:tr>
      <w:tr>
        <w:tc>
          <w:tcPr>
            <w:tcW w:type="dxa" w:w="3744"/>
          </w:tcPr>
          <w:p>
            <w:r/>
            <w:r>
              <w:rPr>
                <w:sz w:val="18"/>
              </w:rPr>
              <w:t>B1. MACE bath (50 mL, 4.8M HF / 20mM AgNO3)</w:t>
            </w:r>
          </w:p>
        </w:tc>
        <w:tc>
          <w:tcPr>
            <w:tcW w:type="dxa" w:w="7632"/>
          </w:tcPr>
          <w:p>
            <w:r/>
            <w:r>
              <w:rPr>
                <w:sz w:val="18"/>
              </w:rPr>
              <w:t>0.17 g AgNO3 dissolved in 20 mL DI water, then add 8.3 mL of 49% HF stock, top up to 50 mL with DI water. 10 min immersion, room temp.</w:t>
            </w:r>
          </w:p>
        </w:tc>
      </w:tr>
      <w:tr>
        <w:tc>
          <w:tcPr>
            <w:tcW w:type="dxa" w:w="3744"/>
            <w:shd w:val="clear" w:fill="F5E5E5"/>
          </w:tcPr>
          <w:p>
            <w:r/>
            <w:r>
              <w:rPr>
                <w:sz w:val="18"/>
              </w:rPr>
              <w:t>C0. MPBA solution (10 mL, 1 mM)</w:t>
            </w:r>
          </w:p>
        </w:tc>
        <w:tc>
          <w:tcPr>
            <w:tcW w:type="dxa" w:w="7632"/>
            <w:shd w:val="clear" w:fill="F5E5E5"/>
          </w:tcPr>
          <w:p>
            <w:r/>
            <w:r>
              <w:rPr>
                <w:sz w:val="18"/>
              </w:rPr>
              <w:t>~2 mg MPBA in 10 mL absolute ethanol. 12-24 hr incubation.</w:t>
            </w:r>
          </w:p>
        </w:tc>
      </w:tr>
      <w:tr>
        <w:tc>
          <w:tcPr>
            <w:tcW w:type="dxa" w:w="3744"/>
          </w:tcPr>
          <w:p>
            <w:r/>
            <w:r>
              <w:rPr>
                <w:sz w:val="18"/>
              </w:rPr>
              <w:t>C1. NAM stock (10 mL, 5 mM)</w:t>
            </w:r>
          </w:p>
        </w:tc>
        <w:tc>
          <w:tcPr>
            <w:tcW w:type="dxa" w:w="7632"/>
          </w:tcPr>
          <w:p>
            <w:r/>
            <w:r>
              <w:rPr>
                <w:sz w:val="18"/>
              </w:rPr>
              <w:t>~14 mg NAM in 10 mL DI water (verify MW against reagent label). 10 uL drop-cast, 30 min incubation.</w:t>
            </w:r>
          </w:p>
        </w:tc>
      </w:tr>
    </w:tbl>
    <w:p>
      <w:pPr>
        <w:spacing w:after="40"/>
      </w:pPr>
    </w:p>
    <w:p>
      <w:r>
        <w:br w:type="page"/>
      </w:r>
    </w:p>
    <w:p>
      <w:pPr>
        <w:pStyle w:val="Heading1"/>
      </w:pPr>
      <w:r>
        <w:t>12. Provenance of Values / What to Verify Before Trusting a Number</w:t>
      </w:r>
    </w:p>
    <w:tbl>
      <w:tblPr>
        <w:tblStyle w:val="TableGrid"/>
        <w:tblW w:type="auto" w:w="0"/>
        <w:jc w:val="center"/>
        <w:tblLayout w:type="autofit"/>
        <w:tblLook w:firstColumn="1" w:firstRow="1" w:lastColumn="0" w:lastRow="0" w:noHBand="0" w:noVBand="1" w:val="04A0"/>
      </w:tblPr>
      <w:tblGrid>
        <w:gridCol w:w="3250"/>
        <w:gridCol w:w="3250"/>
        <w:gridCol w:w="3250"/>
      </w:tblGrid>
      <w:tr>
        <w:tc>
          <w:tcPr>
            <w:tcW w:type="dxa" w:w="2592"/>
            <w:shd w:val="clear" w:fill="A31F1F"/>
          </w:tcPr>
          <w:p>
            <w:r/>
            <w:r>
              <w:rPr>
                <w:b/>
                <w:color w:val="FFFFFF"/>
                <w:sz w:val="18"/>
              </w:rPr>
              <w:t>Value</w:t>
            </w:r>
          </w:p>
        </w:tc>
        <w:tc>
          <w:tcPr>
            <w:tcW w:type="dxa" w:w="5184"/>
            <w:shd w:val="clear" w:fill="A31F1F"/>
          </w:tcPr>
          <w:p>
            <w:r/>
            <w:r>
              <w:rPr>
                <w:b/>
                <w:color w:val="FFFFFF"/>
                <w:sz w:val="18"/>
              </w:rPr>
              <w:t>Basis</w:t>
            </w:r>
          </w:p>
        </w:tc>
        <w:tc>
          <w:tcPr>
            <w:tcW w:type="dxa" w:w="3600"/>
            <w:shd w:val="clear" w:fill="A31F1F"/>
          </w:tcPr>
          <w:p>
            <w:r/>
            <w:r>
              <w:rPr>
                <w:b/>
                <w:color w:val="FFFFFF"/>
                <w:sz w:val="18"/>
              </w:rPr>
              <w:t>Confidence</w:t>
            </w:r>
          </w:p>
        </w:tc>
      </w:tr>
      <w:tr>
        <w:tc>
          <w:tcPr>
            <w:tcW w:type="dxa" w:w="2592"/>
          </w:tcPr>
          <w:p>
            <w:r/>
            <w:r>
              <w:rPr>
                <w:sz w:val="16"/>
              </w:rPr>
              <w:t>MACE bath: 4.8 M HF / 20 mM AgNO3</w:t>
            </w:r>
          </w:p>
        </w:tc>
        <w:tc>
          <w:tcPr>
            <w:tcW w:type="dxa" w:w="5184"/>
          </w:tcPr>
          <w:p>
            <w:r/>
            <w:r>
              <w:rPr>
                <w:sz w:val="16"/>
              </w:rPr>
              <w:t>Commonly-cited range across the general one-step MACE literature reviewed for this project (not one single verified paper's exact figure — presented as a field-typical starting point)</w:t>
            </w:r>
          </w:p>
        </w:tc>
        <w:tc>
          <w:tcPr>
            <w:tcW w:type="dxa" w:w="3600"/>
          </w:tcPr>
          <w:p>
            <w:r/>
            <w:r>
              <w:rPr>
                <w:sz w:val="16"/>
              </w:rPr>
              <w:t>Moderate — treat as pilot value, verify against SEM result</w:t>
            </w:r>
          </w:p>
        </w:tc>
      </w:tr>
      <w:tr>
        <w:tc>
          <w:tcPr>
            <w:tcW w:type="dxa" w:w="2592"/>
            <w:shd w:val="clear" w:fill="F5E5E5"/>
          </w:tcPr>
          <w:p>
            <w:r/>
            <w:r>
              <w:rPr>
                <w:sz w:val="16"/>
              </w:rPr>
              <w:t>Etch time 5-15 min</w:t>
            </w:r>
          </w:p>
        </w:tc>
        <w:tc>
          <w:tcPr>
            <w:tcW w:type="dxa" w:w="5184"/>
            <w:shd w:val="clear" w:fill="F5E5E5"/>
          </w:tcPr>
          <w:p>
            <w:r/>
            <w:r>
              <w:rPr>
                <w:sz w:val="16"/>
              </w:rPr>
              <w:t>General MACE literature range; shorter end chosen to bias toward denser/smaller Ag spacing per this project's interparticle-gap discussion</w:t>
            </w:r>
          </w:p>
        </w:tc>
        <w:tc>
          <w:tcPr>
            <w:tcW w:type="dxa" w:w="3600"/>
            <w:shd w:val="clear" w:fill="F5E5E5"/>
          </w:tcPr>
          <w:p>
            <w:r/>
            <w:r>
              <w:rPr>
                <w:sz w:val="16"/>
              </w:rPr>
              <w:t>Moderate — a bracket experiment (multiple times) is recommended over trusting one value, per the companion DOE report</w:t>
            </w:r>
          </w:p>
        </w:tc>
      </w:tr>
      <w:tr>
        <w:tc>
          <w:tcPr>
            <w:tcW w:type="dxa" w:w="2592"/>
          </w:tcPr>
          <w:p>
            <w:r/>
            <w:r>
              <w:rPr>
                <w:sz w:val="16"/>
              </w:rPr>
              <w:t>Oxide-strip HF ~10%, 30-60 sec</w:t>
            </w:r>
          </w:p>
        </w:tc>
        <w:tc>
          <w:tcPr>
            <w:tcW w:type="dxa" w:w="5184"/>
          </w:tcPr>
          <w:p>
            <w:r/>
            <w:r>
              <w:rPr>
                <w:sz w:val="16"/>
              </w:rPr>
              <w:t>Standard semiconductor-processing practice (general field knowledge, not a specific cited paper)</w:t>
            </w:r>
          </w:p>
        </w:tc>
        <w:tc>
          <w:tcPr>
            <w:tcW w:type="dxa" w:w="3600"/>
          </w:tcPr>
          <w:p>
            <w:r/>
            <w:r>
              <w:rPr>
                <w:sz w:val="16"/>
              </w:rPr>
              <w:t>High — this is conventional, low-risk practice</w:t>
            </w:r>
          </w:p>
        </w:tc>
      </w:tr>
      <w:tr>
        <w:tc>
          <w:tcPr>
            <w:tcW w:type="dxa" w:w="2592"/>
            <w:shd w:val="clear" w:fill="F5E5E5"/>
          </w:tcPr>
          <w:p>
            <w:r/>
            <w:r>
              <w:rPr>
                <w:sz w:val="16"/>
              </w:rPr>
              <w:t>Piranha 3:1 H2SO4:H2O2</w:t>
            </w:r>
          </w:p>
        </w:tc>
        <w:tc>
          <w:tcPr>
            <w:tcW w:type="dxa" w:w="5184"/>
            <w:shd w:val="clear" w:fill="F5E5E5"/>
          </w:tcPr>
          <w:p>
            <w:r/>
            <w:r>
              <w:rPr>
                <w:sz w:val="16"/>
              </w:rPr>
              <w:t>Standard semiconductor-processing practice (general field knowledge)</w:t>
            </w:r>
          </w:p>
        </w:tc>
        <w:tc>
          <w:tcPr>
            <w:tcW w:type="dxa" w:w="3600"/>
            <w:shd w:val="clear" w:fill="F5E5E5"/>
          </w:tcPr>
          <w:p>
            <w:r/>
            <w:r>
              <w:rPr>
                <w:sz w:val="16"/>
              </w:rPr>
              <w:t>High — conventional ratio, widely used</w:t>
            </w:r>
          </w:p>
        </w:tc>
      </w:tr>
      <w:tr>
        <w:tc>
          <w:tcPr>
            <w:tcW w:type="dxa" w:w="2592"/>
          </w:tcPr>
          <w:p>
            <w:r/>
            <w:r>
              <w:rPr>
                <w:sz w:val="16"/>
              </w:rPr>
              <w:t>MPBA 1 mM, 12-24 hr SAM formation</w:t>
            </w:r>
          </w:p>
        </w:tc>
        <w:tc>
          <w:tcPr>
            <w:tcW w:type="dxa" w:w="5184"/>
          </w:tcPr>
          <w:p>
            <w:r/>
            <w:r>
              <w:rPr>
                <w:sz w:val="16"/>
              </w:rPr>
              <w:t>Typical thiol-SAM formation protocol parameters from the boronic-acid SERS literature reviewed in the companion NAM-SERS review</w:t>
            </w:r>
          </w:p>
        </w:tc>
        <w:tc>
          <w:tcPr>
            <w:tcW w:type="dxa" w:w="3600"/>
          </w:tcPr>
          <w:p>
            <w:r/>
            <w:r>
              <w:rPr>
                <w:sz w:val="16"/>
              </w:rPr>
              <w:t>Moderate — the companion review flagged pH control as more critical than exact concentration; verify pH during this step</w:t>
            </w:r>
          </w:p>
        </w:tc>
      </w:tr>
      <w:tr>
        <w:tc>
          <w:tcPr>
            <w:tcW w:type="dxa" w:w="2592"/>
            <w:shd w:val="clear" w:fill="F5E5E5"/>
          </w:tcPr>
          <w:p>
            <w:r/>
            <w:r>
              <w:rPr>
                <w:sz w:val="16"/>
              </w:rPr>
              <w:t>NAM 5 mM starting concentration</w:t>
            </w:r>
          </w:p>
        </w:tc>
        <w:tc>
          <w:tcPr>
            <w:tcW w:type="dxa" w:w="5184"/>
            <w:shd w:val="clear" w:fill="F5E5E5"/>
          </w:tcPr>
          <w:p>
            <w:r/>
            <w:r>
              <w:rPr>
                <w:sz w:val="16"/>
              </w:rPr>
              <w:t>Companion DOE report's Section 4.4 concentration strategy (start high to first prove capture works at all)</w:t>
            </w:r>
          </w:p>
        </w:tc>
        <w:tc>
          <w:tcPr>
            <w:tcW w:type="dxa" w:w="3600"/>
            <w:shd w:val="clear" w:fill="F5E5E5"/>
          </w:tcPr>
          <w:p>
            <w:r/>
            <w:r>
              <w:rPr>
                <w:sz w:val="16"/>
              </w:rPr>
              <w:t>Moderate-high — explicitly designed as a first-pilot value, not a final assay concentration</w:t>
            </w:r>
          </w:p>
        </w:tc>
      </w:tr>
      <w:tr>
        <w:tc>
          <w:tcPr>
            <w:tcW w:type="dxa" w:w="2592"/>
          </w:tcPr>
          <w:p>
            <w:r/>
            <w:r>
              <w:rPr>
                <w:sz w:val="16"/>
              </w:rPr>
              <w:t>HF stock molarity 28.9 M for 49%</w:t>
            </w:r>
          </w:p>
        </w:tc>
        <w:tc>
          <w:tcPr>
            <w:tcW w:type="dxa" w:w="5184"/>
          </w:tcPr>
          <w:p>
            <w:r/>
            <w:r>
              <w:rPr>
                <w:sz w:val="16"/>
              </w:rPr>
              <w:t>Standard density-based conversion (general analytical chemistry reference value)</w:t>
            </w:r>
          </w:p>
        </w:tc>
        <w:tc>
          <w:tcPr>
            <w:tcW w:type="dxa" w:w="3600"/>
          </w:tcPr>
          <w:p>
            <w:r/>
            <w:r>
              <w:rPr>
                <w:sz w:val="16"/>
              </w:rPr>
              <w:t>High</w:t>
            </w:r>
          </w:p>
        </w:tc>
      </w:tr>
    </w:tbl>
    <w:p>
      <w:pPr>
        <w:spacing w:after="40"/>
      </w:pPr>
    </w:p>
    <w:p>
      <w:pPr>
        <w:spacing w:after="120"/>
      </w:pPr>
      <w:r>
        <w:rPr>
          <w:b w:val="0"/>
          <w:i w:val="0"/>
        </w:rPr>
        <w:t>Your own project's previously-used MACE bath concentrations (from the batches that produced your successful R6G validation) were not found recorded with exact numeric values in the project files reviewed for the companion reports. If you locate that number in a lab notebook or old file, use it in preference to the literature-typical value in Section 6 — matching your own previously-successful process is safer and more informative than starting fresh.</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A31F1F"/>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