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Capture and Enhancement Strategies for LPS Detection</w:t>
      </w:r>
    </w:p>
    <w:p>
      <w:pPr>
        <w:spacing w:after="200" w:before="0"/>
      </w:pPr>
      <w:r>
        <w:rPr>
          <w:i/>
          <w:iCs/>
        </w:rPr>
        <w:t xml:space="preserve">Reagent now in hand: Sigma-Aldrich L2630-10MG</w:t>
      </w:r>
    </w:p>
    <w:p>
      <w:pPr>
        <w:spacing w:after="40" w:before="0"/>
      </w:pPr>
      <w:r>
        <w:rPr>
          <w:b/>
          <w:bCs/>
        </w:rPr>
        <w:t xml:space="preserve">Project: </w:t>
      </w:r>
      <w:r>
        <w:t xml:space="preserve">SERS nanobiosensor for rapid bacterial identification in sepsis</w:t>
      </w:r>
    </w:p>
    <w:p>
      <w:pPr>
        <w:spacing w:after="200" w:before="0"/>
      </w:pPr>
      <w:r>
        <w:rPr>
          <w:b/>
          <w:bCs/>
        </w:rPr>
        <w:t xml:space="preserve">Prepared: </w:t>
      </w:r>
      <w:r>
        <w:t xml:space="preserve">August 2026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60" w:before="320"/>
      </w:pPr>
      <w:r>
        <w:t xml:space="preserve">1. The reagent, and why it matters for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08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Escherichia coli O111:B4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Supplier / catalogue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Sigma-Aldrich, L2630-10MG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 / EC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93572-42-0 / 297-473-0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Purification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Phenol extraction (Westphal method)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Protein impurity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≤3%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Lyophilised powder, water-soluble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Storage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2–8 °C</w:t>
            </w:r>
          </w:p>
        </w:tc>
      </w:tr>
    </w:tbl>
    <w:p>
      <w:pPr>
        <w:spacing w:after="160"/>
      </w:pPr>
    </w:p>
    <w:p>
      <w:pPr>
        <w:spacing w:after="160" w:before="0"/>
      </w:pPr>
      <w:r>
        <w:t xml:space="preserve">Two things about this specific reagent shape everything below.</w:t>
      </w:r>
    </w:p>
    <w:p>
      <w:pPr>
        <w:spacing w:after="160" w:before="0"/>
      </w:pPr>
      <w:r>
        <w:rPr>
          <w:b/>
          <w:bCs/>
        </w:rPr>
        <w:t xml:space="preserve">First, phenol extraction preserves the O-antigen. </w:t>
      </w:r>
      <w:r>
        <w:t xml:space="preserve">Unlike TCA-extracted or deep-rough preparations, Westphal phenol extraction yields predominantly smooth LPS — intact Lipid A, core oligosaccharide, and the full O111 O-antigen repeat. This matters directly for capture chemistry: any strategy that targets the core sugars (boronic acid) has to reach past the O-antigen to get there, while any strategy that targets Lipid A's phosphates (cationic capture, antibody) is targeting a group that sits at the base of the molecule, also somewhat shielded by the polysaccharide above it.</w:t>
      </w:r>
    </w:p>
    <w:p>
      <w:pPr>
        <w:spacing w:after="160" w:before="0"/>
      </w:pPr>
      <w:r>
        <w:rPr>
          <w:b/>
          <w:bCs/>
        </w:rPr>
        <w:t xml:space="preserve">Second, this is functionally the same reagent used in the closest published precedent. </w:t>
      </w:r>
      <w:r>
        <w:t xml:space="preserve">Rusciano et al. (2023) — the most directly comparable SERS-LPS study, and already the anchor reference in this project's prior literature review — used Sigma-Aldrich LPS from E. coli O111:B4 (catalogue L6529, a different purification/purity grade of the same serotype). This project's L2630 is close enough in identity that their reported figures function as a real benchmark, not just a qualitative comparison: same organism, same serotype, same supplier family. This is worth stating early because it changes the value of the very first experiment — a bare-substrate LPS measurement here is directly comparable to their Cmin ≈ 3 ng/mL result, not just “in the right ballpark.”</w:t>
      </w:r>
    </w:p>
    <w:p>
      <w:pPr>
        <w:pStyle w:val="Heading1"/>
        <w:spacing w:after="160" w:before="320"/>
      </w:pPr>
      <w:r>
        <w:t xml:space="preserve">2. LPS's chemical handles — a genuinely different situation from NAM</w:t>
      </w:r>
    </w:p>
    <w:p>
      <w:pPr>
        <w:spacing w:after="160" w:before="0"/>
      </w:pPr>
      <w:r>
        <w:t xml:space="preserve">The NAM capture document (previous strategy note) treated NAM as a hard case: small, non-aromatic, no chromophore, weak intrinsic affinity for bare silver. LPS is a different molecule in almost every relevant respect.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c>
          <w:tcPr>
            <w:tcW w:type="dxa" w:w="26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88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Relevance to capture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Phosphate groups (×2)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Lipid A, 1 and 4′ positions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Strongly anionic at pH 7; genuine electrostatic handle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Acyl chains (4–6, hydrophobic)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Lipid A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Amphiphilic — can physisorb to a bare metal surface via hydrophobic contact, not just charge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KDO carboxylate + vicinal diol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Core, innermost sugar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genuine cis-diol — unlike NAM, a real boronic-acid target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Heptose diols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Additional diol sites, same accessibility caveat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phosphates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oligosaccharide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Further anionic character, reinforcing the electrostatic case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O-antigen repeat units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Distal, O111-specific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Hydrophilic, serotype-defining; likely shields the core and Lipid A in smooth LPS</w:t>
            </w:r>
          </w:p>
        </w:tc>
      </w:tr>
    </w:tbl>
    <w:p>
      <w:pPr>
        <w:spacing w:after="160"/>
      </w:pPr>
    </w:p>
    <w:p>
      <w:pPr>
        <w:spacing w:after="160" w:before="0"/>
      </w:pPr>
      <w:r>
        <w:rPr>
          <w:b/>
          <w:bCs/>
        </w:rPr>
        <w:t xml:space="preserve">The practical consequence: </w:t>
      </w:r>
      <w:r>
        <w:t xml:space="preserve">LPS is amphiphilic and multiply anionic, with a combination of hydrophobic and electrostatic character that gives it real intrinsic affinity for a bare metal surface. This is precisely the property NAM lacked. It is also large and structurally heterogeneous (batch-to-batch and even molecule-to-molecule micellar aggregation state varies), which cuts the other way — spectra are broader and less easily assigned than a small molecule's.</w:t>
      </w:r>
    </w:p>
    <w:p>
      <w:pPr>
        <w:pStyle w:val="Heading1"/>
        <w:spacing w:after="160" w:before="320"/>
      </w:pPr>
      <w:r>
        <w:t xml:space="preserve">3. Capture strategies, ranked</w:t>
      </w:r>
    </w:p>
    <w:p>
      <w:pPr>
        <w:pStyle w:val="Heading2"/>
        <w:spacing w:after="140" w:before="280"/>
      </w:pPr>
      <w:r>
        <w:t xml:space="preserve">3.1 Direct adsorption — no capture chemistry at all</w:t>
      </w:r>
    </w:p>
    <w:p>
      <w:pPr>
        <w:spacing w:after="160" w:before="0"/>
      </w:pPr>
      <w:r>
        <w:rPr>
          <w:b/>
          <w:bCs/>
        </w:rPr>
        <w:t xml:space="preserve">Try this first, and expect it to actually work. </w:t>
      </w:r>
      <w:r>
        <w:t xml:space="preserve">This is the single biggest strategic difference from NAM.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8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Drop-cast LPS solution onto the existing substrate, dry, measure the 2850–2950 cm⁻¹ region (Lipid A acyl C–H stretches)</w:t>
            </w:r>
          </w:p>
        </w:tc>
      </w:tr>
      <w:tr>
        <w:tc>
          <w:tcPr>
            <w:tcW w:type="dxa" w:w="20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Precedent</w:t>
            </w:r>
          </w:p>
        </w:tc>
        <w:tc>
          <w:tcPr>
            <w:tcW w:type="dxa" w:w="8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Rusciano et al. (2023) measured bare, unfunctionalised silver substrates dosed directly with E. coli O111:B4 LPS and extrapolated a Cmin of ≈3 ng/mL from the 2900 cm⁻¹ band — before any antibody was added. Verde et al. (2021, Front. Immunol.) independently demonstrated label-free LPS SERS on bare 50 nm AuNPs.</w:t>
            </w:r>
          </w:p>
        </w:tc>
      </w:tr>
      <w:tr>
        <w:tc>
          <w:tcPr>
            <w:tcW w:type="dxa" w:w="20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Mechanism</w:t>
            </w:r>
          </w:p>
        </w:tc>
        <w:tc>
          <w:tcPr>
            <w:tcW w:type="dxa" w:w="8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Acyl-chain physisorption plus electrostatic attraction of the phosphate groups to the metal — LPS does not need a designed anchor to reach the surface</w:t>
            </w:r>
          </w:p>
        </w:tc>
      </w:tr>
      <w:tr>
        <w:tc>
          <w:tcPr>
            <w:tcW w:type="dxa" w:w="20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Effort</w:t>
            </w:r>
          </w:p>
        </w:tc>
        <w:tc>
          <w:tcPr>
            <w:tcW w:type="dxa" w:w="8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Trivial — one afternoon</w:t>
            </w:r>
          </w:p>
        </w:tc>
      </w:tr>
      <w:tr>
        <w:tc>
          <w:tcPr>
            <w:tcW w:type="dxa" w:w="20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Likelihood</w:t>
            </w:r>
          </w:p>
        </w:tc>
        <w:tc>
          <w:tcPr>
            <w:tcW w:type="dxa" w:w="8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High, on existing precedent with the same serotype</w:t>
            </w:r>
          </w:p>
        </w:tc>
      </w:tr>
    </w:tbl>
    <w:p>
      <w:pPr>
        <w:spacing w:after="160"/>
      </w:pPr>
    </w:p>
    <w:p>
      <w:pPr>
        <w:spacing w:after="160" w:before="0"/>
      </w:pPr>
      <w:r>
        <w:t xml:space="preserve">This should be the very first LPS experiment run on the current substrate. If it reproduces even roughly what Rusciano's bare-substrate measurement showed, that is a strong, fast signal that the existing fabrication is fine for LPS — resolving, for this biomarker at least, the substrate-vs-chemistry ambiguity that has been the project's central open question.</w:t>
      </w:r>
    </w:p>
    <w:p>
      <w:pPr>
        <w:pStyle w:val="Heading2"/>
        <w:spacing w:after="140" w:before="280"/>
      </w:pPr>
      <w:r>
        <w:t xml:space="preserve">3.2 Cationic capture layer — exploiting the net negative charge</w:t>
      </w:r>
    </w:p>
    <w:p>
      <w:pPr>
        <w:spacing w:after="160" w:before="0"/>
      </w:pPr>
      <w:r>
        <w:t xml:space="preserve">LPS is anionic at physiological pH (Lipid A phosphates plus KDO/core carboxylates and phosphates). A cationic surface concentrates it directly, the same logic used for NAM's carboxylate but with a much stronger charge handle 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c>
          <w:tcPr>
            <w:tcW w:type="dxa" w:w="22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Reagent</w:t>
            </w:r>
          </w:p>
        </w:tc>
        <w:tc>
          <w:tcPr>
            <w:tcW w:type="dxa" w:w="22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Support</w:t>
            </w:r>
          </w:p>
        </w:tc>
        <w:tc>
          <w:tcPr>
            <w:tcW w:type="dxa" w:w="568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Cysteamine (HS–CH₂CH₂–NH₂)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Ag/Au via thiol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Simple, routine overnight self-assembly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Chitosan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either, electrostatic anchoring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Precedented for LPS specifically — Chi-AgNPs used for electrochemical LPS biosensing (Kim et al., Micromachines 2020); multivalent binding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Polymyxin 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Ag/Au, adsorbed or thiolated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a generic cationic layer — a genuine Lipid A-binding ligand. Cyclic cationic lipopeptide, basis of clinical endotoxin-neutralisation assays; real selectivity for LPS over other anionic serum species</w:t>
            </w:r>
          </w:p>
        </w:tc>
      </w:tr>
    </w:tbl>
    <w:p>
      <w:pPr>
        <w:spacing w:after="160"/>
      </w:pPr>
    </w:p>
    <w:p>
      <w:pPr>
        <w:spacing w:after="160" w:before="0"/>
      </w:pPr>
      <w:r>
        <w:rPr>
          <w:b/>
          <w:bCs/>
        </w:rPr>
        <w:t xml:space="preserve">Recommendation within this tier: </w:t>
      </w:r>
      <w:r>
        <w:t xml:space="preserve">skip straight to polymyxin B if resources allow. Cysteamine/chitosan mainly answer “does concentrating LPS at the surface help at all,” a question direct adsorption (§3.1) may already answer on its own.</w:t>
      </w:r>
    </w:p>
    <w:p>
      <w:pPr>
        <w:pStyle w:val="Heading2"/>
        <w:spacing w:after="140" w:before="280"/>
      </w:pPr>
      <w:r>
        <w:t xml:space="preserve">3.3 Boronic acid — the strategy already in place, now aimed at its real target</w:t>
      </w:r>
    </w:p>
    <w:p>
      <w:pPr>
        <w:spacing w:after="160" w:before="0"/>
      </w:pPr>
      <w:r>
        <w:t xml:space="preserve">The NAM document's verdict on boronic acid was: “the right choice for a different target.” </w:t>
      </w:r>
      <w:r>
        <w:rPr>
          <w:b/>
          <w:bCs/>
        </w:rPr>
        <w:t xml:space="preserve">This reagent is that target.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Site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KDO carboxylate + vicinal diol; heptose diols in the core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Bond formed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Boronate ester, reversible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Precedent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CRISPR/Cas12a + boronic-ester + LPS-aptamer dual-recognition assay (Anal. Chem. 2022) confirms boronic-acid–LPS binding is real and usable in an assay context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Caveat specific to this reagent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Because L2630 is phenol-extracted smooth LPS, the O-antigen may sterically shield the core diols from a surface-bound boronic acid ligand — a different failure mode from NAM's (steric vs chemical) but the same practical consequence</w:t>
            </w:r>
          </w:p>
        </w:tc>
      </w:tr>
    </w:tbl>
    <w:p>
      <w:pPr>
        <w:spacing w:after="160"/>
      </w:pPr>
    </w:p>
    <w:p>
      <w:pPr>
        <w:spacing w:after="160" w:before="0"/>
      </w:pPr>
      <w:r>
        <w:rPr>
          <w:b/>
          <w:bCs/>
        </w:rPr>
        <w:t xml:space="preserve">Recommended test, directly analogous to the NAM binding check: </w:t>
      </w:r>
      <w:r>
        <w:t xml:space="preserve">compare 4-MPBA reporter-band response (1072/1585 cm⁻¹) on exposure to this LPS versus a simple diol (fructose) at matched concentration, and — if resources allow — versus a rough or deep-rough LPS / free Lipid A standard, where the core is not O-antigen-shielded. A large response to fructose but a small one to smooth LPS, recovered on the rough form, would confirm shielding rather than a fundamentally unreactive core.</w:t>
      </w:r>
    </w:p>
    <w:p>
      <w:pPr>
        <w:spacing w:after="160" w:before="0"/>
      </w:pPr>
      <w:r>
        <w:t xml:space="preserve">This is also the step that most directly reuses existing project infrastructure — the same 4-MPBA monolayer already being developed for NAM.</w:t>
      </w:r>
    </w:p>
    <w:p>
      <w:pPr>
        <w:pStyle w:val="Heading2"/>
        <w:spacing w:after="140" w:before="280"/>
      </w:pPr>
      <w:r>
        <w:t xml:space="preserve">3.4 Anti-Lipid A antibody — highest selectivity, direct benchmark available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Reagent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Commercial polyclonal anti-Lipid A / anti-LPS antibody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Mechanism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direct LPS detection. The antibody itself is the Raman reporter; LPS binding perturbs the antibody's own SERS spectrum (frequency shift, band splitting near 1660 cm⁻¹, blue-shift of the 2900 cm⁻¹ envelope)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Precedent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Rusciano et al. (2023), same serotype: LOD 12 ng/mL, LOQ 41 ng/mL, established via SNR-based extrapolation on real (not extrapolated) binding data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Selectivity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— the antibody-antigen step does the discrimination, not the substrate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Cost / effort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Antibody cost; two-stage functionalisation (Ab coating, then blocking solution); readout requires multivariate analysis (PCA), since changes are broad and distributed</w:t>
            </w:r>
          </w:p>
        </w:tc>
      </w:tr>
    </w:tbl>
    <w:p>
      <w:pPr>
        <w:spacing w:after="160"/>
      </w:pPr>
    </w:p>
    <w:p>
      <w:pPr>
        <w:spacing w:after="160" w:before="0"/>
      </w:pPr>
      <w:r>
        <w:rPr>
          <w:b/>
          <w:bCs/>
        </w:rPr>
        <w:t xml:space="preserve">This is the most rigorously benchmarkable option in this whole document. </w:t>
      </w:r>
      <w:r>
        <w:t xml:space="preserve">Because the organism and serotype match Rusciano's study, a result here is a direct head-to-head comparison, not a “similar system” comparison — a genuinely rare position to be in.</w:t>
      </w:r>
    </w:p>
    <w:p>
      <w:pPr>
        <w:pStyle w:val="Heading2"/>
        <w:spacing w:after="140" w:before="280"/>
      </w:pPr>
      <w:r>
        <w:t xml:space="preserve">3.5 Molecularly imprinted polymers (MIP)</w:t>
      </w:r>
    </w:p>
    <w:p>
      <w:pPr>
        <w:spacing w:after="160" w:before="0"/>
      </w:pPr>
      <w:r>
        <w:t xml:space="preserve">A polymer cast around LPS (or Lipid A) as template, then the template removed, leaving shape- and charge-complementary cavities.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Precedent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Özsoylu et al. (2026, Chem. Eng. J.) — LPS-templated biomimetic MIP surfaces for high-affinity bacterial capture; a related 2024 Anal. Chem. MIP targets bacterial outer-membrane vesicles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Selectivity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Potentially high, and — unlike an antibody — stable at room temperature, relevant for a point-of-care device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Effort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High; polymer optimisation is a project in itself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Timescale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Months</w:t>
            </w:r>
          </w:p>
        </w:tc>
      </w:tr>
    </w:tbl>
    <w:p>
      <w:pPr>
        <w:spacing w:after="160"/>
      </w:pPr>
    </w:p>
    <w:p>
      <w:pPr>
        <w:spacing w:after="160" w:before="0"/>
      </w:pPr>
      <w:r>
        <w:t xml:space="preserve">Actively published (2023–2026), so this is a credible, not speculative, future direction — but not appropriate for the current timeframe.</w:t>
      </w:r>
    </w:p>
    <w:p>
      <w:pPr>
        <w:pStyle w:val="Heading2"/>
        <w:spacing w:after="140" w:before="280"/>
      </w:pPr>
      <w:r>
        <w:t xml:space="preserve">3.6 Linear polymer affinity agents + machine learning (2025)</w:t>
      </w:r>
    </w:p>
    <w:p>
      <w:pPr>
        <w:spacing w:after="160" w:before="0"/>
      </w:pPr>
      <w:r>
        <w:t xml:space="preserve">A newer category worth flagging explicitly. A 2025 study (ACS Appl. Mater. Interfaces) used broad-affinity linear polymer capture agents (not antibody, not a single-target small molecule) immobilised on a metal-film-over-nanosphere substrate, combined with machine learning classification, to detect and differentiate LPS from multiple foodborne pathogens by spectral fingerprint rather than by a single diagnostic band.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Advantage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Captures LPS broadly (serotype-agnostic), then relies on ML to distinguish sources — sidesteps the need for a serotype-specific binder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Relevance here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Directly applicable to this project's stated goal of Gram-class (and potentially organism-level) discrimination from a single sensing channel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Effort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Moderate — depends on sourcing/synthesising the affinity polymer; ML pipeline is a natural extension of work already done for NAM/R6G peak-matching</w:t>
            </w:r>
          </w:p>
        </w:tc>
      </w:tr>
      <w:tr>
        <w:tc>
          <w:tcPr>
            <w:tcW w:type="dxa" w:w="2600"/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Maturity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(2025); worth tracking rather than committing to immediately</w:t>
            </w:r>
          </w:p>
        </w:tc>
      </w:tr>
    </w:tbl>
    <w:p>
      <w:pPr>
        <w:pStyle w:val="Heading2"/>
        <w:spacing w:after="140" w:before="280"/>
      </w:pPr>
      <w:r>
        <w:t xml:space="preserve">3.7 Aptamers</w:t>
      </w:r>
    </w:p>
    <w:p>
      <w:pPr>
        <w:spacing w:after="160" w:before="0"/>
      </w:pPr>
      <w:r>
        <w:t xml:space="preserve">SELEX-selected oligonucleotides against LPS exist in the literature (used directly in the CRISPR/Cas12a boronic-ester assay cited in §3.3) and offer high selectivity without an antibody's cold-chain fragility. As with the NAM document's assessment, a full SELEX campaign is 6–12 months and not appropriate now — but a commercially available anti-LPS aptamer, if one can be sourced off the shelf, would skip that timeline entirely and is worth a quick supplier check before ruling this out.</w:t>
      </w:r>
    </w:p>
    <w:p>
      <w:pPr>
        <w:pStyle w:val="Heading1"/>
        <w:spacing w:after="160" w:before="320"/>
      </w:pPr>
      <w:r>
        <w:t xml:space="preserve">4. Signal strategies</w:t>
      </w:r>
    </w:p>
    <w:p>
      <w:pPr>
        <w:pStyle w:val="Heading2"/>
        <w:spacing w:after="140" w:before="280"/>
      </w:pPr>
      <w:r>
        <w:t xml:space="preserve">4.1 Direct detection</w:t>
      </w:r>
    </w:p>
    <w:p>
      <w:pPr>
        <w:spacing w:after="160" w:before="0"/>
      </w:pPr>
      <w:r>
        <w:t xml:space="preserve">LPS's own bands are, unlike NAM's, reasonably well characterised in the SERS literature even if broad: Lipid A acyl C–H stretching (2850–2950 cm⁻¹, diagnostic and used directly by Rusciano for the bare-substrate measurement), amide/C=O modes near 1650–1660 cm⁻¹, C–N stretching near 1250 cm⁻¹, and core-sugar ring modes in the 800–1150 cm⁻¹ fingerprint region. Expect broad, overlapping bands rather than the sharp, well-separated peaks seen for NAM — this is a large, structurally heterogeneous molecule, and multi-Gaussian deconvolution (as Rusciano used for the 2900 cm⁻¹ envelope) or full multivariate analysis (PCA, or ML per §3.6) is the realistic path to a quantitative readout, not single-peak intensity.</w:t>
      </w:r>
    </w:p>
    <w:p>
      <w:pPr>
        <w:pStyle w:val="Heading2"/>
        <w:spacing w:after="140" w:before="280"/>
      </w:pPr>
      <w:r>
        <w:t xml:space="preserve">4.2 Indirect / reporter-perturbation assay</w:t>
      </w:r>
    </w:p>
    <w:p>
      <w:pPr>
        <w:spacing w:after="160" w:before="0"/>
      </w:pPr>
      <w:r>
        <w:t xml:space="preserve">The antibody strategy (§3.4) is a specific case of this: a strong Raman reporter's own spectrum shifts or splits when LPS binds nearby, and the change — not an LPS band — carries the concentration information. This generalises beyond antibodies: a polymyxin B–dye conjugate, following the logic of clinical endotoxin-neutralisation assays, could serve the same reporter role at lower cost than a full antibody.</w:t>
      </w:r>
    </w:p>
    <w:p>
      <w:pPr>
        <w:pStyle w:val="Heading2"/>
        <w:spacing w:after="140" w:before="280"/>
      </w:pPr>
      <w:r>
        <w:t xml:space="preserve">4.3 Machine-learning-assisted classification</w:t>
      </w:r>
    </w:p>
    <w:p>
      <w:pPr>
        <w:spacing w:after="160" w:before="0"/>
      </w:pPr>
      <w:r>
        <w:t xml:space="preserve">Increasingly the standard approach for LPS/endotoxin SERS specifically — Yang et al. (2022, Nanoscale) differentiated bacterial endotoxins by SERS plus ML; “DeepRaman” (2025) extends this; the linear-polymer-affinity study (§3.6) pairs broad capture with ML discrimination. Given that this project already has DFT-grounded peak assignments and a working Python/computational pipeline from the NAM work, extending toward classification (rather than single-band quantification) is a natural and comparatively low-cost next step once real LPS spectra exist.</w:t>
      </w:r>
    </w:p>
    <w:p>
      <w:pPr>
        <w:pStyle w:val="Heading1"/>
        <w:spacing w:after="160" w:before="320"/>
      </w:pPr>
      <w:r>
        <w:t xml:space="preserve">5. Recommended sequence</w:t>
      </w:r>
    </w:p>
    <w:p>
      <w:pPr>
        <w:spacing w:after="160" w:before="0"/>
      </w:pPr>
      <w:r>
        <w:t xml:space="preserve">Ordered by information gained per unit effort, and updated for the fact that this reagent is a direct match to the closest published precedent.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1700"/>
        <w:gridCol w:w="4780"/>
      </w:tblGrid>
      <w:tr>
        <w:tc>
          <w:tcPr>
            <w:tcW w:type="dxa" w:w="7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9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70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478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Drop-cast LPS on bare existing substrate; measure 2850–2950 cm⁻¹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day</w:t>
            </w:r>
          </w:p>
        </w:tc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Does the existing substrate reproduce Rusciano's bare-substrate Cmin (~3 ng/mL) for the same serotype?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on a commercial SERS substrate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day + purchase</w:t>
            </w:r>
          </w:p>
        </w:tc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Separates fabrication issues from LPS-specific issues (same logic as the NAM plan)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Polymyxin B capture layer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week</w:t>
            </w:r>
          </w:p>
        </w:tc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Does a genuine Lipid A ligand outperform bare adsorption, particularly in a serum-like background?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4-MPBA boronic acid monolayer (existing chemistry)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1–2 weeks</w:t>
            </w:r>
          </w:p>
        </w:tc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Does the core diol bind, or is it O-antigen-shielded — test against fructose and, if available, a rough-LPS control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Anti-Lipid A antibody, frequency-shift readout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2–3 weeks</w:t>
            </w:r>
          </w:p>
        </w:tc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Direct, same-serotype benchmark against Rusciano's 12/41 ng/mL LOD/LOQ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Cysteamine/chitosan generic cationic layer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days</w:t>
            </w:r>
          </w:p>
        </w:tc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Lower priority than polymyxin B; mainly useful if polymyxin B is unavailable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Linear polymer affinity agent + ML classification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Weeks–months</w:t>
            </w:r>
          </w:p>
        </w:tc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Multiplex/serotype-agnostic capture — aligns with the project's Gram-class discrimination goal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MIP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Months</w:t>
            </w:r>
          </w:p>
        </w:tc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Long-term selectivity, room-temperature-stable alternative to antibody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Aptamer (SELEX campaign)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6–12 months</w:t>
            </w:r>
          </w:p>
        </w:tc>
        <w:tc>
          <w:tcPr>
            <w:tcW w:type="dxa" w:w="4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if no off-the-shelf aptamer can be sourced</w:t>
            </w:r>
          </w:p>
        </w:tc>
      </w:tr>
    </w:tbl>
    <w:p>
      <w:pPr>
        <w:spacing w:after="160"/>
      </w:pPr>
    </w:p>
    <w:p>
      <w:pPr>
        <w:spacing w:after="160" w:before="0"/>
      </w:pPr>
      <w:r>
        <w:rPr>
          <w:b/>
          <w:bCs/>
        </w:rPr>
        <w:t xml:space="preserve">Steps 1 and 2 together cost two days and, unusually for this project, compare directly against a published number rather than an unknown. </w:t>
      </w:r>
      <w:r>
        <w:t xml:space="preserve">They should be run before anything else involving this reagent.</w:t>
      </w:r>
    </w:p>
    <w:p>
      <w:pPr>
        <w:pStyle w:val="Heading1"/>
        <w:spacing w:after="160" w:before="320"/>
      </w:pPr>
      <w:r>
        <w:t xml:space="preserve">6. What I would tell the professor</w:t>
      </w:r>
    </w:p>
    <w:p>
      <w:pPr>
        <w:spacing w:after="160" w:before="0"/>
      </w:pPr>
      <w:r>
        <w:t xml:space="preserve">Three points:</w:t>
      </w:r>
    </w:p>
    <w:p>
      <w:pPr>
        <w:spacing w:after="160" w:before="0"/>
      </w:pPr>
      <w:r>
        <w:rPr>
          <w:b/>
          <w:bCs/>
        </w:rPr>
        <w:t xml:space="preserve">This reagent is a near-exact match to the strongest published precedent this project has. </w:t>
      </w:r>
      <w:r>
        <w:t xml:space="preserve">Rusciano et al. (2023) used the same organism and serotype (E. coli O111:B4) from the same supplier family. Every experiment run with this LPS can be benchmarked against a real, published LOD/LOQ (12/41 ng/mL, or Cmin ≈3 ng/mL for bare-substrate detection) rather than compared only qualitatively to “similar” work.</w:t>
      </w:r>
    </w:p>
    <w:p>
      <w:pPr>
        <w:spacing w:after="160" w:before="0"/>
      </w:pPr>
      <w:r>
        <w:rPr>
          <w:b/>
          <w:bCs/>
        </w:rPr>
        <w:t xml:space="preserve">LPS is intrinsically far more SERS-favourable than NAM. </w:t>
      </w:r>
      <w:r>
        <w:t xml:space="preserve">It is amphiphilic and multiply anionic — properties that give it real affinity for a bare metal surface without any capture chemistry — where NAM had essentially none. The first experiment should be the cheapest one: direct adsorption on the existing substrate.</w:t>
      </w:r>
    </w:p>
    <w:p>
      <w:pPr>
        <w:spacing w:after="160" w:before="0"/>
      </w:pPr>
      <w:r>
        <w:rPr>
          <w:b/>
          <w:bCs/>
        </w:rPr>
        <w:t xml:space="preserve">Boronic acid, already the project's working chemistry, is aimed at the wrong analyte if used for free NAM, but is aimed at the right one here. </w:t>
      </w:r>
      <w:r>
        <w:t xml:space="preserve">LPS's core KDO and heptose residues carry genuine, unblocked cis-diols. The open question for this reagent specifically is not whether the chemistry exists, but whether the intact O111 O-antigen (a consequence of choosing the phenol-extraction / smooth-LPS product) sterically shields those diols — a one-week experiment, not a redesign.</w:t>
      </w:r>
    </w:p>
    <w:p>
      <w:pPr>
        <w:pStyle w:val="Heading1"/>
        <w:spacing w:after="160" w:before="320"/>
      </w:pPr>
      <w:r>
        <w:t xml:space="preserve">References</w:t>
      </w:r>
    </w:p>
    <w:p>
      <w:pPr>
        <w:spacing w:after="120" w:before="0"/>
      </w:pPr>
      <w:r>
        <w:t xml:space="preserve">1. Rusciano, G.; Capaccio, A.; Sasso, A.; Capo, A.; Almuzara, C.M.; Staiano, M.; D’Auria, S.; Varriale, A. “A Surface-Enhanced Raman Spectroscopy-Based Biosensor for the Detection of Biological Macromolecules: The Case of the Lipopolysaccharide Endotoxin Molecules.” Int. J. Mol. Sci. 24(15):12099 (2023). DOI:10.3390/ijms241512099. [Uses E. coli O111:B4 LPS, Sigma-Aldrich L6529 — same serotype/supplier family as this project's L2630.]</w:t>
      </w:r>
    </w:p>
    <w:p>
      <w:pPr>
        <w:spacing w:after="120" w:before="0"/>
      </w:pPr>
      <w:r>
        <w:t xml:space="preserve">2. Verde, A.; Mangini, M.; Managò, S.; Tramontano, C.; Rea, I.; Boraschi, D.; Italiani, P.; De Luca, A.C. “SERS sensing of bacterial endotoxin on gold nanoparticles.” Front. Immunol. 12:758410 (2021).</w:t>
      </w:r>
    </w:p>
    <w:p>
      <w:pPr>
        <w:spacing w:after="120" w:before="0"/>
      </w:pPr>
      <w:r>
        <w:t xml:space="preserve">3. Yang, D.; Xu, S.; Haverstick, J.; Ibtehaz, N.; Muszyński, A.; Chen, X.; Chowdhury, R.; Zughaier, S.M.; Zhao, Y. “Differentiation and classification of bacterial endotoxins based on surface enhanced Raman scattering and advanced machine learning.” Nanoscale 14(24):8806–8817 (2022). DOI:10.1039/d2nr01277d.</w:t>
      </w:r>
    </w:p>
    <w:p>
      <w:pPr>
        <w:spacing w:after="120" w:before="0"/>
      </w:pPr>
      <w:r>
        <w:t xml:space="preserve">4. “DeepRaman: Implementing SERS with cutting-edge machine learning for differentiation/classification of bacterial endotoxins.” (2025).</w:t>
      </w:r>
    </w:p>
    <w:p>
      <w:pPr>
        <w:spacing w:after="120" w:before="0"/>
      </w:pPr>
      <w:r>
        <w:t xml:space="preserve">5. CRISPR/Cas12a + boronic ester + LPS aptamer dual-recognition assay. Anal. Chem. (2022). PubMed 36040369.</w:t>
      </w:r>
    </w:p>
    <w:p>
      <w:pPr>
        <w:spacing w:after="120" w:before="0"/>
      </w:pPr>
      <w:r>
        <w:t xml:space="preserve">6. Kim, H. et al. “Chitosan Stabilized Silver Nanoparticles for the Electrochemical Detection of Lipopolysaccharide: A Facile Biosensing Approach for Gram-Negative Bacteria.” Micromachines 11(4):413 (2020). PMC7231338.</w:t>
      </w:r>
    </w:p>
    <w:p>
      <w:pPr>
        <w:spacing w:after="120" w:before="0"/>
      </w:pPr>
      <w:r>
        <w:t xml:space="preserve">7. Özsoylu, D.; Börmann-El Kholy, E.; Wagner, P.; Schöning, M.J. “Lipopolysaccharide-templated biomimetic MIP surfaces for high-affinity bacterial capture.” Chem. Eng. J. (2026).</w:t>
      </w:r>
    </w:p>
    <w:p>
      <w:pPr>
        <w:spacing w:after="120" w:before="0"/>
      </w:pPr>
      <w:r>
        <w:t xml:space="preserve">8. “Lipopolysaccharide Imprinted Polymers for Specific Recognition of Bacterial Outer Membrane Vesicles.” Anal. Chem. (2024). DOI:10.1021/acs.analchem.4c05288.</w:t>
      </w:r>
    </w:p>
    <w:p>
      <w:pPr>
        <w:spacing w:after="120" w:before="0"/>
      </w:pPr>
      <w:r>
        <w:t xml:space="preserve">9. “A Machine Learning-Enabled SERS Sensor: Multiplex Detection of Lipopolysaccharides from Foodborne Pathogenic Bacteria.” ACS Appl. Mater. Interfaces (2025). DOI:10.1021/acsami.5c08361.</w:t>
      </w:r>
    </w:p>
    <w:p>
      <w:pPr>
        <w:spacing w:after="120" w:before="0"/>
      </w:pPr>
      <w:r>
        <w:t xml:space="preserve">10. Sigma-Aldrich product page, Lipopolysaccharides from E. coli O111:B4, L2630 (CAS 93572-42-0, EC 297-473-0).</w:t>
      </w:r>
    </w:p>
    <w:p>
      <w:pPr>
        <w:spacing w:after="0" w:before="0"/>
      </w:pPr>
      <w:r>
        <w:rPr>
          <w:i/>
          <w:iCs/>
        </w:rPr>
        <w:t xml:space="preserve">Citation details to be independently verified against the primary sources before use in a formal report, consistent with the practice followed for the NAM capture-strategy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2026-08-13T21:33:04.262Z</dcterms:created>
  <dcterms:modified xsi:type="dcterms:W3CDTF">2026-08-13T21:33:04.262Z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