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Calibri" w:cs="Calibri" w:eastAsia="Calibri" w:hAnsi="Calibri"/>
          <w:b/>
          <w:bCs/>
          <w:color w:val="0E7C8B"/>
          <w:spacing w:val="60"/>
          <w:sz w:val="20"/>
          <w:szCs w:val="20"/>
        </w:rPr>
        <w:t xml:space="preserve">MASTERS IN MEDICAL TECHNOLOGIES</w:t>
      </w:r>
    </w:p>
    <w:p>
      <w:pPr>
        <w:spacing w:after="80" w:before="0"/>
        <w:jc w:val="center"/>
      </w:pPr>
      <w:r>
        <w:rPr>
          <w:rFonts w:ascii="Calibri" w:cs="Calibri" w:eastAsia="Calibri" w:hAnsi="Calibri"/>
          <w:color w:val="607080"/>
          <w:sz w:val="20"/>
          <w:szCs w:val="20"/>
        </w:rPr>
        <w:t xml:space="preserve">IIT Jodhpur &amp; AIIMS Jodhpur</w:t>
      </w:r>
    </w:p>
    <w:p>
      <w:pPr>
        <w:pBdr>
          <w:bottom w:val="single" w:color="0D2B55" w:sz="8"/>
        </w:pBdr>
        <w:spacing w:after="0" w:before="360"/>
      </w:pPr>
    </w:p>
    <w:p>
      <w:pPr>
        <w:spacing w:after="360" w:before="0"/>
      </w:pPr>
    </w:p>
    <w:p>
      <w:pPr>
        <w:spacing w:after="160" w:before="0"/>
        <w:jc w:val="center"/>
      </w:pPr>
      <w:r>
        <w:rPr>
          <w:rFonts w:ascii="Cambria" w:cs="Cambria" w:eastAsia="Cambria" w:hAnsi="Cambria"/>
          <w:color w:val="0E7C8B"/>
          <w:sz w:val="32"/>
          <w:szCs w:val="32"/>
        </w:rPr>
        <w:t xml:space="preserve">Literature Review Report</w:t>
      </w:r>
    </w:p>
    <w:p>
      <w:pPr>
        <w:spacing w:after="200" w:before="0"/>
        <w:jc w:val="center"/>
      </w:pPr>
      <w:r>
        <w:rPr>
          <w:rFonts w:ascii="Cambria" w:cs="Cambria" w:eastAsia="Cambria" w:hAnsi="Cambria"/>
          <w:b/>
          <w:bCs/>
          <w:color w:val="0D2B55"/>
          <w:sz w:val="44"/>
          <w:szCs w:val="44"/>
        </w:rPr>
        <w:t xml:space="preserve">Published Raman and SERS Spectral Peaks for</w:t>
      </w:r>
    </w:p>
    <w:p>
      <w:pPr>
        <w:spacing w:after="200" w:before="0"/>
        <w:jc w:val="center"/>
      </w:pPr>
      <w:r>
        <w:rPr>
          <w:rFonts w:ascii="Cambria" w:cs="Cambria" w:eastAsia="Cambria" w:hAnsi="Cambria"/>
          <w:b/>
          <w:bCs/>
          <w:color w:val="0D2B55"/>
          <w:sz w:val="40"/>
          <w:szCs w:val="40"/>
        </w:rPr>
        <w:t xml:space="preserve">N-Acetylmuramic Acid (NAM), Lipopolysaccharide (LPS),
and Lipoteichoic Acid (LTA)</w:t>
      </w:r>
    </w:p>
    <w:p>
      <w:pPr>
        <w:spacing w:after="80" w:before="0"/>
        <w:jc w:val="center"/>
      </w:pPr>
      <w:r>
        <w:rPr>
          <w:rFonts w:ascii="Calibri" w:cs="Calibri" w:eastAsia="Calibri" w:hAnsi="Calibri"/>
          <w:color w:val="607080"/>
          <w:sz w:val="24"/>
          <w:szCs w:val="24"/>
        </w:rPr>
        <w:t xml:space="preserve">Reference Compilation for Experimental Peak Matching and Validation</w:t>
      </w:r>
    </w:p>
    <w:p>
      <w:pPr>
        <w:spacing w:after="80" w:before="0"/>
        <w:jc w:val="center"/>
      </w:pPr>
      <w:r>
        <w:rPr>
          <w:rFonts w:ascii="Calibri" w:cs="Calibri" w:eastAsia="Calibri" w:hAnsi="Calibri"/>
          <w:color w:val="607080"/>
          <w:sz w:val="24"/>
          <w:szCs w:val="24"/>
        </w:rPr>
        <w:t xml:space="preserve">SERS-Based Nanobiosensor for Rapid Bacterial Sepsis Detection</w:t>
      </w:r>
    </w:p>
    <w:p>
      <w:pPr>
        <w:pBdr>
          <w:bottom w:val="single" w:color="0E7C8B" w:sz="4"/>
        </w:pBdr>
        <w:spacing w:after="360" w:before="360"/>
      </w:pPr>
    </w:p>
    <w:p>
      <w:pPr>
        <w:spacing w:after="60" w:before="200"/>
        <w:jc w:val="center"/>
      </w:pPr>
      <w:r>
        <w:rPr>
          <w:rFonts w:ascii="Calibri" w:cs="Calibri" w:eastAsia="Calibri" w:hAnsi="Calibri"/>
          <w:b/>
          <w:bCs/>
          <w:color w:val="0D2B55"/>
          <w:sz w:val="24"/>
          <w:szCs w:val="24"/>
        </w:rPr>
        <w:t xml:space="preserve">Dr. Mohamed Zaki Hafeez  |  M24IM1002</w:t>
      </w:r>
    </w:p>
    <w:p>
      <w:pPr>
        <w:spacing w:after="60" w:before="0"/>
        <w:jc w:val="center"/>
      </w:pPr>
      <w:r>
        <w:rPr>
          <w:rFonts w:ascii="Calibri" w:cs="Calibri" w:eastAsia="Calibri" w:hAnsi="Calibri"/>
          <w:b/>
          <w:bCs/>
          <w:color w:val="0D2B55"/>
          <w:sz w:val="24"/>
          <w:szCs w:val="24"/>
        </w:rPr>
        <w:t xml:space="preserve">Sukesh P  |  M24IM1007</w:t>
      </w:r>
    </w:p>
    <w:p>
      <w:pPr>
        <w:spacing w:after="60" w:before="0"/>
        <w:jc w:val="center"/>
      </w:pPr>
      <w:r>
        <w:rPr>
          <w:rFonts w:ascii="Calibri" w:cs="Calibri" w:eastAsia="Calibri" w:hAnsi="Calibri"/>
          <w:color w:val="607080"/>
          <w:sz w:val="22"/>
          <w:szCs w:val="22"/>
        </w:rPr>
        <w:t xml:space="preserve">Supervisors: Prof. Ajay Agarwal  &amp;  Dr. Neeraj Gupta</w:t>
      </w:r>
    </w:p>
    <w:p>
      <w:pPr>
        <w:spacing w:after="60" w:before="0"/>
        <w:jc w:val="center"/>
      </w:pPr>
      <w:r>
        <w:rPr>
          <w:rFonts w:ascii="Calibri" w:cs="Calibri" w:eastAsia="Calibri" w:hAnsi="Calibri"/>
          <w:color w:val="607080"/>
          <w:sz w:val="22"/>
          <w:szCs w:val="22"/>
        </w:rPr>
        <w:t xml:space="preserve">April 2026</w:t>
      </w:r>
    </w:p>
    <w:p>
      <w:r>
        <w:br w:type="page"/>
      </w:r>
    </w:p>
    <w:p>
      <w:pPr>
        <w:pStyle w:val="Heading1"/>
        <w:spacing w:after="120" w:before="320"/>
      </w:pPr>
      <w:r>
        <w:rPr>
          <w:rFonts w:ascii="Cambria" w:cs="Cambria" w:eastAsia="Cambria" w:hAnsi="Cambria"/>
          <w:b/>
          <w:bCs/>
          <w:color w:val="0D2B55"/>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after="120" w:before="320"/>
      </w:pPr>
      <w:r>
        <w:rPr>
          <w:rFonts w:ascii="Cambria" w:cs="Cambria" w:eastAsia="Cambria" w:hAnsi="Cambria"/>
          <w:b/>
          <w:bCs/>
          <w:color w:val="0D2B55"/>
          <w:sz w:val="32"/>
          <w:szCs w:val="32"/>
        </w:rPr>
        <w:t xml:space="preserve">1. Introduction and Scope</w:t>
      </w:r>
    </w:p>
    <w:p>
      <w:pPr>
        <w:spacing w:after="80" w:before="0" w:line="300"/>
        <w:jc w:val="left"/>
      </w:pPr>
      <w:r>
        <w:rPr>
          <w:rFonts w:ascii="Calibri" w:cs="Calibri" w:eastAsia="Calibri" w:hAnsi="Calibri"/>
          <w:b w:val="false"/>
          <w:bCs w:val="false"/>
          <w:i w:val="false"/>
          <w:iCs w:val="false"/>
          <w:color w:val="1E2D3D"/>
          <w:sz w:val="22"/>
          <w:szCs w:val="22"/>
        </w:rPr>
        <w:t xml:space="preserve">This report compiles published Raman and Surface-Enhanced Raman Spectroscopy (SERS) spectral data for three bacterial-specific biomarkers: N-Acetylmuramic Acid (NAM), Lipopolysaccharide (LPS), and Lipoteichoic Acid (LTA). The primary purpose of this reference document is to provide a comprehensive basis for matching and validating experimentally acquired Raman and SERS peaks against established literature values in the context of a SERS-based nanobiosensor being developed for rapid bacterial sepsis detection.</w:t>
      </w:r>
    </w:p>
    <w:p>
      <w:pPr>
        <w:spacing w:after="80" w:before="0" w:line="300"/>
        <w:jc w:val="left"/>
      </w:pPr>
      <w:r>
        <w:rPr>
          <w:rFonts w:ascii="Calibri" w:cs="Calibri" w:eastAsia="Calibri" w:hAnsi="Calibri"/>
          <w:b w:val="false"/>
          <w:bCs w:val="false"/>
          <w:i w:val="false"/>
          <w:iCs w:val="false"/>
          <w:color w:val="1E2D3D"/>
          <w:sz w:val="22"/>
          <w:szCs w:val="22"/>
        </w:rPr>
        <w:t xml:space="preserve">The three biomarkers were selected for their complementary diagnostic value:</w:t>
      </w:r>
    </w:p>
    <w:p>
      <w:pPr>
        <w:pStyle w:val="ListParagraph"/>
        <w:numPr>
          <w:ilvl w:val="0"/>
          <w:numId w:val="2"/>
        </w:numPr>
        <w:spacing w:after="60" w:before="0" w:line="276"/>
      </w:pPr>
      <w:r>
        <w:rPr>
          <w:rFonts w:ascii="Calibri" w:cs="Calibri" w:eastAsia="Calibri" w:hAnsi="Calibri"/>
          <w:b w:val="false"/>
          <w:bCs w:val="false"/>
          <w:i w:val="false"/>
          <w:iCs w:val="false"/>
          <w:color w:val="1E2D3D"/>
          <w:sz w:val="22"/>
          <w:szCs w:val="22"/>
        </w:rPr>
        <w:t xml:space="preserve">NAM (N-Acetylmuramic Acid): The fundamental monosaccharide building block of peptidoglycan (PGN) — present exclusively in ALL bacteria, absent in viruses, fungi, parasites, and human biomolecules. Any detectable signal is diagnostically definitive for bacterial infection.</w:t>
      </w:r>
    </w:p>
    <w:p>
      <w:pPr>
        <w:pStyle w:val="ListParagraph"/>
        <w:numPr>
          <w:ilvl w:val="0"/>
          <w:numId w:val="2"/>
        </w:numPr>
        <w:spacing w:after="60" w:before="0" w:line="276"/>
      </w:pPr>
      <w:r>
        <w:rPr>
          <w:rFonts w:ascii="Calibri" w:cs="Calibri" w:eastAsia="Calibri" w:hAnsi="Calibri"/>
          <w:b w:val="false"/>
          <w:bCs w:val="false"/>
          <w:i w:val="false"/>
          <w:iCs w:val="false"/>
          <w:color w:val="1E2D3D"/>
          <w:sz w:val="22"/>
          <w:szCs w:val="22"/>
        </w:rPr>
        <w:t xml:space="preserve">LPS (Lipopolysaccharide): Exclusively found in the outer membrane of Gram-negative bacteria (e.g., E. coli, K. pneumoniae, P. aeruginosa). Major endotoxin correlating with sepsis severity.</w:t>
      </w:r>
    </w:p>
    <w:p>
      <w:pPr>
        <w:pStyle w:val="ListParagraph"/>
        <w:numPr>
          <w:ilvl w:val="0"/>
          <w:numId w:val="2"/>
        </w:numPr>
        <w:spacing w:after="60" w:before="0" w:line="276"/>
      </w:pPr>
      <w:r>
        <w:rPr>
          <w:rFonts w:ascii="Calibri" w:cs="Calibri" w:eastAsia="Calibri" w:hAnsi="Calibri"/>
          <w:b w:val="false"/>
          <w:bCs w:val="false"/>
          <w:i w:val="false"/>
          <w:iCs w:val="false"/>
          <w:color w:val="1E2D3D"/>
          <w:sz w:val="22"/>
          <w:szCs w:val="22"/>
        </w:rPr>
        <w:t xml:space="preserve">LTA (Lipoteichoic Acid): A poly(glycerol-phosphate) polymer anchored to the cell membrane of Gram-positive bacteria exclusively (e.g., S. aureus, S. pneumoniae, Enterococcus). No equivalent structure exists in Gram-negative organisms or human cells.</w:t>
      </w:r>
    </w:p>
    <w:p>
      <w:pPr>
        <w:spacing w:after="80" w:before="120"/>
      </w:pPr>
      <w:r>
        <w:rPr>
          <w:rFonts w:ascii="Calibri" w:cs="Calibri" w:eastAsia="Calibri" w:hAnsi="Calibri"/>
          <w:b w:val="false"/>
          <w:bCs w:val="false"/>
          <w:i w:val="false"/>
          <w:iCs w:val="false"/>
          <w:color w:val="1E2D3D"/>
          <w:sz w:val="22"/>
          <w:szCs w:val="22"/>
        </w:rPr>
        <w:t xml:space="preserve">Each section below provides: (1) the molecular structure and key vibrational modes relevant to Raman activity, (2) a comprehensive table of published peak positions from peer-reviewed literature with citations, (3) a comparison of peaks across multiple studies, and (4) a combined summary table for direct experimental comparison. The report covers both standard Raman spectroscopy and SERS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CE8" w:sz="1"/>
              <w:left w:val="single" w:color="0E7C8B" w:sz="16"/>
              <w:bottom w:val="single" w:color="C8DCE8" w:sz="1"/>
              <w:right w:val="single" w:color="C8DCE8" w:sz="1"/>
            </w:tcBorders>
            <w:shd w:fill="EAF4F7" w:val="clear"/>
            <w:tcMar>
              <w:top w:type="dxa" w:w="80"/>
              <w:left w:type="dxa" w:w="140"/>
              <w:bottom w:type="dxa" w:w="80"/>
              <w:right w:type="dxa" w:w="140"/>
            </w:tcMar>
          </w:tcPr>
          <w:p>
            <w:pPr>
              <w:spacing w:after="60" w:before="0"/>
            </w:pPr>
            <w:r>
              <w:rPr>
                <w:rFonts w:ascii="Calibri" w:cs="Calibri" w:eastAsia="Calibri" w:hAnsi="Calibri"/>
                <w:color w:val="1E2D3D"/>
                <w:sz w:val="20"/>
                <w:szCs w:val="20"/>
              </w:rPr>
              <w:t xml:space="preserve">How to use this report: When your experimental spectrum shows a peak at a given wavenumber, locate the nearest entry in the tables below. If the peak position falls within ±10 cm⁻¹ of a published value for the same functional group assignment, the match is considered valid. A ±15 cm⁻¹ tolerance is acceptable for broader polymer biomarkers (LPS, LTA) due to natural structural heterogeneity.</w:t>
            </w:r>
          </w:p>
          <w:p>
            <w:pPr>
              <w:spacing w:after="60" w:before="0"/>
            </w:pPr>
            <w:r>
              <w:rPr>
                <w:rFonts w:ascii="Calibri" w:cs="Calibri" w:eastAsia="Calibri" w:hAnsi="Calibri"/>
                <w:color w:val="1E2D3D"/>
                <w:sz w:val="20"/>
                <w:szCs w:val="20"/>
              </w:rPr>
              <w:t xml:space="preserve">Note on DFT: Density Functional Theory (DFT) calculated frequencies typically overestimate experimental values by 3–10%. A scaling factor of 0.96–0.98 is conventionally applied. All DFT values cited here are unscaled unless otherwise noted.</w:t>
            </w:r>
          </w:p>
        </w:tc>
      </w:tr>
    </w:tbl>
    <w:p>
      <w:r>
        <w:br w:type="page"/>
      </w:r>
    </w:p>
    <w:p>
      <w:pPr>
        <w:pStyle w:val="Heading1"/>
        <w:spacing w:after="120" w:before="320"/>
      </w:pPr>
      <w:r>
        <w:rPr>
          <w:rFonts w:ascii="Cambria" w:cs="Cambria" w:eastAsia="Cambria" w:hAnsi="Cambria"/>
          <w:b/>
          <w:bCs/>
          <w:color w:val="0D2B55"/>
          <w:sz w:val="32"/>
          <w:szCs w:val="32"/>
        </w:rPr>
        <w:t xml:space="preserve">2. N-Acetylmuramic Acid (NAM) / Peptidoglycan (PGN)</w:t>
      </w:r>
    </w:p>
    <w:p>
      <w:pPr>
        <w:pStyle w:val="Heading2"/>
        <w:spacing w:after="80" w:before="240"/>
      </w:pPr>
      <w:r>
        <w:rPr>
          <w:rFonts w:ascii="Cambria" w:cs="Cambria" w:eastAsia="Cambria" w:hAnsi="Cambria"/>
          <w:b/>
          <w:bCs/>
          <w:color w:val="0E7C8B"/>
          <w:sz w:val="26"/>
          <w:szCs w:val="26"/>
        </w:rPr>
        <w:t xml:space="preserve">2.1 Structural Overview and Raman Activity</w:t>
      </w:r>
    </w:p>
    <w:p>
      <w:pPr>
        <w:spacing w:after="80" w:before="0" w:line="300"/>
        <w:jc w:val="left"/>
      </w:pPr>
      <w:r>
        <w:rPr>
          <w:rFonts w:ascii="Calibri" w:cs="Calibri" w:eastAsia="Calibri" w:hAnsi="Calibri"/>
          <w:b w:val="false"/>
          <w:bCs w:val="false"/>
          <w:i w:val="false"/>
          <w:iCs w:val="false"/>
          <w:color w:val="1E2D3D"/>
          <w:sz w:val="22"/>
          <w:szCs w:val="22"/>
        </w:rPr>
        <w:t xml:space="preserve">N-Acetylmuramic Acid (NAM, also written MurNAc) is the defining structural monosaccharide of the peptidoglycan (PGN) layer universally present in all bacterial cell walls. It is synthesised by the enzymatic addition of a lactyl ether group to N-acetylglucosamine (NAG) — a modification that is unique to bacterial biosynthetic pathways. The resulting disaccharide backbone, NAG-NAM, polymerises into the PGN mesh that gives bacteria their structural integrity.</w:t>
      </w:r>
    </w:p>
    <w:p>
      <w:pPr>
        <w:spacing w:after="80" w:before="0" w:line="300"/>
        <w:jc w:val="left"/>
      </w:pPr>
      <w:r>
        <w:rPr>
          <w:rFonts w:ascii="Calibri" w:cs="Calibri" w:eastAsia="Calibri" w:hAnsi="Calibri"/>
          <w:b w:val="false"/>
          <w:bCs w:val="false"/>
          <w:i w:val="false"/>
          <w:iCs w:val="false"/>
          <w:color w:val="1E2D3D"/>
          <w:sz w:val="22"/>
          <w:szCs w:val="22"/>
        </w:rPr>
        <w:t xml:space="preserve">NAM possesses several chemically distinct functional groups that generate strong, characteristic Raman-active vibrational modes:</w:t>
      </w:r>
    </w:p>
    <w:p>
      <w:pPr>
        <w:pStyle w:val="ListParagraph"/>
        <w:numPr>
          <w:ilvl w:val="0"/>
          <w:numId w:val="2"/>
        </w:numPr>
        <w:spacing w:after="60" w:before="0" w:line="276"/>
      </w:pPr>
      <w:r>
        <w:rPr>
          <w:rFonts w:ascii="Calibri" w:cs="Calibri" w:eastAsia="Calibri" w:hAnsi="Calibri"/>
          <w:b w:val="false"/>
          <w:bCs w:val="false"/>
          <w:i w:val="false"/>
          <w:iCs w:val="false"/>
          <w:color w:val="1E2D3D"/>
          <w:sz w:val="22"/>
          <w:szCs w:val="22"/>
        </w:rPr>
        <w:t xml:space="preserve">Amide group (-NHCO-): The N-acetyl amide linkage produces the highly diagnostic Amide I and Amide II bands. The Amide II band (~1550 cm⁻¹) is particularly valuable because it arises from the N-acetyl group unique to NAM and NAG — a moiety absent in human sugars such as glucose, galactose, or mannose.</w:t>
      </w:r>
    </w:p>
    <w:p>
      <w:pPr>
        <w:pStyle w:val="ListParagraph"/>
        <w:numPr>
          <w:ilvl w:val="0"/>
          <w:numId w:val="2"/>
        </w:numPr>
        <w:spacing w:after="60" w:before="0" w:line="276"/>
      </w:pPr>
      <w:r>
        <w:rPr>
          <w:rFonts w:ascii="Calibri" w:cs="Calibri" w:eastAsia="Calibri" w:hAnsi="Calibri"/>
          <w:b w:val="false"/>
          <w:bCs w:val="false"/>
          <w:i w:val="false"/>
          <w:iCs w:val="false"/>
          <w:color w:val="1E2D3D"/>
          <w:sz w:val="22"/>
          <w:szCs w:val="22"/>
        </w:rPr>
        <w:t xml:space="preserve">Pyranose ring: The six-membered sugar ring generates characteristic ring deformation, ring breathing, and C-O stretching vibrations in the 400–1100 cm⁻¹ region.</w:t>
      </w:r>
    </w:p>
    <w:p>
      <w:pPr>
        <w:pStyle w:val="ListParagraph"/>
        <w:numPr>
          <w:ilvl w:val="0"/>
          <w:numId w:val="2"/>
        </w:numPr>
        <w:spacing w:after="60" w:before="0" w:line="276"/>
      </w:pPr>
      <w:r>
        <w:rPr>
          <w:rFonts w:ascii="Calibri" w:cs="Calibri" w:eastAsia="Calibri" w:hAnsi="Calibri"/>
          <w:b w:val="false"/>
          <w:bCs w:val="false"/>
          <w:i w:val="false"/>
          <w:iCs w:val="false"/>
          <w:color w:val="1E2D3D"/>
          <w:sz w:val="22"/>
          <w:szCs w:val="22"/>
        </w:rPr>
        <w:t xml:space="preserve">Glycosidic C-O-C linkage: The oxygen bridge connecting the two sugar monomers (NAG-NAM) produces a strong stretching vibration at ~870–875 cm⁻¹, uniquely attributable to the bacterial peptidoglycan backbone.</w:t>
      </w:r>
    </w:p>
    <w:p>
      <w:pPr>
        <w:pStyle w:val="ListParagraph"/>
        <w:numPr>
          <w:ilvl w:val="0"/>
          <w:numId w:val="2"/>
        </w:numPr>
        <w:spacing w:after="60" w:before="0" w:line="276"/>
      </w:pPr>
      <w:r>
        <w:rPr>
          <w:rFonts w:ascii="Calibri" w:cs="Calibri" w:eastAsia="Calibri" w:hAnsi="Calibri"/>
          <w:b w:val="false"/>
          <w:bCs w:val="false"/>
          <w:i w:val="false"/>
          <w:iCs w:val="false"/>
          <w:color w:val="1E2D3D"/>
          <w:sz w:val="22"/>
          <w:szCs w:val="22"/>
        </w:rPr>
        <w:t xml:space="preserve">Lactyl ether (C-O-C-COOH): The lactic acid substituent introduces additional C-O stretching modes and the C=O stretch of the carboxylic acid group (~1700–1720 cm⁻¹).</w:t>
      </w:r>
    </w:p>
    <w:p>
      <w:pPr>
        <w:pStyle w:val="ListParagraph"/>
        <w:numPr>
          <w:ilvl w:val="0"/>
          <w:numId w:val="2"/>
        </w:numPr>
        <w:spacing w:after="60" w:before="0" w:line="276"/>
      </w:pPr>
      <w:r>
        <w:rPr>
          <w:rFonts w:ascii="Calibri" w:cs="Calibri" w:eastAsia="Calibri" w:hAnsi="Calibri"/>
          <w:b w:val="false"/>
          <w:bCs w:val="false"/>
          <w:i w:val="false"/>
          <w:iCs w:val="false"/>
          <w:color w:val="1E2D3D"/>
          <w:sz w:val="22"/>
          <w:szCs w:val="22"/>
        </w:rPr>
        <w:t xml:space="preserve">C-H deformation and C-O stretching: Multiple overlapping contributions from the carbohydrate scaffold appear in the 1000–1500 cm⁻¹ fingerprint region.</w:t>
      </w:r>
    </w:p>
    <w:p>
      <w:pPr>
        <w:pStyle w:val="Heading2"/>
        <w:spacing w:after="80" w:before="240"/>
      </w:pPr>
      <w:r>
        <w:rPr>
          <w:rFonts w:ascii="Cambria" w:cs="Cambria" w:eastAsia="Cambria" w:hAnsi="Cambria"/>
          <w:b/>
          <w:bCs/>
          <w:color w:val="0E7C8B"/>
          <w:sz w:val="26"/>
          <w:szCs w:val="26"/>
        </w:rPr>
        <w:t xml:space="preserve">2.2 Comprehensive Literature Raman Peak Table for NAM</w:t>
      </w:r>
    </w:p>
    <w:p>
      <w:pPr>
        <w:spacing w:after="60" w:before="0" w:line="276"/>
        <w:jc w:val="left"/>
      </w:pPr>
      <w:r>
        <w:rPr>
          <w:rFonts w:ascii="Calibri" w:cs="Calibri" w:eastAsia="Calibri" w:hAnsi="Calibri"/>
          <w:b w:val="false"/>
          <w:bCs w:val="false"/>
          <w:i/>
          <w:iCs/>
          <w:color w:val="607080"/>
          <w:sz w:val="21"/>
          <w:szCs w:val="21"/>
        </w:rPr>
        <w:t xml:space="preserve">Table 2.1: Published Raman spectral peaks for N-Acetylmuramic Acid (NAM/MurNAc) from experimental and computational studies. Peaks marked ★ are considered primary diagnostic 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2100"/>
        <w:gridCol w:w="1360"/>
      </w:tblGrid>
      <w:tr>
        <w:trPr>
          <w:tblHeader/>
        </w:trPr>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Raman Shift
(cm⁻¹)</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Vibrational Assignment</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Structural Origin</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Study / Method</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Reference</w:t>
            </w:r>
          </w:p>
        </w:tc>
      </w:tr>
      <w:tr>
        <w:tc>
          <w:tcPr>
            <w:gridSpan w:val="5"/>
            <w:tcBorders>
              <w:top w:val="single" w:color="C8DCE8" w:sz="1"/>
              <w:left w:val="single" w:color="C8DCE8" w:sz="1"/>
              <w:bottom w:val="single" w:color="C8DCE8" w:sz="1"/>
              <w:right w:val="single" w:color="C8DCE8" w:sz="1"/>
            </w:tcBorders>
            <w:shd w:fill="E8EEF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D2B55"/>
                <w:sz w:val="19"/>
                <w:szCs w:val="19"/>
              </w:rPr>
              <w:t xml:space="preserve">AMIDE REGION (1500–1720 cm⁻¹)</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1701–1712</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 stretching (Amide I / Carboxyl)</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Carboxylic acid of lactyl group; overlaps with Amide I C=O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(powder, 785 nm)</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[1,2,3]</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1695–1700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 stretch (Amide I)</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N-acetyl amide carbonyl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DFT B3LYP/6-31G(d)</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[4,5]</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 1545–1558</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Amide II (N-H bend + C-N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N-Acetyl amide group — PRIMARY bacterial cell wall marker; absent in all human saccharides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SERS; DFT (multiple studies)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[1,2,3,4,5,6,7]</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1553–1556</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Amide II (N-H deformation)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N-acetyl amide; confirmed in peptidoglycan hydrolysate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SERS on Ag substrate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[6,7]</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1316–1320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Amide III (C-N str + N-H bend)</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N-acetyl amide group secondary confirmation band</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DFT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[2,4,8]</w:t>
            </w:r>
          </w:p>
        </w:tc>
      </w:tr>
      <w:tr>
        <w:tc>
          <w:tcPr>
            <w:gridSpan w:val="5"/>
            <w:tcBorders>
              <w:top w:val="single" w:color="C8DCE8" w:sz="1"/>
              <w:left w:val="single" w:color="C8DCE8" w:sz="1"/>
              <w:bottom w:val="single" w:color="C8DCE8" w:sz="1"/>
              <w:right w:val="single" w:color="C8DCE8" w:sz="1"/>
            </w:tcBorders>
            <w:shd w:fill="E8EEF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D2B55"/>
                <w:sz w:val="19"/>
                <w:szCs w:val="19"/>
              </w:rPr>
              <w:t xml:space="preserve">CH DEFORMATION REGION (1350–1500 cm⁻¹)</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1450–1460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CH₂ scissors / CH₃ asymm. deformation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Methyl/methylene deformation of N-acetyl group</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(solid state)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[1,2,9]</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1408–1415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CH₂ wagging / COO⁻ symmetric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Methylene deformation; lactyl carboxylate group</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DFT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[4,5]</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1375–1385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CH₃ symmetric deformation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N-acetyl methyl group (umbrella mode)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(aqueous solution)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[8,9]</w:t>
            </w:r>
          </w:p>
        </w:tc>
      </w:tr>
      <w:tr>
        <w:tc>
          <w:tcPr>
            <w:gridSpan w:val="5"/>
            <w:tcBorders>
              <w:top w:val="single" w:color="C8DCE8" w:sz="1"/>
              <w:left w:val="single" w:color="C8DCE8" w:sz="1"/>
              <w:bottom w:val="single" w:color="C8DCE8" w:sz="1"/>
              <w:right w:val="single" w:color="C8DCE8" w:sz="1"/>
            </w:tcBorders>
            <w:shd w:fill="E8EEF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D2B55"/>
                <w:sz w:val="19"/>
                <w:szCs w:val="19"/>
              </w:rPr>
              <w:t xml:space="preserve">CARBOHYDRATE FINGERPRINT REGION (850–1200 cm⁻¹)</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1150–1160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C-O-C asymm.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Pyranose ring ether linkages / glycosidic bond region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carbohydrate standard</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[1,3,9,10]</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1116–1125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 stretching (ring)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 bonds within pyranose ring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DFT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[4,5,9]</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1080–1090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C-O stretch (ether linkage)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C-O-C ring ether and lactyl ether bonds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(solid, aqueous)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[1,2,3,8]</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1035–1045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 stretching / ring mode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Pyranose ring; overlapping C-O contributions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SERS-Ag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[6,7,9]</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1000–1010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Pyranose ring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Ring breathing-related mode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DFT B3LYP</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[4,5]</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950–965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Pyranose ring breathing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Characteristic sugar ring breathing vibration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(multiple solvents)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[1,2,3,8,9]</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 868–876</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C-O-C glycosidic bond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Glycosidic linkage between NAM-NAG repeating units — DEFINITIVE PGN marker; no equivalent in human sugars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SERS; live bacteria; DFT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[1,2,3,5,6,7,11,12]</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830–840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C-O-C deformation / ring torsion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Supporting glycosidic linkage band</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DFT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[4,5,9]</w:t>
            </w:r>
          </w:p>
        </w:tc>
      </w:tr>
      <w:tr>
        <w:tc>
          <w:tcPr>
            <w:gridSpan w:val="5"/>
            <w:tcBorders>
              <w:top w:val="single" w:color="C8DCE8" w:sz="1"/>
              <w:left w:val="single" w:color="C8DCE8" w:sz="1"/>
              <w:bottom w:val="single" w:color="C8DCE8" w:sz="1"/>
              <w:right w:val="single" w:color="C8DCE8" w:sz="1"/>
            </w:tcBorders>
            <w:shd w:fill="E8EEF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D2B55"/>
                <w:sz w:val="19"/>
                <w:szCs w:val="19"/>
              </w:rPr>
              <w:t xml:space="preserve">LOW-FREQUENCY RING DEFORMATION REGION (400–850 cm⁻¹)</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720–735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Ring breathing / glycosidic C-O-C bend</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Glycosidic ring breathing mode; reported in both NAM and whole PGN studies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SERS live bacteria studies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[6,7,11,12]</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600–625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Ring deformation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Pyranose ring bending mode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DFT; Exp. Raman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[4,5]</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535–545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Pyranose ring deformation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Low-frequency ring mode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(powder)</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[1,2]</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480–495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Ring torsion / skeletal deformation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Sugar ring skeletal vibration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DFT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[4,5]</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455–465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Ring deformation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Low-frequency pyranose mode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(powder)</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[1,2]</w:t>
            </w:r>
          </w:p>
        </w:tc>
      </w:tr>
    </w:tbl>
    <w:p>
      <w:pPr>
        <w:spacing w:after="80" w:before="120"/>
      </w:pPr>
    </w:p>
    <w:p>
      <w:pPr>
        <w:pStyle w:val="Heading2"/>
        <w:spacing w:after="80" w:before="240"/>
      </w:pPr>
      <w:r>
        <w:rPr>
          <w:rFonts w:ascii="Cambria" w:cs="Cambria" w:eastAsia="Cambria" w:hAnsi="Cambria"/>
          <w:b/>
          <w:bCs/>
          <w:color w:val="0E7C8B"/>
          <w:sz w:val="26"/>
          <w:szCs w:val="26"/>
        </w:rPr>
        <w:t xml:space="preserve">2.3 SERS-Specific Peak Data for NAM and Peptidoglycan</w:t>
      </w:r>
    </w:p>
    <w:p>
      <w:pPr>
        <w:spacing w:after="80" w:before="0" w:line="300"/>
        <w:jc w:val="left"/>
      </w:pPr>
      <w:r>
        <w:rPr>
          <w:rFonts w:ascii="Calibri" w:cs="Calibri" w:eastAsia="Calibri" w:hAnsi="Calibri"/>
          <w:b w:val="false"/>
          <w:bCs w:val="false"/>
          <w:i w:val="false"/>
          <w:iCs w:val="false"/>
          <w:color w:val="1E2D3D"/>
          <w:sz w:val="22"/>
          <w:szCs w:val="22"/>
        </w:rPr>
        <w:t xml:space="preserve">SERS studies on intact bacteria and isolated peptidoglycan provide additional peak data that may differ slightly from standard Raman values due to surface selection rules and adsorption geometry on nanostructured substrates. The following table consolidates SERS-specific data from studies using Ag and Au nanoparticle substrates.</w:t>
      </w:r>
    </w:p>
    <w:p>
      <w:pPr>
        <w:spacing w:after="60" w:before="0" w:line="276"/>
        <w:jc w:val="left"/>
      </w:pPr>
      <w:r>
        <w:rPr>
          <w:rFonts w:ascii="Calibri" w:cs="Calibri" w:eastAsia="Calibri" w:hAnsi="Calibri"/>
          <w:b w:val="false"/>
          <w:bCs w:val="false"/>
          <w:i/>
          <w:iCs/>
          <w:color w:val="607080"/>
          <w:sz w:val="21"/>
          <w:szCs w:val="21"/>
        </w:rPr>
        <w:t xml:space="preserve">Table 2.2: SERS peaks reported for NAM, isolated peptidoglycan (PGN), and intact bacterial cell walls in peer-reviewed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2200"/>
        <w:gridCol w:w="1600"/>
        <w:gridCol w:w="1010"/>
        <w:gridCol w:w="1300"/>
      </w:tblGrid>
      <w:tr>
        <w:trPr>
          <w:tblHeader/>
        </w:trPr>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Raman Shift
(cm⁻¹)</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Assignment</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Sample/System</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SERS Substrate</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Laser (nm)</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Reference</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720–730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Glycosidic ring breathing (NAM-NAG)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Intact S. aureus and E. coli cell walls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AgNP colloidal</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785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[11,12]</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870–876</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C-O-C glycosidic stretch (PGN)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Isolated PGN from S. aureus; E. coli PGN hydrolysate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Ag film; AuNP</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785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[6,7,12,13]</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1045–1055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 ring stretch; PGN carbohydrate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Mixed PGN/LTA bacterial samples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AgNP; Ag-Au bimetallic</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633 / 785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[7,13,14]</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1320–1325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Amide III / CH deformation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PGN extract; whole bacteria SERS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AgNP substrate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785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[11,12]</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1548–1556</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Amide II (N-acetyl group)</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Pure NAM SERS; PGN on Ag substrate; whole bacteria</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AgNP film; colloidal Ag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785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[6,7,11,12,13]</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1240–1250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Amide III PGN-specific</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SERS of bacterial cell wall fragments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Ag film over nanosphere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785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[7,14]</w:t>
            </w:r>
          </w:p>
        </w:tc>
      </w:tr>
    </w:tbl>
    <w:p>
      <w:pPr>
        <w:spacing w:after="80" w:before="120"/>
      </w:pPr>
    </w:p>
    <w:p>
      <w:pPr>
        <w:pStyle w:val="Heading2"/>
        <w:spacing w:after="80" w:before="240"/>
      </w:pPr>
      <w:r>
        <w:rPr>
          <w:rFonts w:ascii="Cambria" w:cs="Cambria" w:eastAsia="Cambria" w:hAnsi="Cambria"/>
          <w:b/>
          <w:bCs/>
          <w:color w:val="0E7C8B"/>
          <w:sz w:val="26"/>
          <w:szCs w:val="26"/>
        </w:rPr>
        <w:t xml:space="preserve">2.4 Cross-Study Peak Comparison for NAM</w:t>
      </w:r>
    </w:p>
    <w:p>
      <w:pPr>
        <w:spacing w:after="60" w:before="0" w:line="276"/>
        <w:jc w:val="left"/>
      </w:pPr>
      <w:r>
        <w:rPr>
          <w:rFonts w:ascii="Calibri" w:cs="Calibri" w:eastAsia="Calibri" w:hAnsi="Calibri"/>
          <w:b w:val="false"/>
          <w:bCs w:val="false"/>
          <w:i/>
          <w:iCs/>
          <w:color w:val="607080"/>
          <w:sz w:val="21"/>
          <w:szCs w:val="21"/>
        </w:rPr>
        <w:t xml:space="preserve">Table 2.3: Cross-study comparison of key diagnostic NAM peaks. Values represent reported positions; tolerance is typically ±10 cm⁻¹ for experimental studies, ±15 cm⁻¹ for DFT.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50"/>
        <w:gridCol w:w="1350"/>
        <w:gridCol w:w="1350"/>
        <w:gridCol w:w="1350"/>
        <w:gridCol w:w="2160"/>
      </w:tblGrid>
      <w:tr>
        <w:trPr>
          <w:tblHeader/>
        </w:trPr>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Assignment</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This Work
(Experimental)</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Fox et al.
1991 [1]</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Goodacre et al.
2004 [11]</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DFT Literature
[4,5]</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Remarks</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C=O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1701</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1705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1705–1710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1695–1700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Consistent across studies; DFT slightly underestimates</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Amide II ★</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bCs/>
                <w:i w:val="false"/>
                <w:iCs w:val="false"/>
                <w:color w:val="0E7C8B"/>
                <w:sz w:val="20"/>
                <w:szCs w:val="20"/>
              </w:rPr>
              <w:t xml:space="preserve">1546</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1550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1545–1555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1540–1560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Strong agreement (±10 cm⁻¹). Primary diagnostic marker. HIGH CONFIDENCE.</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CH₂ bending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1452</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1450–1455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1455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1448–1460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Consistent deformation peak</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Amide III</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1319</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1315–1320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1320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1310–1325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Good agreement; supports Amide II assignment</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Pyranose breathing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956</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950–960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955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948–965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Characteristic sugar ring mode</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Glycosidic C-O-C ★</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bCs/>
                <w:i w:val="false"/>
                <w:iCs w:val="false"/>
                <w:color w:val="0E7C8B"/>
                <w:sz w:val="20"/>
                <w:szCs w:val="20"/>
              </w:rPr>
              <w:t xml:space="preserve">872</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870–875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870–876</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862–878</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Strong agreement (±5 cm⁻¹). KEY bacterial cell wall marker. HIGH CONFIDENCE.</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CE8" w:sz="1"/>
              <w:left w:val="single" w:color="0E7C8B" w:sz="16"/>
              <w:bottom w:val="single" w:color="C8DCE8" w:sz="1"/>
              <w:right w:val="single" w:color="C8DCE8" w:sz="1"/>
            </w:tcBorders>
            <w:shd w:fill="EAF4F7" w:val="clear"/>
            <w:tcMar>
              <w:top w:type="dxa" w:w="80"/>
              <w:left w:type="dxa" w:w="140"/>
              <w:bottom w:type="dxa" w:w="80"/>
              <w:right w:type="dxa" w:w="140"/>
            </w:tcMar>
          </w:tcPr>
          <w:p>
            <w:pPr>
              <w:spacing w:after="60" w:before="0"/>
            </w:pPr>
            <w:r>
              <w:rPr>
                <w:rFonts w:ascii="Calibri" w:cs="Calibri" w:eastAsia="Calibri" w:hAnsi="Calibri"/>
                <w:color w:val="1E2D3D"/>
                <w:sz w:val="20"/>
                <w:szCs w:val="20"/>
              </w:rPr>
              <w:t xml:space="preserve">Peak Matching Guidance for NAM: If your experimental spectrum shows peaks at ~1546 cm⁻¹ (Amide II) and ~872 cm⁻¹ (glycosidic C-O-C stretch) simultaneously, this constitutes a highly specific and definitive identification of NAM/peptidoglycan from a bacterial source. These two peaks together are not produced by any known human biomolecule. A third confirming peak at ~956 cm⁻¹ (pyranose ring breathing) further strengthens identification. Tolerance: ±10 cm⁻¹ for all three peaks.</w:t>
            </w:r>
          </w:p>
        </w:tc>
      </w:tr>
    </w:tbl>
    <w:p>
      <w:r>
        <w:br w:type="page"/>
      </w:r>
    </w:p>
    <w:p>
      <w:pPr>
        <w:pStyle w:val="Heading1"/>
        <w:spacing w:after="120" w:before="320"/>
      </w:pPr>
      <w:r>
        <w:rPr>
          <w:rFonts w:ascii="Cambria" w:cs="Cambria" w:eastAsia="Cambria" w:hAnsi="Cambria"/>
          <w:b/>
          <w:bCs/>
          <w:color w:val="0D2B55"/>
          <w:sz w:val="32"/>
          <w:szCs w:val="32"/>
        </w:rPr>
        <w:t xml:space="preserve">3. Lipopolysaccharide (LPS)</w:t>
      </w:r>
    </w:p>
    <w:p>
      <w:pPr>
        <w:pStyle w:val="Heading2"/>
        <w:spacing w:after="80" w:before="240"/>
      </w:pPr>
      <w:r>
        <w:rPr>
          <w:rFonts w:ascii="Cambria" w:cs="Cambria" w:eastAsia="Cambria" w:hAnsi="Cambria"/>
          <w:b/>
          <w:bCs/>
          <w:color w:val="0E7C8B"/>
          <w:sz w:val="26"/>
          <w:szCs w:val="26"/>
        </w:rPr>
        <w:t xml:space="preserve">3.1 Structural Overview and Raman Activity</w:t>
      </w:r>
    </w:p>
    <w:p>
      <w:pPr>
        <w:spacing w:after="80" w:before="0" w:line="300"/>
        <w:jc w:val="left"/>
      </w:pPr>
      <w:r>
        <w:rPr>
          <w:rFonts w:ascii="Calibri" w:cs="Calibri" w:eastAsia="Calibri" w:hAnsi="Calibri"/>
          <w:b w:val="false"/>
          <w:bCs w:val="false"/>
          <w:i w:val="false"/>
          <w:iCs w:val="false"/>
          <w:color w:val="1E2D3D"/>
          <w:sz w:val="22"/>
          <w:szCs w:val="22"/>
        </w:rPr>
        <w:t xml:space="preserve">Lipopolysaccharide (LPS) is the major outer membrane component of Gram-negative bacteria and one of the most potent activators of the innate immune system. Its tripartite structure consists of: (1) Lipid A — the hydrophobic membrane anchor composed of glucosamine disaccharide carrying multiple fatty acid chains; (2) the core oligosaccharide; and (3) the O-antigen polysaccharide repeat units. For SERS-based detection, Lipid A provides the most consistent and intense Raman signals due to its conserved structure across species.</w:t>
      </w:r>
    </w:p>
    <w:p>
      <w:pPr>
        <w:spacing w:after="80" w:before="0" w:line="300"/>
        <w:jc w:val="left"/>
      </w:pPr>
      <w:r>
        <w:rPr>
          <w:rFonts w:ascii="Calibri" w:cs="Calibri" w:eastAsia="Calibri" w:hAnsi="Calibri"/>
          <w:b w:val="false"/>
          <w:bCs w:val="false"/>
          <w:i w:val="false"/>
          <w:iCs w:val="false"/>
          <w:color w:val="1E2D3D"/>
          <w:sz w:val="22"/>
          <w:szCs w:val="22"/>
        </w:rPr>
        <w:t xml:space="preserve">Key Raman-active functional groups in LPS:</w:t>
      </w:r>
    </w:p>
    <w:p>
      <w:pPr>
        <w:pStyle w:val="ListParagraph"/>
        <w:numPr>
          <w:ilvl w:val="0"/>
          <w:numId w:val="2"/>
        </w:numPr>
        <w:spacing w:after="60" w:before="0" w:line="276"/>
      </w:pPr>
      <w:r>
        <w:rPr>
          <w:rFonts w:ascii="Calibri" w:cs="Calibri" w:eastAsia="Calibri" w:hAnsi="Calibri"/>
          <w:b w:val="false"/>
          <w:bCs w:val="false"/>
          <w:i w:val="false"/>
          <w:iCs w:val="false"/>
          <w:color w:val="1E2D3D"/>
          <w:sz w:val="22"/>
          <w:szCs w:val="22"/>
        </w:rPr>
        <w:t xml:space="preserve">Lipid A fatty acyl chains (C14-C16 saturated fatty acids): Generate strong C-H stretching vibrations in the 2850-2930 cm⁻¹ range and C-H deformation modes at ~1460 and ~1300 cm⁻¹.</w:t>
      </w:r>
    </w:p>
    <w:p>
      <w:pPr>
        <w:pStyle w:val="ListParagraph"/>
        <w:numPr>
          <w:ilvl w:val="0"/>
          <w:numId w:val="2"/>
        </w:numPr>
        <w:spacing w:after="60" w:before="0" w:line="276"/>
      </w:pPr>
      <w:r>
        <w:rPr>
          <w:rFonts w:ascii="Calibri" w:cs="Calibri" w:eastAsia="Calibri" w:hAnsi="Calibri"/>
          <w:b w:val="false"/>
          <w:bCs w:val="false"/>
          <w:i w:val="false"/>
          <w:iCs w:val="false"/>
          <w:color w:val="1E2D3D"/>
          <w:sz w:val="22"/>
          <w:szCs w:val="22"/>
        </w:rPr>
        <w:t xml:space="preserve">Phosphate groups (PO₄³⁻) on Lipid A glucosamine: Produce characteristic P=O stretching (~1220-1240 cm⁻¹), P-O-C stretching (~970-1000 cm⁻¹), and P-O⁻ bending (~830 cm⁻¹).</w:t>
      </w:r>
    </w:p>
    <w:p>
      <w:pPr>
        <w:pStyle w:val="ListParagraph"/>
        <w:numPr>
          <w:ilvl w:val="0"/>
          <w:numId w:val="2"/>
        </w:numPr>
        <w:spacing w:after="60" w:before="0" w:line="276"/>
      </w:pPr>
      <w:r>
        <w:rPr>
          <w:rFonts w:ascii="Calibri" w:cs="Calibri" w:eastAsia="Calibri" w:hAnsi="Calibri"/>
          <w:b w:val="false"/>
          <w:bCs w:val="false"/>
          <w:i w:val="false"/>
          <w:iCs w:val="false"/>
          <w:color w:val="1E2D3D"/>
          <w:sz w:val="22"/>
          <w:szCs w:val="22"/>
        </w:rPr>
        <w:t xml:space="preserve">Glucosamine backbone: C-O-C stretching at ~1020-1060 cm⁻¹; C-H bending at ~1380-1420 cm⁻¹.</w:t>
      </w:r>
    </w:p>
    <w:p>
      <w:pPr>
        <w:pStyle w:val="ListParagraph"/>
        <w:numPr>
          <w:ilvl w:val="0"/>
          <w:numId w:val="2"/>
        </w:numPr>
        <w:spacing w:after="60" w:before="0" w:line="276"/>
      </w:pPr>
      <w:r>
        <w:rPr>
          <w:rFonts w:ascii="Calibri" w:cs="Calibri" w:eastAsia="Calibri" w:hAnsi="Calibri"/>
          <w:b w:val="false"/>
          <w:bCs w:val="false"/>
          <w:i w:val="false"/>
          <w:iCs w:val="false"/>
          <w:color w:val="1E2D3D"/>
          <w:sz w:val="22"/>
          <w:szCs w:val="22"/>
        </w:rPr>
        <w:t xml:space="preserve">Ester carbonyl (C=O): The ester-linked fatty acids produce a C=O stretch at ~1735-1742 cm⁻¹, distinguishable from amide C=O.</w:t>
      </w:r>
    </w:p>
    <w:p>
      <w:pPr>
        <w:pStyle w:val="ListParagraph"/>
        <w:numPr>
          <w:ilvl w:val="0"/>
          <w:numId w:val="2"/>
        </w:numPr>
        <w:spacing w:after="60" w:before="0" w:line="276"/>
      </w:pPr>
      <w:r>
        <w:rPr>
          <w:rFonts w:ascii="Calibri" w:cs="Calibri" w:eastAsia="Calibri" w:hAnsi="Calibri"/>
          <w:b w:val="false"/>
          <w:bCs w:val="false"/>
          <w:i w:val="false"/>
          <w:iCs w:val="false"/>
          <w:color w:val="1E2D3D"/>
          <w:sz w:val="22"/>
          <w:szCs w:val="22"/>
        </w:rPr>
        <w:t xml:space="preserve">Amide-linked fatty acid: N-linked (amide) fatty acids contribute Amide I (~1650 cm⁻¹) and Amide II (~1550 cm⁻¹) bands.</w:t>
      </w:r>
    </w:p>
    <w:p>
      <w:pPr>
        <w:pStyle w:val="Heading2"/>
        <w:spacing w:after="80" w:before="240"/>
      </w:pPr>
      <w:r>
        <w:rPr>
          <w:rFonts w:ascii="Cambria" w:cs="Cambria" w:eastAsia="Cambria" w:hAnsi="Cambria"/>
          <w:b/>
          <w:bCs/>
          <w:color w:val="0E7C8B"/>
          <w:sz w:val="26"/>
          <w:szCs w:val="26"/>
        </w:rPr>
        <w:t xml:space="preserve">3.2 Comprehensive Literature Raman Peak Table for LPS</w:t>
      </w:r>
    </w:p>
    <w:p>
      <w:pPr>
        <w:spacing w:after="60" w:before="0" w:line="276"/>
        <w:jc w:val="left"/>
      </w:pPr>
      <w:r>
        <w:rPr>
          <w:rFonts w:ascii="Calibri" w:cs="Calibri" w:eastAsia="Calibri" w:hAnsi="Calibri"/>
          <w:b w:val="false"/>
          <w:bCs w:val="false"/>
          <w:i/>
          <w:iCs/>
          <w:color w:val="607080"/>
          <w:sz w:val="21"/>
          <w:szCs w:val="21"/>
        </w:rPr>
        <w:t xml:space="preserve">Table 3.1: Published Raman and SERS peaks for Lipopolysaccharide (LPS) from E. coli and other Gram-negative bacteria. Peaks marked ★ are primary diagnostic markers for LPS and/or Gram-negative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500"/>
        <w:gridCol w:w="2100"/>
        <w:gridCol w:w="1460"/>
      </w:tblGrid>
      <w:tr>
        <w:trPr>
          <w:tblHeader/>
        </w:trPr>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Raman Shift
(cm⁻¹)</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Vibrational Assignment</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Structural Origin in LPS</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Study / Method</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Reference</w:t>
            </w:r>
          </w:p>
        </w:tc>
      </w:tr>
      <w:tr>
        <w:tc>
          <w:tcPr>
            <w:gridSpan w:val="5"/>
            <w:tcBorders>
              <w:top w:val="single" w:color="C8DCE8" w:sz="1"/>
              <w:left w:val="single" w:color="C8DCE8" w:sz="1"/>
              <w:bottom w:val="single" w:color="C8DCE8" w:sz="1"/>
              <w:right w:val="single" w:color="C8DCE8" w:sz="1"/>
            </w:tcBorders>
            <w:shd w:fill="E8EEF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D2B55"/>
                <w:sz w:val="19"/>
                <w:szCs w:val="19"/>
              </w:rPr>
              <w:t xml:space="preserve">HIGH-FREQUENCY REGION: C-H STRETCHING (2800–3000 cm⁻¹)</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2960–2965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CH₃ asymm. stretching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Terminal methyl groups of Lipid A fatty acid chains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(E. coli LPS)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[15,16,17]</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 2920–2935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CH₂ asymm. stretching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Dominant band from Lipid A acyl chains (C14-C16 saturated fatty acids)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SERS AgNP; Exp. Raman; ATR-FTIR correlation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[15,16,17,18,19]</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 2848–2856</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CH₂ symm. stretching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Symmetric stretch of methylene chains in Lipid A — strong marker for lipid content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SERS; Exp. Raman (multiple E. coli strains)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[15,16,17,18,19,20]</w:t>
            </w:r>
          </w:p>
        </w:tc>
      </w:tr>
      <w:tr>
        <w:tc>
          <w:tcPr>
            <w:gridSpan w:val="5"/>
            <w:tcBorders>
              <w:top w:val="single" w:color="C8DCE8" w:sz="1"/>
              <w:left w:val="single" w:color="C8DCE8" w:sz="1"/>
              <w:bottom w:val="single" w:color="C8DCE8" w:sz="1"/>
              <w:right w:val="single" w:color="C8DCE8" w:sz="1"/>
            </w:tcBorders>
            <w:shd w:fill="E8EEF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D2B55"/>
                <w:sz w:val="19"/>
                <w:szCs w:val="19"/>
              </w:rPr>
              <w:t xml:space="preserve">CARBONYL REGION (1600–1750 cm⁻¹)</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1735–1742</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C=O ester stretching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Ester-linked fatty acids of Lipid A (O-linked acyl chains)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SERS-Ag/Au</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[15,17,20,21]</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1645–1658</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Amide I (C=O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Amide-linked fatty acids (N-linked acyl chains of glucosamine)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SERS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[15,16,17]</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1540–1560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Amide II (N-H bend)</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Amide-linked acyl chains; N-acetylated glucosamine amide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SERS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[15,16]</w:t>
            </w:r>
          </w:p>
        </w:tc>
      </w:tr>
      <w:tr>
        <w:tc>
          <w:tcPr>
            <w:gridSpan w:val="5"/>
            <w:tcBorders>
              <w:top w:val="single" w:color="C8DCE8" w:sz="1"/>
              <w:left w:val="single" w:color="C8DCE8" w:sz="1"/>
              <w:bottom w:val="single" w:color="C8DCE8" w:sz="1"/>
              <w:right w:val="single" w:color="C8DCE8" w:sz="1"/>
            </w:tcBorders>
            <w:shd w:fill="E8EEF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D2B55"/>
                <w:sz w:val="19"/>
                <w:szCs w:val="19"/>
              </w:rPr>
              <w:t xml:space="preserve">CH DEFORMATION REGION (1380–1480 cm⁻¹)</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1460–1468</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CH₂ scissors deformation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Methylene bending of Lipid A fatty acid chains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SERS-Au</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[15,16,17,20]</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1295–1305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CH₂ twisting / wagging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Twisting modes of acyl chain methylenes; lipid phase marker</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LPS thin films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[15,16,17,19]</w:t>
            </w:r>
          </w:p>
        </w:tc>
      </w:tr>
      <w:tr>
        <w:tc>
          <w:tcPr>
            <w:gridSpan w:val="5"/>
            <w:tcBorders>
              <w:top w:val="single" w:color="C8DCE8" w:sz="1"/>
              <w:left w:val="single" w:color="C8DCE8" w:sz="1"/>
              <w:bottom w:val="single" w:color="C8DCE8" w:sz="1"/>
              <w:right w:val="single" w:color="C8DCE8" w:sz="1"/>
            </w:tcBorders>
            <w:shd w:fill="E8EEF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D2B55"/>
                <w:sz w:val="19"/>
                <w:szCs w:val="19"/>
              </w:rPr>
              <w:t xml:space="preserve">PHOSPHATE REGION (900–1250 cm⁻¹)</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 1220–1240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P=O asymm. stretching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Phosphate groups of Lipid A glucosamine — diagnostic for LPS phosphate content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SERS; Exp. Raman; FTIR confirmed</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[16,17,18,19,20,21]</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1058–1075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P-O-C stretching; C-O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Phosphodiester group; glucosamine C-O bonds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SERS-Ag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[15,16,20]</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965–980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P-O stretching (symm.)</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Symmetric phosphate stretch; corroborating phosphate band</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(LPS aqueous)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[15,17,18]</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920–935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C-O-C stretching / P-O-C</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Glucosamine ring C-O-C and phosphate ester linkage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SERS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[15,16]</w:t>
            </w:r>
          </w:p>
        </w:tc>
      </w:tr>
      <w:tr>
        <w:tc>
          <w:tcPr>
            <w:gridSpan w:val="5"/>
            <w:tcBorders>
              <w:top w:val="single" w:color="C8DCE8" w:sz="1"/>
              <w:left w:val="single" w:color="C8DCE8" w:sz="1"/>
              <w:bottom w:val="single" w:color="C8DCE8" w:sz="1"/>
              <w:right w:val="single" w:color="C8DCE8" w:sz="1"/>
            </w:tcBorders>
            <w:shd w:fill="E8EEF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D2B55"/>
                <w:sz w:val="19"/>
                <w:szCs w:val="19"/>
              </w:rPr>
              <w:t xml:space="preserve">LOW-FREQUENCY REGION (≤900 cm⁻¹)</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860–875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C-O-C glucosamine ring / O-P-O deformation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Lipid A glucosamine backbone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[15,19]</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717–724</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C-H rocking (acyl chains)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Rocking vibration of Lipid A acyl chain methylenes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LPS films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[15,16,17]</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540–560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O=P-O bending / ring deformation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Phosphate group bending; glucosamine ring deformation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DFT Lipid A fragment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[21,22]</w:t>
            </w:r>
          </w:p>
        </w:tc>
      </w:tr>
    </w:tbl>
    <w:p>
      <w:pPr>
        <w:spacing w:after="80" w:before="120"/>
      </w:pPr>
    </w:p>
    <w:p>
      <w:pPr>
        <w:pStyle w:val="Heading2"/>
        <w:spacing w:after="80" w:before="240"/>
      </w:pPr>
      <w:r>
        <w:rPr>
          <w:rFonts w:ascii="Cambria" w:cs="Cambria" w:eastAsia="Cambria" w:hAnsi="Cambria"/>
          <w:b/>
          <w:bCs/>
          <w:color w:val="0E7C8B"/>
          <w:sz w:val="26"/>
          <w:szCs w:val="26"/>
        </w:rPr>
        <w:t xml:space="preserve">3.3 SERS-Specific Data for LPS Detection</w:t>
      </w:r>
    </w:p>
    <w:p>
      <w:pPr>
        <w:spacing w:after="60" w:before="0" w:line="276"/>
        <w:jc w:val="left"/>
      </w:pPr>
      <w:r>
        <w:rPr>
          <w:rFonts w:ascii="Calibri" w:cs="Calibri" w:eastAsia="Calibri" w:hAnsi="Calibri"/>
          <w:b w:val="false"/>
          <w:bCs w:val="false"/>
          <w:i/>
          <w:iCs/>
          <w:color w:val="607080"/>
          <w:sz w:val="21"/>
          <w:szCs w:val="21"/>
        </w:rPr>
        <w:t xml:space="preserve">Table 3.2: SERS-specific data for LPS detection with various nanostructured substrates. These values reflect surface-selection rules and may differ from bulk Raman.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00"/>
        <w:gridCol w:w="2100"/>
        <w:gridCol w:w="1500"/>
        <w:gridCol w:w="900"/>
        <w:gridCol w:w="1710"/>
      </w:tblGrid>
      <w:tr>
        <w:trPr>
          <w:tblHeader/>
        </w:trPr>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Raman Shift (cm⁻¹)</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Assignment</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Notes</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Substrate</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LOD</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Reference</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2853 / 2924</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CH₂ sym. + asymm. stretch (Lipid A)</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Most intense SERS bands; reliable LPS marker in complex matrices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AgNP / AuNP</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12 ng/mL</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[18,19,20]</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1220–1240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P=O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Present in SERS; slightly shifted from bulk Raman due to adsorption geometry</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Ag film; SERS-Ag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 ng/mL*</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[16,20,21]</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1460–1465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CH₂ deformation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Consistent SERS peak; useful for LPS quantification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Au/Ag bimetallic</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5 ng/mL</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[20,21]</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1060–1080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P-O-C / C-O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Carbohydrate/phosphodiester overlap region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AgNP colloidal</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[15,16]</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1740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 ester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Ester linkage in O-linked fatty acid chains of Lipid A</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SERS-Ag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[17,21]</w:t>
            </w:r>
          </w:p>
        </w:tc>
      </w:tr>
    </w:tbl>
    <w:p>
      <w:pPr>
        <w:spacing w:after="60" w:before="80"/>
      </w:pPr>
      <w:r>
        <w:rPr>
          <w:rFonts w:ascii="Calibri" w:cs="Calibri" w:eastAsia="Calibri" w:hAnsi="Calibri"/>
          <w:b w:val="false"/>
          <w:bCs w:val="false"/>
          <w:i/>
          <w:iCs/>
          <w:color w:val="607080"/>
          <w:sz w:val="19"/>
          <w:szCs w:val="19"/>
        </w:rPr>
        <w:t xml:space="preserve">* LOD of 1 ng/mL was achieved with advanced aptamer-functionalized SERS substrate; standard unfunctionalized SERS shows LOD ~12 ng/mL.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CE8" w:sz="1"/>
              <w:left w:val="single" w:color="0E7C8B" w:sz="16"/>
              <w:bottom w:val="single" w:color="C8DCE8" w:sz="1"/>
              <w:right w:val="single" w:color="C8DCE8" w:sz="1"/>
            </w:tcBorders>
            <w:shd w:fill="EAF4F7" w:val="clear"/>
            <w:tcMar>
              <w:top w:type="dxa" w:w="80"/>
              <w:left w:type="dxa" w:w="140"/>
              <w:bottom w:type="dxa" w:w="80"/>
              <w:right w:type="dxa" w:w="140"/>
            </w:tcMar>
          </w:tcPr>
          <w:p>
            <w:pPr>
              <w:spacing w:after="60" w:before="0"/>
            </w:pPr>
            <w:r>
              <w:rPr>
                <w:rFonts w:ascii="Calibri" w:cs="Calibri" w:eastAsia="Calibri" w:hAnsi="Calibri"/>
                <w:color w:val="1E2D3D"/>
                <w:sz w:val="20"/>
                <w:szCs w:val="20"/>
              </w:rPr>
              <w:t xml:space="preserve">Peak Matching Guidance for LPS: The most reliable LPS identification uses the combination of: (1) CH₂ stretching doublet at ~2853 and ~2924 cm⁻¹ (Lipid A acyl chains) AND (2) P=O stretch at ~1220-1240 cm⁻¹ (phosphate groups) AND (3) C=O ester at ~1735-1742 cm⁻¹. This combination is diagnostic for LPS because it simultaneously confirms the lipid acyl content and the phosphate ester functionality unique to Lipid A. Tolerance: ±10 cm⁻¹ for each peak.</w:t>
            </w:r>
          </w:p>
          <w:p>
            <w:pPr>
              <w:spacing w:after="60" w:before="0"/>
            </w:pPr>
            <w:r>
              <w:rPr>
                <w:rFonts w:ascii="Calibri" w:cs="Calibri" w:eastAsia="Calibri" w:hAnsi="Calibri"/>
                <w:color w:val="1E2D3D"/>
                <w:sz w:val="20"/>
                <w:szCs w:val="20"/>
              </w:rPr>
              <w:t xml:space="preserve">Important clinical context: The standard SERS LOD for LPS is ~12 ng/mL. The clinical sepsis threshold is 100-500 pg/mL. A substrate optimization targeting EF &gt;10⁸ is needed to bridge this gap for clinical utility.</w:t>
            </w:r>
          </w:p>
        </w:tc>
      </w:tr>
    </w:tbl>
    <w:p>
      <w:r>
        <w:br w:type="page"/>
      </w:r>
    </w:p>
    <w:p>
      <w:pPr>
        <w:pStyle w:val="Heading1"/>
        <w:spacing w:after="120" w:before="320"/>
      </w:pPr>
      <w:r>
        <w:rPr>
          <w:rFonts w:ascii="Cambria" w:cs="Cambria" w:eastAsia="Cambria" w:hAnsi="Cambria"/>
          <w:b/>
          <w:bCs/>
          <w:color w:val="0D2B55"/>
          <w:sz w:val="32"/>
          <w:szCs w:val="32"/>
        </w:rPr>
        <w:t xml:space="preserve">4. Lipoteichoic Acid (LTA)</w:t>
      </w:r>
    </w:p>
    <w:p>
      <w:pPr>
        <w:pStyle w:val="Heading2"/>
        <w:spacing w:after="80" w:before="240"/>
      </w:pPr>
      <w:r>
        <w:rPr>
          <w:rFonts w:ascii="Cambria" w:cs="Cambria" w:eastAsia="Cambria" w:hAnsi="Cambria"/>
          <w:b/>
          <w:bCs/>
          <w:color w:val="0E7C8B"/>
          <w:sz w:val="26"/>
          <w:szCs w:val="26"/>
        </w:rPr>
        <w:t xml:space="preserve">4.1 Structural Overview and Raman Activity</w:t>
      </w:r>
    </w:p>
    <w:p>
      <w:pPr>
        <w:spacing w:after="80" w:before="0" w:line="300"/>
        <w:jc w:val="left"/>
      </w:pPr>
      <w:r>
        <w:rPr>
          <w:rFonts w:ascii="Calibri" w:cs="Calibri" w:eastAsia="Calibri" w:hAnsi="Calibri"/>
          <w:b w:val="false"/>
          <w:bCs w:val="false"/>
          <w:i w:val="false"/>
          <w:iCs w:val="false"/>
          <w:color w:val="1E2D3D"/>
          <w:sz w:val="22"/>
          <w:szCs w:val="22"/>
        </w:rPr>
        <w:t xml:space="preserve">Lipoteichoic acid (LTA) is a major surface polymer of Gram-positive bacterial cell walls, anchored to the cytoplasmic membrane via a glycolipid and extending outward as a polymer of repeating glycerol-phosphate units. The general structure is: Glycolipid–[glycerol–PO₄–glycerol]n, where n = 10–20, with substituent groups including D-alanine ester residues and glucose/GlcNAc sugars attached to the glycerol backbone.</w:t>
      </w:r>
    </w:p>
    <w:p>
      <w:pPr>
        <w:spacing w:after="80" w:before="0" w:line="300"/>
        <w:jc w:val="left"/>
      </w:pPr>
      <w:r>
        <w:rPr>
          <w:rFonts w:ascii="Calibri" w:cs="Calibri" w:eastAsia="Calibri" w:hAnsi="Calibri"/>
          <w:b w:val="false"/>
          <w:bCs w:val="false"/>
          <w:i w:val="false"/>
          <w:iCs w:val="false"/>
          <w:color w:val="1E2D3D"/>
          <w:sz w:val="22"/>
          <w:szCs w:val="22"/>
        </w:rPr>
        <w:t xml:space="preserve">The complex polymeric nature of LTA means its Raman spectrum is dominated by overlapping contributions from three structural components:</w:t>
      </w:r>
    </w:p>
    <w:p>
      <w:pPr>
        <w:pStyle w:val="ListParagraph"/>
        <w:numPr>
          <w:ilvl w:val="0"/>
          <w:numId w:val="2"/>
        </w:numPr>
        <w:spacing w:after="60" w:before="0" w:line="276"/>
      </w:pPr>
      <w:r>
        <w:rPr>
          <w:rFonts w:ascii="Calibri" w:cs="Calibri" w:eastAsia="Calibri" w:hAnsi="Calibri"/>
          <w:b w:val="false"/>
          <w:bCs w:val="false"/>
          <w:i w:val="false"/>
          <w:iCs w:val="false"/>
          <w:color w:val="1E2D3D"/>
          <w:sz w:val="22"/>
          <w:szCs w:val="22"/>
        </w:rPr>
        <w:t xml:space="preserve">Glycerol-phosphate backbone: Produces the most diagnostic Raman bands — the P-O-C phosphate ester stretch at 920-940 cm⁻¹ and the O-P-O bending mode at 480-490 cm⁻¹. These are the primary target bands for SERS-based LTA detection.</w:t>
      </w:r>
    </w:p>
    <w:p>
      <w:pPr>
        <w:pStyle w:val="ListParagraph"/>
        <w:numPr>
          <w:ilvl w:val="0"/>
          <w:numId w:val="2"/>
        </w:numPr>
        <w:spacing w:after="60" w:before="0" w:line="276"/>
      </w:pPr>
      <w:r>
        <w:rPr>
          <w:rFonts w:ascii="Calibri" w:cs="Calibri" w:eastAsia="Calibri" w:hAnsi="Calibri"/>
          <w:b w:val="false"/>
          <w:bCs w:val="false"/>
          <w:i w:val="false"/>
          <w:iCs w:val="false"/>
          <w:color w:val="1E2D3D"/>
          <w:sz w:val="22"/>
          <w:szCs w:val="22"/>
        </w:rPr>
        <w:t xml:space="preserve">D-Alanine substituents: The zwitterionic amino acid (NH₃⁺-COO⁻ form) contributes NH₃⁺ deformation (~1500 cm⁻¹), COO⁻ stretching (~1560-1600 cm⁻¹), and C-N stretching (~1200 cm⁻¹).</w:t>
      </w:r>
    </w:p>
    <w:p>
      <w:pPr>
        <w:pStyle w:val="ListParagraph"/>
        <w:numPr>
          <w:ilvl w:val="0"/>
          <w:numId w:val="2"/>
        </w:numPr>
        <w:spacing w:after="60" w:before="0" w:line="276"/>
      </w:pPr>
      <w:r>
        <w:rPr>
          <w:rFonts w:ascii="Calibri" w:cs="Calibri" w:eastAsia="Calibri" w:hAnsi="Calibri"/>
          <w:b w:val="false"/>
          <w:bCs w:val="false"/>
          <w:i w:val="false"/>
          <w:iCs w:val="false"/>
          <w:color w:val="1E2D3D"/>
          <w:sz w:val="22"/>
          <w:szCs w:val="22"/>
        </w:rPr>
        <w:t xml:space="preserve">GlcNAc/sugar substituents: N-acetylglucosamine and glucose units attached to glycerol contribute carbohydrate fingerprint bands at 900-1100 cm⁻¹ and amide I/III bands at 1250-1650 cm⁻¹.</w:t>
      </w:r>
    </w:p>
    <w:p>
      <w:pPr>
        <w:pStyle w:val="ListParagraph"/>
        <w:numPr>
          <w:ilvl w:val="0"/>
          <w:numId w:val="2"/>
        </w:numPr>
        <w:spacing w:after="60" w:before="0" w:line="276"/>
      </w:pPr>
      <w:r>
        <w:rPr>
          <w:rFonts w:ascii="Calibri" w:cs="Calibri" w:eastAsia="Calibri" w:hAnsi="Calibri"/>
          <w:b w:val="false"/>
          <w:bCs w:val="false"/>
          <w:i w:val="false"/>
          <w:iCs w:val="false"/>
          <w:color w:val="1E2D3D"/>
          <w:sz w:val="22"/>
          <w:szCs w:val="22"/>
        </w:rPr>
        <w:t xml:space="preserve">Glycolipid anchor: Contributes C-H stretching vibrations from the diacylglycerol lipid anchor in the 2850-2950 cm⁻¹ region, but these are usually weaker than for LPS due to fewer acyl chains.</w:t>
      </w:r>
    </w:p>
    <w:p>
      <w:pPr>
        <w:spacing w:after="80" w:before="0" w:line="300"/>
        <w:jc w:val="left"/>
      </w:pPr>
      <w:r>
        <w:rPr>
          <w:rFonts w:ascii="Calibri" w:cs="Calibri" w:eastAsia="Calibri" w:hAnsi="Calibri"/>
          <w:b w:val="false"/>
          <w:bCs w:val="false"/>
          <w:i w:val="false"/>
          <w:iCs w:val="false"/>
          <w:color w:val="1E2D3D"/>
          <w:sz w:val="22"/>
          <w:szCs w:val="22"/>
        </w:rPr>
        <w:t xml:space="preserve">Because LTA is a heterogeneous polymer with structural variation between strains, published Raman peaks span wider ranges (~±20 cm⁻¹) than for well-defined small molecules like NAM. Region-based spectral analysis is recommended for LTA over peak-by-peak matching.</w:t>
      </w:r>
    </w:p>
    <w:p>
      <w:pPr>
        <w:pStyle w:val="Heading2"/>
        <w:spacing w:after="80" w:before="240"/>
      </w:pPr>
      <w:r>
        <w:rPr>
          <w:rFonts w:ascii="Cambria" w:cs="Cambria" w:eastAsia="Cambria" w:hAnsi="Cambria"/>
          <w:b/>
          <w:bCs/>
          <w:color w:val="0E7C8B"/>
          <w:sz w:val="26"/>
          <w:szCs w:val="26"/>
        </w:rPr>
        <w:t xml:space="preserve">4.2 Comprehensive Literature Raman Peak Table for LTA</w:t>
      </w:r>
    </w:p>
    <w:p>
      <w:pPr>
        <w:spacing w:after="60" w:before="0" w:line="276"/>
        <w:jc w:val="left"/>
      </w:pPr>
      <w:r>
        <w:rPr>
          <w:rFonts w:ascii="Calibri" w:cs="Calibri" w:eastAsia="Calibri" w:hAnsi="Calibri"/>
          <w:b w:val="false"/>
          <w:bCs w:val="false"/>
          <w:i/>
          <w:iCs/>
          <w:color w:val="607080"/>
          <w:sz w:val="21"/>
          <w:szCs w:val="21"/>
        </w:rPr>
        <w:t xml:space="preserve">Table 4.1: Published Raman and SERS peaks for Lipoteichoic Acid (LTA) from Staphylococcus aureus and other Gram-positive bacteria. DFT values are from glycerol-phosphate fragment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2600"/>
        <w:gridCol w:w="2000"/>
        <w:gridCol w:w="1460"/>
      </w:tblGrid>
      <w:tr>
        <w:trPr>
          <w:tblHeader/>
        </w:trPr>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Raman Shift
(cm⁻¹)</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Vibrational Assignment</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Structural Origin in LTA</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Study / Method</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Reference</w:t>
            </w:r>
          </w:p>
        </w:tc>
      </w:tr>
      <w:tr>
        <w:tc>
          <w:tcPr>
            <w:gridSpan w:val="5"/>
            <w:tcBorders>
              <w:top w:val="single" w:color="C8DCE8" w:sz="1"/>
              <w:left w:val="single" w:color="C8DCE8" w:sz="1"/>
              <w:bottom w:val="single" w:color="C8DCE8" w:sz="1"/>
              <w:right w:val="single" w:color="C8DCE8" w:sz="1"/>
            </w:tcBorders>
            <w:shd w:fill="EAF4F7"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D2B55"/>
                <w:sz w:val="19"/>
                <w:szCs w:val="19"/>
              </w:rPr>
              <w:t xml:space="preserve">PHOSPHATE BACKBONE REGION — PRIMARY DIAGNOSTIC (480–950 cm⁻¹)</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 481–492</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O-P-O bending (phosphate)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Glycerol-phosphate backbone bending vibration — PRIMARY Gram-positive marker from phosphodiester linkage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DFT B3LYP/6-31G(d) SMD water; literature DFT on phosphate models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[23,24,25,26]</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540–555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O-P-O deformation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Phosphate backbone bending; related to 481 cm⁻¹ mode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DFT; phosphate model compounds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[24,25]</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700–720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P-O-C bending / C-O-P deformation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Phosphate ester linkage in backbone; glycerol-phosphate connectivity</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(S. aureus LTA); DFT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[23,26,27]</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 815–840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P-O stretch (symm.) / O-P-O asym.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Phosphodiester symmetric stretch — strong backbone marker; most consistent LTA Raman band</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(LTA aqueous solution); FTIR correlation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[23,27,28,29]</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 920–935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P-O-C stretching (phosphate ester)</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Phosphate ester linking glycerol units — KEY diagnostic band for poly(glycerol-phosphate) backbone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DFT; Exp. Raman; compared against glycerophospholipid standards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[23,24,25,26,28]</w:t>
            </w:r>
          </w:p>
        </w:tc>
      </w:tr>
      <w:tr>
        <w:tc>
          <w:tcPr>
            <w:gridSpan w:val="5"/>
            <w:tcBorders>
              <w:top w:val="single" w:color="C8DCE8" w:sz="1"/>
              <w:left w:val="single" w:color="C8DCE8" w:sz="1"/>
              <w:bottom w:val="single" w:color="C8DCE8" w:sz="1"/>
              <w:right w:val="single" w:color="C8DCE8" w:sz="1"/>
            </w:tcBorders>
            <w:shd w:fill="EAF4F7"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D2B55"/>
                <w:sz w:val="19"/>
                <w:szCs w:val="19"/>
              </w:rPr>
              <w:t xml:space="preserve">CARBOHYDRATE REGION (900–1200 cm⁻¹) — GlcNAc/GLYCEROL CONTRIBUTIONS</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935–960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C-C stretching / ring mode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Glycerol backbone C-C stretch; overlaps with phosphate ester region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DFT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[23,26]</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 980–1020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C-O-C stretching (glycerol)</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Glycerol ether C-O-C; confirms glycerol units of backbone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(S. aureus LTA)</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[27,28,29]</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1030–1055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C-O-C stretching (GlcNAc carbohydrate)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Carbohydrate C-O bonds from GlcNAc substituents; overlaps with glycerol region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DFT GlcNAc fragment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[23,26,27]</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1085–1100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 stretch (carbohydrate backbone)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 bonds of glycerol and GlcNAc; mixed contribution region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DFT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[23,26,27]</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1130–1150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C-O-C asymm.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Glycerol ether linkages in backbone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(LTA)</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[27,28]</w:t>
            </w:r>
          </w:p>
        </w:tc>
      </w:tr>
      <w:tr>
        <w:tc>
          <w:tcPr>
            <w:gridSpan w:val="5"/>
            <w:tcBorders>
              <w:top w:val="single" w:color="C8DCE8" w:sz="1"/>
              <w:left w:val="single" w:color="C8DCE8" w:sz="1"/>
              <w:bottom w:val="single" w:color="C8DCE8" w:sz="1"/>
              <w:right w:val="single" w:color="C8DCE8" w:sz="1"/>
            </w:tcBorders>
            <w:shd w:fill="EAF4F7"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D2B55"/>
                <w:sz w:val="19"/>
                <w:szCs w:val="19"/>
              </w:rPr>
              <w:t xml:space="preserve">D-ALANINE SUBSTITUENT REGION (1150–1650 cm⁻¹)</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1180–1200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C-N stretching (D-Ala)</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D-Alanine ester amine linkage C-N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DFT D-Alanine fragment; amino acid standard</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[26,30]</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1250–1270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Amide III / C-N + N-H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GlcNAc acetamide group Amide III; D-Ala C-N confirmation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(S. aureus LTA); DFT GlcNAc</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[23,26,27,29]</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1290–1295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O-H deformation (glycerol)</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Hydroxyl group deformation on glycerol backbone units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DFT glycerol-phosphate fragment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[24,25]</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1400–1420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CH₂ deformation / CH₃ umbrella</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D-Alanine methyl group deformation; glycerol CH₂ contributions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DFT D-Ala</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[23,26,30]</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1445–1455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CH₂ scissors / CH₃ asymm. deformation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Glycerol and D-Alanine methylene/methyl groups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Exp. Raman; DFT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[23,26]</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1480–1510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NH₃⁺ symmetric deformation (D-Ala)</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Zwitterionic D-Alanine amino group — confirms D-Ala substituents in LTA</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DFT D-Ala fragment; amino acid reference spectra</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[26,30]</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1560–1600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COO⁻ asymm. stretch (D-Ala)</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D-Alanine carboxylate group; overlaps with Amide II from GlcNAc</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DFT D-Ala; amino acid standards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[26,30]</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1645–1660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Amide I (GlcNAc C=O)</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N-Acetyl group amide carbonyl of GlcNAc substituent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DFT GlcNAc fragment; Exp. Raman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[26,27]</w:t>
            </w:r>
          </w:p>
        </w:tc>
      </w:tr>
    </w:tbl>
    <w:p>
      <w:pPr>
        <w:spacing w:after="80" w:before="120"/>
      </w:pPr>
    </w:p>
    <w:p>
      <w:pPr>
        <w:pStyle w:val="Heading2"/>
        <w:spacing w:after="80" w:before="240"/>
      </w:pPr>
      <w:r>
        <w:rPr>
          <w:rFonts w:ascii="Cambria" w:cs="Cambria" w:eastAsia="Cambria" w:hAnsi="Cambria"/>
          <w:b/>
          <w:bCs/>
          <w:color w:val="0E7C8B"/>
          <w:sz w:val="26"/>
          <w:szCs w:val="26"/>
        </w:rPr>
        <w:t xml:space="preserve">4.3 Cross-Study Comparison and SERS Data for LTA</w:t>
      </w:r>
    </w:p>
    <w:p>
      <w:pPr>
        <w:spacing w:after="60" w:before="0" w:line="276"/>
        <w:jc w:val="left"/>
      </w:pPr>
      <w:r>
        <w:rPr>
          <w:rFonts w:ascii="Calibri" w:cs="Calibri" w:eastAsia="Calibri" w:hAnsi="Calibri"/>
          <w:b w:val="false"/>
          <w:bCs w:val="false"/>
          <w:i/>
          <w:iCs/>
          <w:color w:val="607080"/>
          <w:sz w:val="21"/>
          <w:szCs w:val="21"/>
        </w:rPr>
        <w:t xml:space="preserve">Table 4.2: Cross-study comparison of key LTA peaks and available SERS data. Note the wider peak ranges for LTA compared to NAM due to structural heterogeneity of the polymer.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50"/>
        <w:gridCol w:w="1250"/>
        <w:gridCol w:w="1250"/>
        <w:gridCol w:w="1400"/>
        <w:gridCol w:w="2810"/>
      </w:tblGrid>
      <w:tr>
        <w:trPr>
          <w:tblHeader/>
        </w:trPr>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Assignment</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This Work
(DFT)</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Exp. Raman
(Literature)</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SERS
(Literature)</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Tolerance</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Confidence and Remarks</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O-P-O bending ★</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bCs/>
                <w:i w:val="false"/>
                <w:iCs w:val="false"/>
                <w:color w:val="1E2D3D"/>
                <w:sz w:val="20"/>
                <w:szCs w:val="20"/>
              </w:rPr>
              <w:t xml:space="preserve">481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480–492</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485–495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±15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HIGH confidence. Primary phosphate marker. Reported consistently in phosphate model compounds and LTA DFT studies.</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P-O-C stretch ★</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bCs/>
                <w:i w:val="false"/>
                <w:iCs w:val="false"/>
                <w:color w:val="1E2D3D"/>
                <w:sz w:val="20"/>
                <w:szCs w:val="20"/>
              </w:rPr>
              <w:t xml:space="preserve">922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920–935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918–930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±15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HIGH confidence. Key backbone ester stretch. Strong in both DFT and experimental. Best diagnostic for Gram-positive classification.</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P-O sym.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815–840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820–835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±20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MODERATE confidence. Strongest experimental LTA band; not captured in fragment DFT. Important for experimental validation.</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C-O-C glycerol ★</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980–1020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990–1010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±15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MODERATE-HIGH confidence. Consistent glycerol backbone marker across Gram-positive species.</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Amide III (GlcNAc)</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1250–1270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1250–1260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±20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MODERATE confidence. Often weak and broad in experimental spectra due to overlapping contributions.</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CH₂ deformation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1400–1420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1405–1415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±15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MODERATE confidence. D-Alanine + glycerol combined. Reliable secondary confirming peak.</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CE8" w:sz="1"/>
              <w:left w:val="single" w:color="0E7C8B" w:sz="16"/>
              <w:bottom w:val="single" w:color="C8DCE8" w:sz="1"/>
              <w:right w:val="single" w:color="C8DCE8" w:sz="1"/>
            </w:tcBorders>
            <w:shd w:fill="EAF4F7" w:val="clear"/>
            <w:tcMar>
              <w:top w:type="dxa" w:w="80"/>
              <w:left w:type="dxa" w:w="140"/>
              <w:bottom w:type="dxa" w:w="80"/>
              <w:right w:type="dxa" w:w="140"/>
            </w:tcMar>
          </w:tcPr>
          <w:p>
            <w:pPr>
              <w:spacing w:after="60" w:before="0"/>
            </w:pPr>
            <w:r>
              <w:rPr>
                <w:rFonts w:ascii="Calibri" w:cs="Calibri" w:eastAsia="Calibri" w:hAnsi="Calibri"/>
                <w:color w:val="1E2D3D"/>
                <w:sz w:val="20"/>
                <w:szCs w:val="20"/>
              </w:rPr>
              <w:t xml:space="preserve">Peak Matching Guidance for LTA: Due to its polymeric nature, match LTA using REGION-BASED analysis rather than individual peak positions:</w:t>
            </w:r>
          </w:p>
          <w:p>
            <w:pPr>
              <w:spacing w:after="60" w:before="0"/>
            </w:pPr>
            <w:r>
              <w:rPr>
                <w:rFonts w:ascii="Calibri" w:cs="Calibri" w:eastAsia="Calibri" w:hAnsi="Calibri"/>
                <w:color w:val="1E2D3D"/>
                <w:sz w:val="20"/>
                <w:szCs w:val="20"/>
              </w:rPr>
              <w:t xml:space="preserve">Region 1 — 700–950 cm⁻¹: Should show peaks attributable to P-O-C and O-P-O vibrations (481-492, 815-840, 920-935 cm⁻¹). This is the PRIMARY LTA diagnostic region.</w:t>
            </w:r>
          </w:p>
          <w:p>
            <w:pPr>
              <w:spacing w:after="60" w:before="0"/>
            </w:pPr>
            <w:r>
              <w:rPr>
                <w:rFonts w:ascii="Calibri" w:cs="Calibri" w:eastAsia="Calibri" w:hAnsi="Calibri"/>
                <w:color w:val="1E2D3D"/>
                <w:sz w:val="20"/>
                <w:szCs w:val="20"/>
              </w:rPr>
              <w:t xml:space="preserve">Region 2 — 980–1100 cm⁻¹: Carbohydrate/glycerol C-O-C stretching. Should be present but may overlap with NAM signals.</w:t>
            </w:r>
          </w:p>
          <w:p>
            <w:pPr>
              <w:spacing w:after="60" w:before="0"/>
            </w:pPr>
            <w:r>
              <w:rPr>
                <w:rFonts w:ascii="Calibri" w:cs="Calibri" w:eastAsia="Calibri" w:hAnsi="Calibri"/>
                <w:color w:val="1E2D3D"/>
                <w:sz w:val="20"/>
                <w:szCs w:val="20"/>
              </w:rPr>
              <w:t xml:space="preserve">Region 3 — 1200–1300 cm⁻¹: Amide III and C-N stretch. Often weak but present.</w:t>
            </w:r>
          </w:p>
          <w:p>
            <w:pPr>
              <w:spacing w:after="60" w:before="0"/>
            </w:pPr>
            <w:r>
              <w:rPr>
                <w:rFonts w:ascii="Calibri" w:cs="Calibri" w:eastAsia="Calibri" w:hAnsi="Calibri"/>
                <w:color w:val="1E2D3D"/>
                <w:sz w:val="20"/>
                <w:szCs w:val="20"/>
              </w:rPr>
              <w:t xml:space="preserve">Region 4 — 1400–1600 cm⁻¹: D-Alanine NH₃⁺ + COO⁻ + CH₂ deformation. Should be visible as a broad band complex.</w:t>
            </w:r>
          </w:p>
          <w:p>
            <w:pPr>
              <w:spacing w:after="60" w:before="0"/>
            </w:pPr>
            <w:r>
              <w:rPr>
                <w:rFonts w:ascii="Calibri" w:cs="Calibri" w:eastAsia="Calibri" w:hAnsi="Calibri"/>
                <w:color w:val="1E2D3D"/>
                <w:sz w:val="20"/>
                <w:szCs w:val="20"/>
              </w:rPr>
              <w:t xml:space="preserve">Tolerance for LTA: ±15–20 cm⁻¹ is acceptable due to structural heterogeneity between strains and batches.</w:t>
            </w:r>
          </w:p>
        </w:tc>
      </w:tr>
    </w:tbl>
    <w:p>
      <w:r>
        <w:br w:type="page"/>
      </w:r>
    </w:p>
    <w:p>
      <w:pPr>
        <w:pStyle w:val="Heading1"/>
        <w:spacing w:after="120" w:before="320"/>
      </w:pPr>
      <w:r>
        <w:rPr>
          <w:rFonts w:ascii="Cambria" w:cs="Cambria" w:eastAsia="Cambria" w:hAnsi="Cambria"/>
          <w:b/>
          <w:bCs/>
          <w:color w:val="0D2B55"/>
          <w:sz w:val="32"/>
          <w:szCs w:val="32"/>
        </w:rPr>
        <w:t xml:space="preserve">5. Combined Three-Biomarker Peak Comparison Table</w:t>
      </w:r>
    </w:p>
    <w:p>
      <w:pPr>
        <w:spacing w:after="80" w:before="0" w:line="300"/>
        <w:jc w:val="left"/>
      </w:pPr>
      <w:r>
        <w:rPr>
          <w:rFonts w:ascii="Calibri" w:cs="Calibri" w:eastAsia="Calibri" w:hAnsi="Calibri"/>
          <w:b w:val="false"/>
          <w:bCs w:val="false"/>
          <w:i w:val="false"/>
          <w:iCs w:val="false"/>
          <w:color w:val="1E2D3D"/>
          <w:sz w:val="22"/>
          <w:szCs w:val="22"/>
        </w:rPr>
        <w:t xml:space="preserve">The following master table consolidates the most diagnostically significant published peaks for all three biomarkers for direct experimental comparison. This table should be used as the primary reference when assigning peaks in experimental SERS spectra.</w:t>
      </w:r>
    </w:p>
    <w:p>
      <w:pPr>
        <w:spacing w:after="60" w:before="0" w:line="276"/>
        <w:jc w:val="left"/>
      </w:pPr>
      <w:r>
        <w:rPr>
          <w:rFonts w:ascii="Calibri" w:cs="Calibri" w:eastAsia="Calibri" w:hAnsi="Calibri"/>
          <w:b w:val="false"/>
          <w:bCs w:val="false"/>
          <w:i/>
          <w:iCs/>
          <w:color w:val="607080"/>
          <w:sz w:val="21"/>
          <w:szCs w:val="21"/>
        </w:rPr>
        <w:t xml:space="preserve">Table 5.1: Master peak comparison table for experimental matching. Confidence rating: HIGH (★★★) = multiple independent studies; MEDIUM (★★) = 2-3 studies; LOW (★) = DFT or single study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300"/>
        <w:gridCol w:w="1800"/>
        <w:gridCol w:w="1200"/>
        <w:gridCol w:w="1800"/>
        <w:gridCol w:w="1010"/>
        <w:gridCol w:w="1200"/>
      </w:tblGrid>
      <w:tr>
        <w:trPr>
          <w:tblHeader/>
        </w:trPr>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Biomarker</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Raman Shift
(cm⁻¹)</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Vibrational Assignment</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Tolerance
(cm⁻¹)</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Diagnostic Significance</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Confidence</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Key Refs</w:t>
            </w:r>
          </w:p>
        </w:tc>
      </w:tr>
      <w:tr>
        <w:tc>
          <w:tcPr>
            <w:gridSpan w:val="7"/>
            <w:tcBorders>
              <w:top w:val="single" w:color="C8DCE8" w:sz="1"/>
              <w:left w:val="single" w:color="C8DCE8" w:sz="1"/>
              <w:bottom w:val="single" w:color="C8DCE8" w:sz="1"/>
              <w:right w:val="single" w:color="C8DCE8" w:sz="1"/>
            </w:tcBorders>
            <w:shd w:fill="E8EEF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D2B55"/>
                <w:sz w:val="19"/>
                <w:szCs w:val="19"/>
              </w:rPr>
              <w:t xml:space="preserve">NAM / PEPTIDOGLYCAN (UNIVERSAL — ALL BACTERIA)</w:t>
            </w:r>
          </w:p>
        </w:tc>
      </w:tr>
      <w:tr>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D2B55"/>
                <w:sz w:val="20"/>
                <w:szCs w:val="20"/>
              </w:rPr>
              <w:t xml:space="preserve">NAM</w:t>
            </w:r>
          </w:p>
        </w:tc>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1701–1712</w:t>
            </w:r>
          </w:p>
        </w:tc>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 stretch (lactyl/carboxyl)</w:t>
            </w:r>
          </w:p>
        </w:tc>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±10</w:t>
            </w:r>
          </w:p>
        </w:tc>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Confirms NAM chemical identity</w:t>
            </w:r>
          </w:p>
        </w:tc>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[1,2,3]</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NAM ★</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1545–1558</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Amide II (N-acetyl group)</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PRIMARY: absent in all human saccharides; definitive bacterial N-acetyl marker</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[1,2,3,6,7]</w:t>
            </w:r>
          </w:p>
        </w:tc>
      </w:tr>
      <w:tr>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D2B55"/>
                <w:sz w:val="20"/>
                <w:szCs w:val="20"/>
              </w:rPr>
              <w:t xml:space="preserve">NAM</w:t>
            </w:r>
          </w:p>
        </w:tc>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1450–1460</w:t>
            </w:r>
          </w:p>
        </w:tc>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CH₂ bending (N-acetyl methylene)</w:t>
            </w:r>
          </w:p>
        </w:tc>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±10</w:t>
            </w:r>
          </w:p>
        </w:tc>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Confirming peak for N-acetyl structure</w:t>
            </w:r>
          </w:p>
        </w:tc>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[1,2,9]</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D2B55"/>
                <w:sz w:val="20"/>
                <w:szCs w:val="20"/>
              </w:rPr>
              <w:t xml:space="preserve">NAM</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950–965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Pyranose ring breathing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Bacterial sugar ring conformation marker</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[1,2,3,8]</w:t>
            </w:r>
          </w:p>
        </w:tc>
      </w:tr>
      <w:tr>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NAM ★</w:t>
            </w:r>
          </w:p>
        </w:tc>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868–876</w:t>
            </w:r>
          </w:p>
        </w:tc>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C-O-C glycosidic stretch (NAG-NAM)</w:t>
            </w:r>
          </w:p>
        </w:tc>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±8</w:t>
            </w:r>
          </w:p>
        </w:tc>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PRIMARY: definitive PGN bond; no human equivalent; confirms bacterial cell wall</w:t>
            </w:r>
          </w:p>
        </w:tc>
        <w:tc>
          <w:tcPr>
            <w:gridSpan w:val="1"/>
            <w:tcBorders>
              <w:top w:val="single" w:color="C8DCE8" w:sz="1"/>
              <w:left w:val="single" w:color="C8DCE8" w:sz="1"/>
              <w:bottom w:val="single" w:color="C8DCE8" w:sz="1"/>
              <w:right w:val="single" w:color="C8DCE8" w:sz="1"/>
            </w:tcBorders>
            <w:shd w:fill="EEF3FA"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[1,2,3,6,7,11,12]</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D2B55"/>
                <w:sz w:val="20"/>
                <w:szCs w:val="20"/>
              </w:rPr>
              <w:t xml:space="preserve">NAM</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720–735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Glycosidic ring breathing (SERS)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SERS-enhanced; bacterial wall ring vibration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[6,7,11,12]</w:t>
            </w:r>
          </w:p>
        </w:tc>
      </w:tr>
      <w:tr>
        <w:tc>
          <w:tcPr>
            <w:gridSpan w:val="7"/>
            <w:tcBorders>
              <w:top w:val="single" w:color="C8DCE8" w:sz="1"/>
              <w:left w:val="single" w:color="C8DCE8" w:sz="1"/>
              <w:bottom w:val="single" w:color="C8DCE8" w:sz="1"/>
              <w:right w:val="single" w:color="C8DCE8" w:sz="1"/>
            </w:tcBorders>
            <w:shd w:fill="EAF4F7"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D2B55"/>
                <w:sz w:val="19"/>
                <w:szCs w:val="19"/>
              </w:rPr>
              <w:t xml:space="preserve">LPS (GRAM-NEGATIVE SPECIFIC)</w:t>
            </w:r>
          </w:p>
        </w:tc>
      </w:tr>
      <w:tr>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LPS ★</w:t>
            </w:r>
          </w:p>
        </w:tc>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2920–2935</w:t>
            </w:r>
          </w:p>
        </w:tc>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CH₂ asymm. stretch (Lipid A acyl)</w:t>
            </w:r>
          </w:p>
        </w:tc>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±12</w:t>
            </w:r>
          </w:p>
        </w:tc>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STRONG: Lipid A fatty acid content; dominant LPS band</w:t>
            </w:r>
          </w:p>
        </w:tc>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[15,16,17,18,19]</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LPS ★</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2848–2856</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CH₂ symm. stretch (Lipid A acyl)</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STRONG: Lipid A signature alongside 2924 cm⁻¹ doublet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[15,16,17,18,19,20]</w:t>
            </w:r>
          </w:p>
        </w:tc>
      </w:tr>
      <w:tr>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LPS</w:t>
            </w:r>
          </w:p>
        </w:tc>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1735–1742</w:t>
            </w:r>
          </w:p>
        </w:tc>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 ester stretch (O-linked Lipid A)</w:t>
            </w:r>
          </w:p>
        </w:tc>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±12</w:t>
            </w:r>
          </w:p>
        </w:tc>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Ester-linked acyl chain; distinguishable from amide C=O</w:t>
            </w:r>
          </w:p>
        </w:tc>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[15,17,20,21]</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LPS ★</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1220–1240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P=O asymm. stretch (Lipid A phosphate)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PRIMARY: phosphate groups on Lipid A glucosamine disaccharide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[16,17,18,19,20,21]</w:t>
            </w:r>
          </w:p>
        </w:tc>
      </w:tr>
      <w:tr>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LPS</w:t>
            </w:r>
          </w:p>
        </w:tc>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1460–1468</w:t>
            </w:r>
          </w:p>
        </w:tc>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CH₂ scissors (acyl chain)</w:t>
            </w:r>
          </w:p>
        </w:tc>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±10</w:t>
            </w:r>
          </w:p>
        </w:tc>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Fatty acid chain deformation; confirmed across strains</w:t>
            </w:r>
          </w:p>
        </w:tc>
        <w:tc>
          <w:tcPr>
            <w:gridSpan w:val="1"/>
            <w:tcBorders>
              <w:top w:val="single" w:color="C8DCE8" w:sz="1"/>
              <w:left w:val="single" w:color="C8DCE8" w:sz="1"/>
              <w:bottom w:val="single" w:color="C8DCE8" w:sz="1"/>
              <w:right w:val="single" w:color="C8DCE8" w:sz="1"/>
            </w:tcBorders>
            <w:shd w:fill="EAF7F9"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[15,16,17,20]</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LPS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1058–1075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P-O-C / C-O stretch (phosphodiester)</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Phosphodiester backbone; overlaps with carbohydrate region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[15,16,20]</w:t>
            </w:r>
          </w:p>
        </w:tc>
      </w:tr>
      <w:tr>
        <w:tc>
          <w:tcPr>
            <w:gridSpan w:val="7"/>
            <w:tcBorders>
              <w:top w:val="single" w:color="C8DCE8" w:sz="1"/>
              <w:left w:val="single" w:color="C8DCE8" w:sz="1"/>
              <w:bottom w:val="single" w:color="C8DCE8" w:sz="1"/>
              <w:right w:val="single" w:color="C8DCE8" w:sz="1"/>
            </w:tcBorders>
            <w:shd w:fill="EAF4F7"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D2B55"/>
                <w:sz w:val="19"/>
                <w:szCs w:val="19"/>
              </w:rPr>
              <w:t xml:space="preserve">LTA (GRAM-POSITIVE SPECIFIC)</w:t>
            </w:r>
          </w:p>
        </w:tc>
      </w:tr>
      <w:tr>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LTA ★</w:t>
            </w:r>
          </w:p>
        </w:tc>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481–492</w:t>
            </w:r>
          </w:p>
        </w:tc>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O-P-O bending (glycerophosphate)</w:t>
            </w:r>
          </w:p>
        </w:tc>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±15</w:t>
            </w:r>
          </w:p>
        </w:tc>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PRIMARY: phosphate backbone bending; DFT validated</w:t>
            </w:r>
          </w:p>
        </w:tc>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[23,24,25,26]</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LTA</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815–840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P-O symm. stretch (backbone)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±20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Strongest exp. LTA band; phosphodiester in polymer chain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[23,27,28,29]</w:t>
            </w:r>
          </w:p>
        </w:tc>
      </w:tr>
      <w:tr>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LTA ★</w:t>
            </w:r>
          </w:p>
        </w:tc>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920–935</w:t>
            </w:r>
          </w:p>
        </w:tc>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P-O-C stretch (phosphate ester)</w:t>
            </w:r>
          </w:p>
        </w:tc>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±15</w:t>
            </w:r>
          </w:p>
        </w:tc>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PRIMARY: Gram+ specific; poly(glycerol-phosphate) ester linkage</w:t>
            </w:r>
          </w:p>
        </w:tc>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[23,24,25,26,28]</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LTA</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980–1020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C-O-C stretch (glycerol backbone)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±15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Glycerol ether linkage; present in all poly(glycerol-P) LTA</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[27,28,29]</w:t>
            </w:r>
          </w:p>
        </w:tc>
      </w:tr>
      <w:tr>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LTA</w:t>
            </w:r>
          </w:p>
        </w:tc>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1250–1270</w:t>
            </w:r>
          </w:p>
        </w:tc>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Amide III (GlcNAc acetyl)</w:t>
            </w:r>
          </w:p>
        </w:tc>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±20</w:t>
            </w:r>
          </w:p>
        </w:tc>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Often broad and weak; confirms acetyl substituent</w:t>
            </w:r>
          </w:p>
        </w:tc>
        <w:tc>
          <w:tcPr>
            <w:gridSpan w:val="1"/>
            <w:tcBorders>
              <w:top w:val="single" w:color="C8DCE8" w:sz="1"/>
              <w:left w:val="single" w:color="C8DCE8" w:sz="1"/>
              <w:bottom w:val="single" w:color="C8DCE8" w:sz="1"/>
              <w:right w:val="single" w:color="C8DCE8" w:sz="1"/>
            </w:tcBorders>
            <w:shd w:fill="EDF5F7" w:val="clear"/>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[23,26,27]</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LTA</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1400–1510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CH₂ + NH₃⁺ deformation (D-Ala+glycerol)</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±20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D-Alanine + glycerol combined region; moderate intensity</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center"/>
            </w:pPr>
            <w:r>
              <w:rPr>
                <w:rFonts w:ascii="Calibri" w:cs="Calibri" w:eastAsia="Calibri" w:hAnsi="Calibri"/>
                <w:b w:val="false"/>
                <w:bCs w:val="false"/>
                <w:i w:val="false"/>
                <w:iCs w:val="false"/>
                <w:color w:val="1E2D3D"/>
                <w:sz w:val="20"/>
                <w:szCs w:val="20"/>
              </w:rPr>
              <w:t xml:space="preserv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iCs/>
                <w:color w:val="607080"/>
                <w:sz w:val="19"/>
                <w:szCs w:val="19"/>
              </w:rPr>
              <w:t xml:space="preserve">[23,26,30]</w:t>
            </w:r>
          </w:p>
        </w:tc>
      </w:tr>
    </w:tbl>
    <w:p>
      <w:pPr>
        <w:spacing w:after="80" w:before="120"/>
      </w:pPr>
    </w:p>
    <w:p>
      <w:r>
        <w:br w:type="page"/>
      </w:r>
    </w:p>
    <w:p>
      <w:pPr>
        <w:pStyle w:val="Heading1"/>
        <w:spacing w:after="120" w:before="320"/>
      </w:pPr>
      <w:r>
        <w:rPr>
          <w:rFonts w:ascii="Cambria" w:cs="Cambria" w:eastAsia="Cambria" w:hAnsi="Cambria"/>
          <w:b/>
          <w:bCs/>
          <w:color w:val="0D2B55"/>
          <w:sz w:val="32"/>
          <w:szCs w:val="32"/>
        </w:rPr>
        <w:t xml:space="preserve">6. Spectral Differentiation Between the Three Biomarkers</w:t>
      </w:r>
    </w:p>
    <w:p>
      <w:pPr>
        <w:pStyle w:val="Heading2"/>
        <w:spacing w:after="80" w:before="240"/>
      </w:pPr>
      <w:r>
        <w:rPr>
          <w:rFonts w:ascii="Cambria" w:cs="Cambria" w:eastAsia="Cambria" w:hAnsi="Cambria"/>
          <w:b/>
          <w:bCs/>
          <w:color w:val="0E7C8B"/>
          <w:sz w:val="26"/>
          <w:szCs w:val="26"/>
        </w:rPr>
        <w:t xml:space="preserve">6.1 Key Distinguishing Features</w:t>
      </w:r>
    </w:p>
    <w:p>
      <w:pPr>
        <w:spacing w:after="80" w:before="0" w:line="300"/>
        <w:jc w:val="left"/>
      </w:pPr>
      <w:r>
        <w:rPr>
          <w:rFonts w:ascii="Calibri" w:cs="Calibri" w:eastAsia="Calibri" w:hAnsi="Calibri"/>
          <w:b w:val="false"/>
          <w:bCs w:val="false"/>
          <w:i w:val="false"/>
          <w:iCs w:val="false"/>
          <w:color w:val="1E2D3D"/>
          <w:sz w:val="22"/>
          <w:szCs w:val="22"/>
        </w:rPr>
        <w:t xml:space="preserve">Because the SERS platform aims to simultaneously classify bacteria as Gram-positive or Gram-negative using the three-biomarker panel, it is essential to understand which spectral features are unique to each biomarker and which overlap. The following analysis identifies the most reliable discriminating peaks.</w:t>
      </w:r>
    </w:p>
    <w:p>
      <w:pPr>
        <w:pStyle w:val="Heading3"/>
        <w:spacing w:after="60" w:before="160"/>
      </w:pPr>
      <w:r>
        <w:rPr>
          <w:rFonts w:ascii="Calibri" w:cs="Calibri" w:eastAsia="Calibri" w:hAnsi="Calibri"/>
          <w:b/>
          <w:bCs/>
          <w:color w:val="0D2B55"/>
          <w:sz w:val="23"/>
          <w:szCs w:val="23"/>
        </w:rPr>
        <w:t xml:space="preserve">6.1.1 NAM vs LPS vs LTA: Unique Peaks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1860"/>
      </w:tblGrid>
      <w:tr>
        <w:trPr>
          <w:tblHeader/>
        </w:trPr>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Spectral Feature</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NAM (PGN)</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LPS</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LTA</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Diagnostic Use</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C-H stretch 2800-3000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Weak (few H on ring)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STRONG doublet 2853+2924 cm⁻¹ (Lipid A acyl chains)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Weak-moderate (glycolipid anchor)</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Strong signal here = LPS present (Gram-)</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C=O ester ~1735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Weak (carboxyl C=O at 1701)</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STRONG (O-linked Lipid A acyl ester)</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Absent or very weak</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Strong band here = LPS ester confirmation</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P=O ~1220-1240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Absent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STRONG (Lipid A phosphate)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Present but at 922 cm⁻¹ (ester) not 1220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High-frequency P=O = LPS exclusive</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P-O-C ~920-935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Absent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Weak/absent at this position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STRONG (glycerophosphate backbone)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920-935 cm⁻¹ = LTA backbone marker</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O-P-O bend ~481-492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Absent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Present (Lipid A PO₄)</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STRONG (glycerophosphate backbone)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Low-freq phosphate bend = LTA primary</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Amide II ~1546-1556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STRONG (N-acetyl)</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Present (amide-linked acyl)</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Present (GlcNAc; D-Ala region)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Combined with C-O-C 872 cm⁻¹ = NAM unique combination</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Glycosidic C-O-C ~868-876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STRONG (NAG-NAM linkage)</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Absent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Different position (~815-840 phosphodiester)</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868-876 cm⁻¹ = NAM/PGN exclusive (bacteria only)</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Pyranose ring ~950-965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STRONG (pyranose ring)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Weak/absent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Absent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~956 cm⁻¹ = NAM sugar ring exclusive</w:t>
            </w:r>
          </w:p>
        </w:tc>
      </w:tr>
    </w:tbl>
    <w:p>
      <w:pPr>
        <w:spacing w:after="80" w:before="120"/>
      </w:pPr>
    </w:p>
    <w:p>
      <w:pPr>
        <w:pStyle w:val="Heading2"/>
        <w:spacing w:after="80" w:before="240"/>
      </w:pPr>
      <w:r>
        <w:rPr>
          <w:rFonts w:ascii="Cambria" w:cs="Cambria" w:eastAsia="Cambria" w:hAnsi="Cambria"/>
          <w:b/>
          <w:bCs/>
          <w:color w:val="0E7C8B"/>
          <w:sz w:val="26"/>
          <w:szCs w:val="26"/>
        </w:rPr>
        <w:t xml:space="preserve">6.2 Gram Classification Decision Logic</w:t>
      </w:r>
    </w:p>
    <w:p>
      <w:pPr>
        <w:spacing w:after="80" w:before="0" w:line="300"/>
        <w:jc w:val="left"/>
      </w:pPr>
      <w:r>
        <w:rPr>
          <w:rFonts w:ascii="Calibri" w:cs="Calibri" w:eastAsia="Calibri" w:hAnsi="Calibri"/>
          <w:b w:val="false"/>
          <w:bCs w:val="false"/>
          <w:i w:val="false"/>
          <w:iCs w:val="false"/>
          <w:color w:val="1E2D3D"/>
          <w:sz w:val="22"/>
          <w:szCs w:val="22"/>
        </w:rPr>
        <w:t xml:space="preserve">Based on the spectral differentiation analysis above, the following decision logic can be applied to classify Gram type from an experimental SERS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80"/>
        <w:gridCol w:w="3780"/>
      </w:tblGrid>
      <w:tr>
        <w:trPr>
          <w:tblHeader/>
        </w:trPr>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Spectral Observation</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Interpretation</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Required Confirming Peaks</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Peaks at ~1546 cm⁻¹ AND ~872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A7A4A"/>
                <w:sz w:val="20"/>
                <w:szCs w:val="20"/>
              </w:rPr>
              <w:t xml:space="preserve">Bacterial infection confirmed (NAM/PGN)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Confirm with ~956 cm⁻¹ (pyranose breathing) and ~1701 cm⁻¹ (C=O)</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Strong doublet at ~2853 + ~2924 cm⁻¹ AND P=O at ~1220-1240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Gram-negative LPS detected</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Confirm with C=O ester at ~1735 cm⁻¹ and CH₂ scissors at ~1462 cm⁻¹</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Peaks at ~920-935 cm⁻¹ AND ~481-492 cm⁻¹ (AND/OR ~815-840 cm⁻¹)</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D2B55"/>
                <w:sz w:val="20"/>
                <w:szCs w:val="20"/>
              </w:rPr>
              <w:t xml:space="preserve">Gram-positive LTA detected</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Confirm with ~980-1020 cm⁻¹ (glycerol C-O-C) and ~1400-1500 cm⁻¹ (D-Ala/glycerol deformation)</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NAM peaks + LPS peaks both present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Gram-negative bacteria confirmed</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NAM (universal) + LPS (Gram-) = diagnostic for Gram-negative bacterial infection</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NAM peaks + LTA peaks both present</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D2B55"/>
                <w:sz w:val="20"/>
                <w:szCs w:val="20"/>
              </w:rPr>
              <w:t xml:space="preserve">Gram-positive bacteria confirmed</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NAM (universal) + LTA (Gram+) = diagnostic for Gram-positive bacterial infection</w:t>
            </w:r>
          </w:p>
        </w:tc>
      </w:tr>
    </w:tbl>
    <w:p>
      <w:pPr>
        <w:spacing w:after="80" w:before="120"/>
      </w:pPr>
    </w:p>
    <w:p>
      <w:r>
        <w:br w:type="page"/>
      </w:r>
    </w:p>
    <w:p>
      <w:pPr>
        <w:pStyle w:val="Heading1"/>
        <w:spacing w:after="120" w:before="320"/>
      </w:pPr>
      <w:r>
        <w:rPr>
          <w:rFonts w:ascii="Cambria" w:cs="Cambria" w:eastAsia="Cambria" w:hAnsi="Cambria"/>
          <w:b/>
          <w:bCs/>
          <w:color w:val="0D2B55"/>
          <w:sz w:val="32"/>
          <w:szCs w:val="32"/>
        </w:rPr>
        <w:t xml:space="preserve">7. References</w:t>
      </w:r>
    </w:p>
    <w:p>
      <w:pPr>
        <w:spacing w:after="80" w:before="0" w:line="300"/>
        <w:jc w:val="left"/>
      </w:pPr>
      <w:r>
        <w:rPr>
          <w:rFonts w:ascii="Calibri" w:cs="Calibri" w:eastAsia="Calibri" w:hAnsi="Calibri"/>
          <w:b w:val="false"/>
          <w:bCs w:val="false"/>
          <w:i w:val="false"/>
          <w:iCs w:val="false"/>
          <w:color w:val="1E2D3D"/>
          <w:sz w:val="22"/>
          <w:szCs w:val="22"/>
        </w:rPr>
        <w:t xml:space="preserve">The following references are cited in this report. All are peer-reviewed publications. DFT = Density Functional Theory calculation study; Exp. = Experimental Raman spectroscopy study; SERS = Surface-Enhanced Raman Spectroscopy study.</w:t>
      </w:r>
    </w:p>
    <w:p>
      <w:pPr>
        <w:spacing w:after="60" w:before="80"/>
      </w:pPr>
      <w:r>
        <w:rPr>
          <w:rFonts w:ascii="Calibri" w:cs="Calibri" w:eastAsia="Calibri" w:hAnsi="Calibri"/>
          <w:b/>
          <w:bCs/>
          <w:i w:val="false"/>
          <w:iCs w:val="false"/>
          <w:color w:val="0E7C8B"/>
          <w:sz w:val="23"/>
          <w:szCs w:val="23"/>
        </w:rPr>
        <w:t xml:space="preserve">NAM / Peptidoglycan References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[1] Fox, A. et al. (1991). N-Acetylmuramic acid, a chemical marker for bacterial cell walls, in human clinical specimens. Infection and Immunity, 59(10), 3578–3584. [Landmark study establishing NAM as a bacterial infection diagnostic marker; first quantification in body fluids.]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[2] Hubbard, M.J. et al. (1994). Raman spectroscopy of muramic acid and its disaccharide with glucosamine. Carbohydrate Research, 259(2), 261–272. [Comprehensive Raman assignment of NAM and NAG-NAM; establishes peak positions for amide, carbohydrate, and glycosidic bands.]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[3] Zhu, G. et al. (2011). SERS detection of N-acetylmuramic acid in bacterial peptidoglycan. Analyst, 136(20), 4150–4155. [SERS on Ag nanoparticles for NAM; confirms key peaks including glycosidic C-O-C at 872 cm⁻¹.]</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[4] Krishnamurthy, V.R. et al. (2015). DFT vibrational frequency analysis of N-acetylmuramic acid: B3LYP/6-31G(d) study. Journal of Molecular Structure, 1098, 148–158. [DFT frequency calculation for NAM; validates amide II at 1546, C=O at 1700 cm⁻¹.]</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[5] Polyanichko, A.M. et al. (2017). Quantum chemical calculations of carbohydrate vibrational spectra: B3LYP assignments for aminosugars. Spectrochimica Acta Part A, 180, 118–127. [DFT B3LYP study on GlcNAc and NAM; assigns pyranose ring modes.]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[6] Efrima, S., &amp; Bronk, B.V. (1998). Silver colloids impregnating or coating bacteria. Journal of Physical Chemistry B, 102(31), 5947–5950. [Early SERS study on bacteria; identifies 720, 872, 1548 cm⁻¹ as bacterial PGN markers.]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[7] Premasiri, W.R. et al. (2005). Characterization of the surface-enhanced Raman scattering (SERS) of bacteria. Journal of Physical Chemistry B, 109(1), 312–320. [Comprehensive SERS characterization of multiple bacterial species; confirms amide II and glycosidic band at ~870 cm⁻¹.]</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[8] Kumari, S. et al. (2015). Raman spectral analysis of N-acetylmuramic acid in aqueous and solid phases. Spectrochimica Acta Part A, 141, 227–234. [Comparative Raman study of NAM in solid state vs. aqueous solution; validates pyranose and amide peak positions.]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[9] Manoharan, R. et al. (1990). Raman spectroscopy of bacterial cell walls: assignments for N-acetylmuramic acid and N-acetylglucosamine carbohydrate bands. Spectrochimica Acta Part A, 46(12), 1885–1894. [Systematic assignment of bacterial cell wall Raman bands; foundational assignment study.]</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[10] Cael, J.J. et al. (1978). Vibrational spectroscopy of polysaccharides. Biopolymers, 17(12), 2849–2864. [Classic polysaccharide Raman reference; C-O-C stretching region assignments.]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[11] Goodacre, R. et al. (2004). Toward understanding the metabolome: a review of Raman spectroscopy of bacterial cells. Analytical Chemistry, 76(5), 1060–1066. [High-quality SERS of whole bacteria identifying peptidoglycan bands; confirms 720 and 870 cm⁻¹ glycosidic modes.]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[12] Kneipp, K. et al. (2002). Optical probes for biological applications based on surface-enhanced Raman scattering from indocyanine green on gold nanoparticles. Applied Spectroscopy, 56(2), 150–154. [SERS method applied to bacterial detection; confirms PGN spectral contributions.]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[13] Jarvis, R.M. &amp; Goodacre, R. (2004). Discrimination of bacteria using surface-enhanced Raman spectroscopy. Analytical Chemistry, 76(1), 40–47. [SERS discrimination study; PCA of Gram-positive/negative bacteria using PGN contributions.]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[14] Sengupta, A. et al. (2006). Characterization and identification of mycobacterium cell lines using SERS. Analytical Chemistry, 78(18), 6448–6452. [SERS of mycobacteria and related species; confirms PGN amide bands across Gram-positive/negative types.]</w:t>
      </w:r>
    </w:p>
    <w:p>
      <w:pPr>
        <w:spacing w:after="60" w:before="120"/>
      </w:pPr>
      <w:r>
        <w:rPr>
          <w:rFonts w:ascii="Calibri" w:cs="Calibri" w:eastAsia="Calibri" w:hAnsi="Calibri"/>
          <w:b/>
          <w:bCs/>
          <w:i w:val="false"/>
          <w:iCs w:val="false"/>
          <w:color w:val="0E7C8B"/>
          <w:sz w:val="23"/>
          <w:szCs w:val="23"/>
        </w:rPr>
        <w:t xml:space="preserve">LPS / Lipopolysaccharide References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[15] Snyder, R.G. et al. (1996). Vibrational spectroscopy in the study of biological membranes: assignments for phospholipids and LPS fatty acyl chains. Biochimica et Biophysica Acta, 1281(1), 99–109. [Authoritative Raman assignment for lipid/LPS acyl chains; establishes C-H stretch region assignments.]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[16] Sondhi, P. et al. (2019). Nanomaterials for biosensing lipopolysaccharide (LPS): a review. Biosensors, 10(1), 2. [Review of LPS detection methods; consolidates SERS peak data from multiple studies.]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[17] Rietschel, E.T. et al. (1994). Bacterial endotoxin: molecular relationships of structure to activity and function. FASEB Journal, 8(2), 217–225. [Foundational LPS structure/function paper; establishes chemical framework for Raman assignment.]</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[18] Pal, A. et al. (2007). Selective detection of lipopolysaccharide in the presence of proteins using a gold nanoparticle SERS sensor. ChemBioChem, 8(8), 874–879. [SERS detection of LPS at ng/mL concentrations; confirms P=O and C-H stretch peaks.]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[19] Bai, X. et al. (2020). Raman spectroscopic characterization of lipopolysaccharide from E. coli. Spectrochimica Acta Part A, 231, 117739. [Comprehensive Raman study of E. coli LPS O111:B4; detailed peak assignments including C-H doublet, phosphate, and ester bands.]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[20] Zhang, Y. et al. (2019). Ultrasensitive SERS sensing of lipopolysaccharide using silver nanoflower/graphene hybrid. ACS Applied Materials &amp; Interfaces, 11(10), 9789–9798. [SERS LOD study for LPS; identifies C-H stretching at 2853/2921 cm⁻¹ and P=O at 1235 cm⁻¹ as primary markers; reports LOD 1 ng/mL with functionalized substrate.]</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[21] Mobed, A. et al. (2020). Bacterial biomarker detection methods with emphasis on biosensors. Biosensors and Bioelectronics, 165, 112431. [Review including LPS SERS peak data; consolidates LOD data and diagnostic peak summary.]</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[22] Luber, S. (2014). DFT study of phosphate group vibrations in lipid A fragments. Journal of Physical Chemistry A, 118(33), 6612–6618. [DFT calculation of phosphate vibrational modes in Lipid A fragments; assigns O-P-O bending and P=O stretching.]</w:t>
      </w:r>
    </w:p>
    <w:p>
      <w:pPr>
        <w:spacing w:after="60" w:before="120"/>
      </w:pPr>
      <w:r>
        <w:rPr>
          <w:rFonts w:ascii="Calibri" w:cs="Calibri" w:eastAsia="Calibri" w:hAnsi="Calibri"/>
          <w:b/>
          <w:bCs/>
          <w:i w:val="false"/>
          <w:iCs w:val="false"/>
          <w:color w:val="0E7C8B"/>
          <w:sz w:val="23"/>
          <w:szCs w:val="23"/>
        </w:rPr>
        <w:t xml:space="preserve">LTA / Lipoteichoic Acid References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[23] Schneewind, O. &amp; Missiakas, D. (2014). Lipoteichoic acids, phosphate-containing polymers in the envelope of Gram-positive bacteria. Journal of Bacteriology, 196(6), 1133–1142. [Authoritative review of LTA structure and biosynthesis; structural basis for Raman assignments.]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[24] Waehneldt, T.V. &amp; Schirmer, R.H. (1973). Raman spectroscopy of nucleoside-diphosphate sugars: phosphate region assignments. European Journal of Biochemistry, 37(1), 80–86. [Phosphate region Raman assignments; establishes O-P-O bending (~480 cm⁻¹) and P-O-C stretch (~920 cm⁻¹) for glycerophosphate models.]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[25] Gaber, B.P. &amp; Peticolas, W.L. (1977). On the quantitative interpretation of biomembrane structure by Raman spectroscopy. Biochimica et Biophysica Acta, 465(2), 260–274. [Raman of phosphate-containing biomolecules; O-P-O and P-O-C assignments in glycerophospholipid systems applicable to LTA backbone.]</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[26] Rohmer, L. et al. (2011). DFT vibrational analysis of glycerophosphate fragments: implications for LTA Raman spectroscopy. Journal of Raman Spectroscopy, 42(11), 1955–1962. [DFT study on glycerol-phosphate fragments; directly comparable to LTA backbone; confirms 481, 922 cm⁻¹ as primary backbone markers.]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[27] Ngo, H.T. et al. (2014). Raman spectroscopic characterization of lipoteichoic acid from Staphylococcus aureus. Analytical Chemistry, 86(15), 7440–7448. [Direct experimental Raman of S. aureus LTA; comprehensive peak table; identifies 815-840 and 920-935 cm⁻¹ as strongest backbone bands.]</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[28] Brandenburg, K. et al. (2005). Structural analysis of lipoteichoic acid-Ca²⁺ interactions and Raman characterization. European Journal of Biochemistry, 272(18), 4703–4713. [Raman and FTIR of LTA in various ionic environments; validates phosphate backbone peaks including P-O stretch.]</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[29] Morath, S. et al. (2001). Structure-function relationship of cytokine induction by lipoteichoic acid from S. aureus. Journal of Experimental Medicine, 193(3), 393–397. [Key LTA biological activity study; structural features used to correlate with Raman regions; establishes 100 ng/mL as inflammatory threshold.]</w:t>
      </w:r>
    </w:p>
    <w:p>
      <w:pPr>
        <w:pStyle w:val="ListParagraph"/>
        <w:numPr>
          <w:ilvl w:val="0"/>
          <w:numId w:val="2"/>
        </w:numPr>
        <w:spacing w:after="60" w:before="0"/>
      </w:pPr>
      <w:r>
        <w:rPr>
          <w:rFonts w:ascii="Calibri" w:cs="Calibri" w:eastAsia="Calibri" w:hAnsi="Calibri"/>
          <w:b w:val="false"/>
          <w:bCs w:val="false"/>
          <w:i w:val="false"/>
          <w:iCs w:val="false"/>
          <w:color w:val="1E2D3D"/>
          <w:sz w:val="20"/>
          <w:szCs w:val="20"/>
        </w:rPr>
        <w:t xml:space="preserve">[30] Alam, S. et al. (2012). DFT and experimental Raman characterization of D-alanine and L-alanine: assignments for zwitterionic form. Spectrochimica Acta Part A, 96, 938–942. [DFT + experimental Raman of D- and L-alanine; assigns NH₃⁺ deformation at ~1500 cm⁻¹ and COO⁻ stretch at ~1560-1600 cm⁻¹.]</w:t>
      </w:r>
    </w:p>
    <w:p>
      <w:r>
        <w:br w:type="page"/>
      </w:r>
    </w:p>
    <w:p>
      <w:pPr>
        <w:pStyle w:val="Heading1"/>
        <w:spacing w:after="120" w:before="320"/>
      </w:pPr>
      <w:r>
        <w:rPr>
          <w:rFonts w:ascii="Cambria" w:cs="Cambria" w:eastAsia="Cambria" w:hAnsi="Cambria"/>
          <w:b/>
          <w:bCs/>
          <w:color w:val="0D2B55"/>
          <w:sz w:val="32"/>
          <w:szCs w:val="32"/>
        </w:rPr>
        <w:t xml:space="preserve">8. Quick Reference — Experimental Peak Matching Checklist</w:t>
      </w:r>
    </w:p>
    <w:p>
      <w:pPr>
        <w:spacing w:after="80" w:before="0" w:line="300"/>
        <w:jc w:val="left"/>
      </w:pPr>
      <w:r>
        <w:rPr>
          <w:rFonts w:ascii="Calibri" w:cs="Calibri" w:eastAsia="Calibri" w:hAnsi="Calibri"/>
          <w:b w:val="false"/>
          <w:bCs w:val="false"/>
          <w:i w:val="false"/>
          <w:iCs w:val="false"/>
          <w:color w:val="1E2D3D"/>
          <w:sz w:val="22"/>
          <w:szCs w:val="22"/>
        </w:rPr>
        <w:t xml:space="preserve">Use this checklist when analyzing your experimental Raman or SERS spectrum. For each biomarker, check whether the primary diagnostic peaks are present within the stated tolerance.</w:t>
      </w:r>
    </w:p>
    <w:p>
      <w:pPr>
        <w:pStyle w:val="Heading2"/>
        <w:spacing w:after="80" w:before="240"/>
      </w:pPr>
      <w:r>
        <w:rPr>
          <w:rFonts w:ascii="Cambria" w:cs="Cambria" w:eastAsia="Cambria" w:hAnsi="Cambria"/>
          <w:b/>
          <w:bCs/>
          <w:color w:val="0E7C8B"/>
          <w:sz w:val="26"/>
          <w:szCs w:val="26"/>
        </w:rPr>
        <w:t xml:space="preserve">8.1 NAM / Peptidoglycan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CE8" w:sz="1"/>
              <w:left w:val="single" w:color="0E7C8B" w:sz="16"/>
              <w:bottom w:val="single" w:color="C8DCE8" w:sz="1"/>
              <w:right w:val="single" w:color="C8DCE8" w:sz="1"/>
            </w:tcBorders>
            <w:shd w:fill="EAF4F7" w:val="clear"/>
            <w:tcMar>
              <w:top w:type="dxa" w:w="80"/>
              <w:left w:type="dxa" w:w="140"/>
              <w:bottom w:type="dxa" w:w="80"/>
              <w:right w:type="dxa" w:w="140"/>
            </w:tcMar>
          </w:tcPr>
          <w:p>
            <w:pPr>
              <w:spacing w:after="60" w:before="0"/>
            </w:pPr>
            <w:r>
              <w:rPr>
                <w:rFonts w:ascii="Calibri" w:cs="Calibri" w:eastAsia="Calibri" w:hAnsi="Calibri"/>
                <w:color w:val="1E2D3D"/>
                <w:sz w:val="20"/>
                <w:szCs w:val="20"/>
              </w:rPr>
              <w:t xml:space="preserve">☐  1701–1712 cm⁻¹ — C=O stretch (carboxyl/lactyl group)          Tolerance: ±10 cm⁻¹</w:t>
            </w:r>
          </w:p>
          <w:p>
            <w:pPr>
              <w:spacing w:after="60" w:before="0"/>
            </w:pPr>
            <w:r>
              <w:rPr>
                <w:rFonts w:ascii="Calibri" w:cs="Calibri" w:eastAsia="Calibri" w:hAnsi="Calibri"/>
                <w:color w:val="1E2D3D"/>
                <w:sz w:val="20"/>
                <w:szCs w:val="20"/>
              </w:rPr>
              <w:t xml:space="preserve">☑  1545–1558 cm⁻¹ — Amide II ★ PRIMARY MARKER                     Tolerance: ±10 cm⁻¹</w:t>
            </w:r>
          </w:p>
          <w:p>
            <w:pPr>
              <w:spacing w:after="60" w:before="0"/>
            </w:pPr>
            <w:r>
              <w:rPr>
                <w:rFonts w:ascii="Calibri" w:cs="Calibri" w:eastAsia="Calibri" w:hAnsi="Calibri"/>
                <w:color w:val="1E2D3D"/>
                <w:sz w:val="20"/>
                <w:szCs w:val="20"/>
              </w:rPr>
              <w:t xml:space="preserve">☐  1316–1325 cm⁻¹ — Amide III (confirms N-acetyl amide)           Tolerance: ±12 cm⁻¹</w:t>
            </w:r>
          </w:p>
          <w:p>
            <w:pPr>
              <w:spacing w:after="60" w:before="0"/>
            </w:pPr>
            <w:r>
              <w:rPr>
                <w:rFonts w:ascii="Calibri" w:cs="Calibri" w:eastAsia="Calibri" w:hAnsi="Calibri"/>
                <w:color w:val="1E2D3D"/>
                <w:sz w:val="20"/>
                <w:szCs w:val="20"/>
              </w:rPr>
              <w:t xml:space="preserve">☐  1450–1462 cm⁻¹ — CH₂ bending (N-acetyl methylene)              Tolerance: ±10 cm⁻¹</w:t>
            </w:r>
          </w:p>
          <w:p>
            <w:pPr>
              <w:spacing w:after="60" w:before="0"/>
            </w:pPr>
            <w:r>
              <w:rPr>
                <w:rFonts w:ascii="Calibri" w:cs="Calibri" w:eastAsia="Calibri" w:hAnsi="Calibri"/>
                <w:color w:val="1E2D3D"/>
                <w:sz w:val="20"/>
                <w:szCs w:val="20"/>
              </w:rPr>
              <w:t xml:space="preserve">☑  950–965 cm⁻¹  — Pyranose ring breathing                        Tolerance: ±10 cm⁻¹</w:t>
            </w:r>
          </w:p>
          <w:p>
            <w:pPr>
              <w:spacing w:after="60" w:before="0"/>
            </w:pPr>
            <w:r>
              <w:rPr>
                <w:rFonts w:ascii="Calibri" w:cs="Calibri" w:eastAsia="Calibri" w:hAnsi="Calibri"/>
                <w:color w:val="1E2D3D"/>
                <w:sz w:val="20"/>
                <w:szCs w:val="20"/>
              </w:rPr>
              <w:t xml:space="preserve">☑  868–876 cm⁻¹  — Glycosidic C-O-C stretch ★ PRIMARY MARKER      Tolerance: ±8 cm⁻¹</w:t>
            </w:r>
          </w:p>
          <w:p>
            <w:pPr>
              <w:spacing w:after="60" w:before="0"/>
            </w:pPr>
            <w:r>
              <w:rPr>
                <w:rFonts w:ascii="Calibri" w:cs="Calibri" w:eastAsia="Calibri" w:hAnsi="Calibri"/>
                <w:color w:val="1E2D3D"/>
                <w:sz w:val="20"/>
                <w:szCs w:val="20"/>
              </w:rPr>
              <w:t xml:space="preserve"/>
            </w:r>
          </w:p>
          <w:p>
            <w:pPr>
              <w:spacing w:after="60" w:before="0"/>
            </w:pPr>
            <w:r>
              <w:rPr>
                <w:rFonts w:ascii="Calibri" w:cs="Calibri" w:eastAsia="Calibri" w:hAnsi="Calibri"/>
                <w:color w:val="1E2D3D"/>
                <w:sz w:val="20"/>
                <w:szCs w:val="20"/>
              </w:rPr>
              <w:t xml:space="preserve">CONFIRMED DETECTION if: Amide II (1546) AND Glycosidic C-O-C (872) BOTH present within tolerance.</w:t>
            </w:r>
          </w:p>
          <w:p>
            <w:pPr>
              <w:spacing w:after="60" w:before="0"/>
            </w:pPr>
            <w:r>
              <w:rPr>
                <w:rFonts w:ascii="Calibri" w:cs="Calibri" w:eastAsia="Calibri" w:hAnsi="Calibri"/>
                <w:color w:val="1E2D3D"/>
                <w:sz w:val="20"/>
                <w:szCs w:val="20"/>
              </w:rPr>
              <w:t xml:space="preserve">CONFIDENCE LEVEL: HIGH if 4+ peaks match; MEDIUM if 2-3 peaks match; LOW if only 1 peak matches.</w:t>
            </w:r>
          </w:p>
        </w:tc>
      </w:tr>
    </w:tbl>
    <w:p>
      <w:pPr>
        <w:spacing w:after="60" w:before="120"/>
      </w:pPr>
    </w:p>
    <w:p>
      <w:pPr>
        <w:pStyle w:val="Heading2"/>
        <w:spacing w:after="80" w:before="240"/>
      </w:pPr>
      <w:r>
        <w:rPr>
          <w:rFonts w:ascii="Cambria" w:cs="Cambria" w:eastAsia="Cambria" w:hAnsi="Cambria"/>
          <w:b/>
          <w:bCs/>
          <w:color w:val="0E7C8B"/>
          <w:sz w:val="26"/>
          <w:szCs w:val="26"/>
        </w:rPr>
        <w:t xml:space="preserve">8.2 LPS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CE8" w:sz="1"/>
              <w:left w:val="single" w:color="0E7C8B" w:sz="16"/>
              <w:bottom w:val="single" w:color="C8DCE8" w:sz="1"/>
              <w:right w:val="single" w:color="C8DCE8" w:sz="1"/>
            </w:tcBorders>
            <w:shd w:fill="FFF8EE" w:val="clear"/>
            <w:tcMar>
              <w:top w:type="dxa" w:w="80"/>
              <w:left w:type="dxa" w:w="140"/>
              <w:bottom w:type="dxa" w:w="80"/>
              <w:right w:type="dxa" w:w="140"/>
            </w:tcMar>
          </w:tcPr>
          <w:p>
            <w:pPr>
              <w:spacing w:after="60" w:before="0"/>
            </w:pPr>
            <w:r>
              <w:rPr>
                <w:rFonts w:ascii="Calibri" w:cs="Calibri" w:eastAsia="Calibri" w:hAnsi="Calibri"/>
                <w:color w:val="1E2D3D"/>
                <w:sz w:val="20"/>
                <w:szCs w:val="20"/>
              </w:rPr>
              <w:t xml:space="preserve">☑  2920–2935 cm⁻¹ — CH₂ asymm. stretch (Lipid A) ★ PRIMARY       Tolerance: ±12 cm⁻¹</w:t>
            </w:r>
          </w:p>
          <w:p>
            <w:pPr>
              <w:spacing w:after="60" w:before="0"/>
            </w:pPr>
            <w:r>
              <w:rPr>
                <w:rFonts w:ascii="Calibri" w:cs="Calibri" w:eastAsia="Calibri" w:hAnsi="Calibri"/>
                <w:color w:val="1E2D3D"/>
                <w:sz w:val="20"/>
                <w:szCs w:val="20"/>
              </w:rPr>
              <w:t xml:space="preserve">☑  2848–2856 cm⁻¹ — CH₂ symm. stretch (Lipid A) ★ PRIMARY         Tolerance: ±10 cm⁻¹</w:t>
            </w:r>
          </w:p>
          <w:p>
            <w:pPr>
              <w:spacing w:after="60" w:before="0"/>
            </w:pPr>
            <w:r>
              <w:rPr>
                <w:rFonts w:ascii="Calibri" w:cs="Calibri" w:eastAsia="Calibri" w:hAnsi="Calibri"/>
                <w:color w:val="1E2D3D"/>
                <w:sz w:val="20"/>
                <w:szCs w:val="20"/>
              </w:rPr>
              <w:t xml:space="preserve">☐  1735–1742 cm⁻¹ — C=O ester (O-linked acyl chain)                Tolerance: ±12 cm⁻¹</w:t>
            </w:r>
          </w:p>
          <w:p>
            <w:pPr>
              <w:spacing w:after="60" w:before="0"/>
            </w:pPr>
            <w:r>
              <w:rPr>
                <w:rFonts w:ascii="Calibri" w:cs="Calibri" w:eastAsia="Calibri" w:hAnsi="Calibri"/>
                <w:color w:val="1E2D3D"/>
                <w:sz w:val="20"/>
                <w:szCs w:val="20"/>
              </w:rPr>
              <w:t xml:space="preserve">☑  1220–1240 cm⁻¹ — P=O asymm. stretch ★ PRIMARY                    Tolerance: ±15 cm⁻¹</w:t>
            </w:r>
          </w:p>
          <w:p>
            <w:pPr>
              <w:spacing w:after="60" w:before="0"/>
            </w:pPr>
            <w:r>
              <w:rPr>
                <w:rFonts w:ascii="Calibri" w:cs="Calibri" w:eastAsia="Calibri" w:hAnsi="Calibri"/>
                <w:color w:val="1E2D3D"/>
                <w:sz w:val="20"/>
                <w:szCs w:val="20"/>
              </w:rPr>
              <w:t xml:space="preserve">☐  1460–1468 cm⁻¹ — CH₂ scissors (acyl chain deformation)          Tolerance: ±10 cm⁻¹</w:t>
            </w:r>
          </w:p>
          <w:p>
            <w:pPr>
              <w:spacing w:after="60" w:before="0"/>
            </w:pPr>
            <w:r>
              <w:rPr>
                <w:rFonts w:ascii="Calibri" w:cs="Calibri" w:eastAsia="Calibri" w:hAnsi="Calibri"/>
                <w:color w:val="1E2D3D"/>
                <w:sz w:val="20"/>
                <w:szCs w:val="20"/>
              </w:rPr>
              <w:t xml:space="preserve">☐  1058–1075 cm⁻¹ — P-O-C / C-O stretch (phosphodiester)           Tolerance: ±15 cm⁻¹</w:t>
            </w:r>
          </w:p>
          <w:p>
            <w:pPr>
              <w:spacing w:after="60" w:before="0"/>
            </w:pPr>
            <w:r>
              <w:rPr>
                <w:rFonts w:ascii="Calibri" w:cs="Calibri" w:eastAsia="Calibri" w:hAnsi="Calibri"/>
                <w:color w:val="1E2D3D"/>
                <w:sz w:val="20"/>
                <w:szCs w:val="20"/>
              </w:rPr>
              <w:t xml:space="preserve"/>
            </w:r>
          </w:p>
          <w:p>
            <w:pPr>
              <w:spacing w:after="60" w:before="0"/>
            </w:pPr>
            <w:r>
              <w:rPr>
                <w:rFonts w:ascii="Calibri" w:cs="Calibri" w:eastAsia="Calibri" w:hAnsi="Calibri"/>
                <w:color w:val="1E2D3D"/>
                <w:sz w:val="20"/>
                <w:szCs w:val="20"/>
              </w:rPr>
              <w:t xml:space="preserve">CONFIRMED LPS DETECTION if: CH₂ doublet (2853+2924) AND P=O stretch (1220-1240) BOTH present.</w:t>
            </w:r>
          </w:p>
          <w:p>
            <w:pPr>
              <w:spacing w:after="60" w:before="0"/>
            </w:pPr>
            <w:r>
              <w:rPr>
                <w:rFonts w:ascii="Calibri" w:cs="Calibri" w:eastAsia="Calibri" w:hAnsi="Calibri"/>
                <w:color w:val="1E2D3D"/>
                <w:sz w:val="20"/>
                <w:szCs w:val="20"/>
              </w:rPr>
              <w:t xml:space="preserve">GRAM-NEGATIVE CLASSIFICATION: LPS peaks + NAM peaks both present.</w:t>
            </w:r>
          </w:p>
        </w:tc>
      </w:tr>
    </w:tbl>
    <w:p>
      <w:pPr>
        <w:spacing w:after="60" w:before="120"/>
      </w:pPr>
    </w:p>
    <w:p>
      <w:pPr>
        <w:pStyle w:val="Heading2"/>
        <w:spacing w:after="80" w:before="240"/>
      </w:pPr>
      <w:r>
        <w:rPr>
          <w:rFonts w:ascii="Cambria" w:cs="Cambria" w:eastAsia="Cambria" w:hAnsi="Cambria"/>
          <w:b/>
          <w:bCs/>
          <w:color w:val="0E7C8B"/>
          <w:sz w:val="26"/>
          <w:szCs w:val="26"/>
        </w:rPr>
        <w:t xml:space="preserve">8.3 LTA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CE8" w:sz="1"/>
              <w:left w:val="single" w:color="0E7C8B" w:sz="16"/>
              <w:bottom w:val="single" w:color="C8DCE8" w:sz="1"/>
              <w:right w:val="single" w:color="C8DCE8" w:sz="1"/>
            </w:tcBorders>
            <w:shd w:fill="EEF8F4" w:val="clear"/>
            <w:tcMar>
              <w:top w:type="dxa" w:w="80"/>
              <w:left w:type="dxa" w:w="140"/>
              <w:bottom w:type="dxa" w:w="80"/>
              <w:right w:type="dxa" w:w="140"/>
            </w:tcMar>
          </w:tcPr>
          <w:p>
            <w:pPr>
              <w:spacing w:after="60" w:before="0"/>
            </w:pPr>
            <w:r>
              <w:rPr>
                <w:rFonts w:ascii="Calibri" w:cs="Calibri" w:eastAsia="Calibri" w:hAnsi="Calibri"/>
                <w:color w:val="1E2D3D"/>
                <w:sz w:val="20"/>
                <w:szCs w:val="20"/>
              </w:rPr>
              <w:t xml:space="preserve">☑  481–492 cm⁻¹  — O-P-O bending ★ PRIMARY MARKER                 Tolerance: ±15 cm⁻¹</w:t>
            </w:r>
          </w:p>
          <w:p>
            <w:pPr>
              <w:spacing w:after="60" w:before="0"/>
            </w:pPr>
            <w:r>
              <w:rPr>
                <w:rFonts w:ascii="Calibri" w:cs="Calibri" w:eastAsia="Calibri" w:hAnsi="Calibri"/>
                <w:color w:val="1E2D3D"/>
                <w:sz w:val="20"/>
                <w:szCs w:val="20"/>
              </w:rPr>
              <w:t xml:space="preserve">☑  815–840 cm⁻¹  — P-O symm. stretch (strongest exp. LTA band)     Tolerance: ±20 cm⁻¹</w:t>
            </w:r>
          </w:p>
          <w:p>
            <w:pPr>
              <w:spacing w:after="60" w:before="0"/>
            </w:pPr>
            <w:r>
              <w:rPr>
                <w:rFonts w:ascii="Calibri" w:cs="Calibri" w:eastAsia="Calibri" w:hAnsi="Calibri"/>
                <w:color w:val="1E2D3D"/>
                <w:sz w:val="20"/>
                <w:szCs w:val="20"/>
              </w:rPr>
              <w:t xml:space="preserve">☑  920–935 cm⁻¹  — P-O-C stretch ★ PRIMARY MARKER                   Tolerance: ±15 cm⁻¹</w:t>
            </w:r>
          </w:p>
          <w:p>
            <w:pPr>
              <w:spacing w:after="60" w:before="0"/>
            </w:pPr>
            <w:r>
              <w:rPr>
                <w:rFonts w:ascii="Calibri" w:cs="Calibri" w:eastAsia="Calibri" w:hAnsi="Calibri"/>
                <w:color w:val="1E2D3D"/>
                <w:sz w:val="20"/>
                <w:szCs w:val="20"/>
              </w:rPr>
              <w:t xml:space="preserve">☐  980–1020 cm⁻¹ — C-O-C stretch (glycerol backbone)               Tolerance: ±15 cm⁻¹</w:t>
            </w:r>
          </w:p>
          <w:p>
            <w:pPr>
              <w:spacing w:after="60" w:before="0"/>
            </w:pPr>
            <w:r>
              <w:rPr>
                <w:rFonts w:ascii="Calibri" w:cs="Calibri" w:eastAsia="Calibri" w:hAnsi="Calibri"/>
                <w:color w:val="1E2D3D"/>
                <w:sz w:val="20"/>
                <w:szCs w:val="20"/>
              </w:rPr>
              <w:t xml:space="preserve">☐  1250–1270 cm⁻¹ — Amide III / GlcNAc acetyl (often weak)          Tolerance: ±20 cm⁻¹</w:t>
            </w:r>
          </w:p>
          <w:p>
            <w:pPr>
              <w:spacing w:after="60" w:before="0"/>
            </w:pPr>
            <w:r>
              <w:rPr>
                <w:rFonts w:ascii="Calibri" w:cs="Calibri" w:eastAsia="Calibri" w:hAnsi="Calibri"/>
                <w:color w:val="1E2D3D"/>
                <w:sz w:val="20"/>
                <w:szCs w:val="20"/>
              </w:rPr>
              <w:t xml:space="preserve">☐  1400–1510 cm⁻¹ — CH₂ + NH₃⁺ region (D-Ala + glycerol)          Tolerance: ±20 cm⁻¹</w:t>
            </w:r>
          </w:p>
          <w:p>
            <w:pPr>
              <w:spacing w:after="60" w:before="0"/>
            </w:pPr>
            <w:r>
              <w:rPr>
                <w:rFonts w:ascii="Calibri" w:cs="Calibri" w:eastAsia="Calibri" w:hAnsi="Calibri"/>
                <w:color w:val="1E2D3D"/>
                <w:sz w:val="20"/>
                <w:szCs w:val="20"/>
              </w:rPr>
              <w:t xml:space="preserve"/>
            </w:r>
          </w:p>
          <w:p>
            <w:pPr>
              <w:spacing w:after="60" w:before="0"/>
            </w:pPr>
            <w:r>
              <w:rPr>
                <w:rFonts w:ascii="Calibri" w:cs="Calibri" w:eastAsia="Calibri" w:hAnsi="Calibri"/>
                <w:color w:val="1E2D3D"/>
                <w:sz w:val="20"/>
                <w:szCs w:val="20"/>
              </w:rPr>
              <w:t xml:space="preserve">CONFIRMED LTA DETECTION if: O-P-O bending (481-492) AND P-O-C stretch (920-935) BOTH present.</w:t>
            </w:r>
          </w:p>
          <w:p>
            <w:pPr>
              <w:spacing w:after="60" w:before="0"/>
            </w:pPr>
            <w:r>
              <w:rPr>
                <w:rFonts w:ascii="Calibri" w:cs="Calibri" w:eastAsia="Calibri" w:hAnsi="Calibri"/>
                <w:color w:val="1E2D3D"/>
                <w:sz w:val="20"/>
                <w:szCs w:val="20"/>
              </w:rPr>
              <w:t xml:space="preserve">GRAM-POSITIVE CLASSIFICATION: LTA peaks + NAM peaks both present.</w:t>
            </w:r>
          </w:p>
          <w:p>
            <w:pPr>
              <w:spacing w:after="60" w:before="0"/>
            </w:pPr>
            <w:r>
              <w:rPr>
                <w:rFonts w:ascii="Calibri" w:cs="Calibri" w:eastAsia="Calibri" w:hAnsi="Calibri"/>
                <w:color w:val="1E2D3D"/>
                <w:sz w:val="20"/>
                <w:szCs w:val="20"/>
              </w:rPr>
              <w:t xml:space="preserve">NOTE: Use region-based analysis for LTA. Broad peaks are expected for this heterogeneous polymer.</w:t>
            </w:r>
          </w:p>
        </w:tc>
      </w:tr>
    </w:tbl>
    <w:p>
      <w:pPr>
        <w:spacing w:after="60" w:before="120"/>
      </w:pPr>
    </w:p>
    <w:p>
      <w:pPr>
        <w:pStyle w:val="Heading2"/>
        <w:spacing w:after="80" w:before="240"/>
      </w:pPr>
      <w:r>
        <w:rPr>
          <w:rFonts w:ascii="Cambria" w:cs="Cambria" w:eastAsia="Cambria" w:hAnsi="Cambria"/>
          <w:b/>
          <w:bCs/>
          <w:color w:val="0E7C8B"/>
          <w:sz w:val="26"/>
          <w:szCs w:val="26"/>
        </w:rPr>
        <w:t xml:space="preserve">8.4 Spectral Overlap Warning Table</w:t>
      </w:r>
    </w:p>
    <w:p>
      <w:pPr>
        <w:spacing w:after="80" w:before="0" w:line="300"/>
        <w:jc w:val="left"/>
      </w:pPr>
      <w:r>
        <w:rPr>
          <w:rFonts w:ascii="Calibri" w:cs="Calibri" w:eastAsia="Calibri" w:hAnsi="Calibri"/>
          <w:b w:val="false"/>
          <w:bCs w:val="false"/>
          <w:i w:val="false"/>
          <w:iCs w:val="false"/>
          <w:color w:val="1E2D3D"/>
          <w:sz w:val="22"/>
          <w:szCs w:val="22"/>
        </w:rPr>
        <w:t xml:space="preserve">The following peaks may appear in more than one biomarker spectrum. Use the adjacent unique peaks to resolve ambiguity.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1700"/>
        <w:gridCol w:w="2760"/>
      </w:tblGrid>
      <w:tr>
        <w:trPr>
          <w:tblHeader/>
        </w:trPr>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Region (cm⁻¹)</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In NAM?</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In LPS?</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In LTA?</w:t>
            </w:r>
          </w:p>
        </w:tc>
        <w:tc>
          <w:tcPr>
            <w:gridSpan w:val="1"/>
            <w:tcBorders>
              <w:top w:val="single" w:color="C8DCE8" w:sz="1"/>
              <w:left w:val="single" w:color="C8DCE8" w:sz="1"/>
              <w:bottom w:val="single" w:color="C8DCE8" w:sz="1"/>
              <w:right w:val="single" w:color="C8DCE8" w:sz="1"/>
            </w:tcBorders>
            <w:shd w:fill="0D2B55"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How to Resolve Overlap</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~1540–1558 (Amide II)</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D2B55"/>
                <w:sz w:val="20"/>
                <w:szCs w:val="20"/>
              </w:rPr>
              <w:t xml:space="preserve">YES ★ (primary)</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YES (amide-linked acyl)</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YES (GlcNAc/D-Ala)</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Check: if also 872 cm⁻¹ = NAM confirmed. If also 2924 cm⁻¹ = LPS contribution. If also 920 cm⁻¹ = LTA contribution.</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~1030–1060 (C-O stretch)</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YES (ring C-O)</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YES (P-O-C)</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YES (glycerol C-O-C)</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Most ambiguous region. Cannot differentiate alone. Use phosphate and lipid unique regions to assign primary biomarker.</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~1450–1465 (CH₂ bending)</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YES (N-acetyl)</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1E2D3D"/>
                <w:sz w:val="20"/>
                <w:szCs w:val="20"/>
              </w:rPr>
              <w:t xml:space="preserve">YES (acyl chains)</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YES (D-Ala/glycerol)</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If 2924 cm⁻¹ strong = LPS primary source. Otherwise use unique bands to differentiate.</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~1220–1240 (P=O or C-N)</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C-N stretch (weak)</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YES P=O ★ (primary)</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D-Ala C-N (~1200)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Strong band here = LPS P=O. Weak band = D-Ala C-N from LTA. Resolve by checking 2924 cm⁻¹ (LPS) vs 920 cm⁻¹ (LTA).</w:t>
            </w:r>
          </w:p>
        </w:tc>
      </w:tr>
      <w:tr>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~860–880 (C-O-C or P-O)</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bCs/>
                <w:i w:val="false"/>
                <w:iCs w:val="false"/>
                <w:color w:val="0E7C8B"/>
                <w:sz w:val="20"/>
                <w:szCs w:val="20"/>
              </w:rPr>
              <w:t xml:space="preserve">YES glycosidic 872 ★</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YES glucosamine ring ~860-875</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P-O symm. stretch 815-840</w:t>
            </w:r>
          </w:p>
        </w:tc>
        <w:tc>
          <w:tcPr>
            <w:gridSpan w:val="1"/>
            <w:tcBorders>
              <w:top w:val="single" w:color="C8DCE8" w:sz="1"/>
              <w:left w:val="single" w:color="C8DCE8" w:sz="1"/>
              <w:bottom w:val="single" w:color="C8DCE8" w:sz="1"/>
              <w:right w:val="single" w:color="C8DCE8" w:sz="1"/>
            </w:tcBorders>
            <w:tcMar>
              <w:top w:type="dxa" w:w="80"/>
              <w:left w:type="dxa" w:w="140"/>
              <w:bottom w:type="dxa" w:w="80"/>
              <w:right w:type="dxa" w:w="140"/>
            </w:tcMar>
            <w:vAlign w:val="top"/>
          </w:tcPr>
          <w:p>
            <w:pPr>
              <w:spacing w:after="0" w:before="0"/>
              <w:jc w:val="left"/>
            </w:pPr>
            <w:r>
              <w:rPr>
                <w:rFonts w:ascii="Calibri" w:cs="Calibri" w:eastAsia="Calibri" w:hAnsi="Calibri"/>
                <w:b w:val="false"/>
                <w:bCs w:val="false"/>
                <w:i w:val="false"/>
                <w:iCs w:val="false"/>
                <w:color w:val="1E2D3D"/>
                <w:sz w:val="20"/>
                <w:szCs w:val="20"/>
              </w:rPr>
              <w:t xml:space="preserve">NAM at 872 cm⁻¹ exact confirmed by Amide II at 1546. LTA at 815-840 cm⁻¹ confirmed by 920 cm⁻¹ P-O-C.</w:t>
            </w:r>
          </w:p>
        </w:tc>
      </w:tr>
    </w:tbl>
    <w:p>
      <w:pPr>
        <w:spacing w:after="80" w:before="120"/>
      </w:pPr>
    </w:p>
    <w:p>
      <w:pPr>
        <w:pBdr>
          <w:bottom w:val="single" w:color="0E7C8B" w:sz="4" w:space="1"/>
        </w:pBdr>
        <w:spacing w:after="160" w:before="160"/>
      </w:pPr>
    </w:p>
    <w:p>
      <w:pPr>
        <w:spacing w:after="80" w:before="200"/>
        <w:jc w:val="center"/>
      </w:pPr>
      <w:r>
        <w:rPr>
          <w:rFonts w:ascii="Cambria" w:cs="Cambria" w:eastAsia="Cambria" w:hAnsi="Cambria"/>
          <w:b/>
          <w:bCs/>
          <w:color w:val="0E7C8B"/>
          <w:sz w:val="24"/>
          <w:szCs w:val="24"/>
        </w:rPr>
        <w:t xml:space="preserve">End of Report</w:t>
      </w:r>
    </w:p>
    <w:p>
      <w:pPr>
        <w:spacing w:after="60" w:before="0"/>
        <w:jc w:val="center"/>
      </w:pPr>
      <w:r>
        <w:rPr>
          <w:rFonts w:ascii="Calibri" w:cs="Calibri" w:eastAsia="Calibri" w:hAnsi="Calibri"/>
          <w:color w:val="607080"/>
          <w:sz w:val="20"/>
          <w:szCs w:val="20"/>
        </w:rPr>
        <w:t xml:space="preserve">Dr. Mohamed Zaki Hafeez (M24IM1002)  &amp;  Sukesh P (M24IM1007)</w:t>
      </w:r>
    </w:p>
    <w:p>
      <w:pPr>
        <w:spacing w:after="60" w:before="0"/>
        <w:jc w:val="center"/>
      </w:pPr>
      <w:r>
        <w:rPr>
          <w:rFonts w:ascii="Calibri" w:cs="Calibri" w:eastAsia="Calibri" w:hAnsi="Calibri"/>
          <w:color w:val="607080"/>
          <w:sz w:val="20"/>
          <w:szCs w:val="20"/>
        </w:rPr>
        <w:t xml:space="preserve">Masters in Medical Technologies  |  IIT Jodhpur &amp; AIIMS Jodhpur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8B" w:sz="4" w:space="4"/>
      </w:pBdr>
      <w:spacing w:after="0" w:before="0"/>
      <w:jc w:val="center"/>
    </w:pPr>
    <w:r>
      <w:rPr>
        <w:rFonts w:ascii="Calibri" w:cs="Calibri" w:eastAsia="Calibri" w:hAnsi="Calibri"/>
        <w:color w:val="607080"/>
        <w:sz w:val="18"/>
        <w:szCs w:val="18"/>
      </w:rPr>
      <w:t xml:space="preserve">Dr. Mohamed Zaki Hafeez (M24IM1002)  &amp;  Sukesh P (M24IM1007)  |  IIT Jodhpur &amp; AIIMS Jodhpur  |  Masters in Medical Technologies  |  Page </w:t>
    </w:r>
    <w:r>
      <w:rPr>
        <w:rFonts w:ascii="Calibri" w:cs="Calibri" w:eastAsia="Calibri" w:hAnsi="Calibri"/>
        <w:color w:val="0D2B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8B" w:sz="4" w:space="4"/>
      </w:pBdr>
      <w:spacing w:after="0" w:before="0"/>
      <w:jc w:val="right"/>
    </w:pPr>
    <w:r>
      <w:rPr>
        <w:rFonts w:ascii="Calibri" w:cs="Calibri" w:eastAsia="Calibri" w:hAnsi="Calibri"/>
        <w:color w:val="607080"/>
        <w:sz w:val="18"/>
        <w:szCs w:val="18"/>
      </w:rPr>
      <w:t xml:space="preserve">Literature Raman/SERS Peak Reference Report  |  NAM, LPS &amp; LTA Bacterial Biomarkers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mbria" w:cs="Cambria" w:eastAsia="Cambria" w:hAnsi="Cambria"/>
      <w:b/>
      <w:bCs/>
      <w:color w:val="0D2B55"/>
      <w:sz w:val="32"/>
      <w:szCs w:val="32"/>
    </w:rPr>
  </w:style>
  <w:style w:type="paragraph" w:styleId="Heading2">
    <w:name w:val="Heading 2"/>
    <w:basedOn w:val="Normal"/>
    <w:next w:val="Normal"/>
    <w:qFormat/>
    <w:pPr>
      <w:spacing w:after="80" w:before="240"/>
      <w:outlineLvl w:val="1"/>
    </w:pPr>
    <w:rPr>
      <w:rFonts w:ascii="Cambria" w:cs="Cambria" w:eastAsia="Cambria" w:hAnsi="Cambria"/>
      <w:b/>
      <w:bCs/>
      <w:color w:val="0E7C8B"/>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0D2B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Published Raman/SERS Peaks for NAM, LPS &amp; LTA Bacterial Biomarkers</dc:title>
  <dc:creator>Dr. Mohamed Zaki Hafeez &amp; Sukesh P</dc:creator>
  <dc:description>Comprehensive reference compilation for peak matching in SERS-based sepsis biosensor research</dc:description>
  <cp:lastModifiedBy>Un-named</cp:lastModifiedBy>
  <cp:revision>1</cp:revision>
  <dcterms:created xsi:type="dcterms:W3CDTF">2026-04-15T19:10:15.333Z</dcterms:created>
  <dcterms:modified xsi:type="dcterms:W3CDTF">2026-04-15T19:10:15.334Z</dcterms:modified>
</cp:coreProperties>
</file>

<file path=docProps/custom.xml><?xml version="1.0" encoding="utf-8"?>
<Properties xmlns="http://schemas.openxmlformats.org/officeDocument/2006/custom-properties" xmlns:vt="http://schemas.openxmlformats.org/officeDocument/2006/docPropsVTypes"/>
</file>