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5BE1D" w14:textId="77777777" w:rsidR="005041AC" w:rsidRPr="005041AC" w:rsidRDefault="005041AC" w:rsidP="005041AC">
      <w:pPr>
        <w:rPr>
          <w:b/>
          <w:bCs/>
        </w:rPr>
      </w:pPr>
      <w:r w:rsidRPr="005041AC">
        <w:rPr>
          <w:b/>
          <w:bCs/>
        </w:rPr>
        <w:t xml:space="preserve">DFT Analysis of the Raman Spectrum of a Glycerol–Phosphate Fragment </w:t>
      </w:r>
      <w:proofErr w:type="spellStart"/>
      <w:r w:rsidRPr="005041AC">
        <w:rPr>
          <w:b/>
          <w:bCs/>
        </w:rPr>
        <w:t>Modeling</w:t>
      </w:r>
      <w:proofErr w:type="spellEnd"/>
      <w:r w:rsidRPr="005041AC">
        <w:rPr>
          <w:b/>
          <w:bCs/>
        </w:rPr>
        <w:t xml:space="preserve"> the Lipoteichoic Acid Backbone</w:t>
      </w:r>
    </w:p>
    <w:p w14:paraId="13EB1E87" w14:textId="77777777" w:rsidR="005041AC" w:rsidRPr="005041AC" w:rsidRDefault="005041AC" w:rsidP="005041AC">
      <w:r w:rsidRPr="005041AC">
        <w:pict w14:anchorId="10BCBE37">
          <v:rect id="_x0000_i1103" style="width:0;height:1.5pt" o:hralign="center" o:hrstd="t" o:hr="t" fillcolor="#a0a0a0" stroked="f"/>
        </w:pict>
      </w:r>
    </w:p>
    <w:p w14:paraId="3DFED92A" w14:textId="77777777" w:rsidR="005041AC" w:rsidRPr="005041AC" w:rsidRDefault="005041AC" w:rsidP="005041AC">
      <w:pPr>
        <w:rPr>
          <w:b/>
          <w:bCs/>
        </w:rPr>
      </w:pPr>
      <w:r w:rsidRPr="005041AC">
        <w:rPr>
          <w:b/>
          <w:bCs/>
        </w:rPr>
        <w:t>1. Introduction</w:t>
      </w:r>
    </w:p>
    <w:p w14:paraId="74DDFBF8" w14:textId="77777777" w:rsidR="005041AC" w:rsidRPr="005041AC" w:rsidRDefault="005041AC" w:rsidP="005041AC">
      <w:r w:rsidRPr="005041AC">
        <w:t>Lipoteichoic acid (LTA) is a major structural component of the cell wall of Gram-positive bacteria. It is anchored to the cytoplasmic membrane through a glycolipid and extends outward as a polymer of repeating glycerol–phosphate units.</w:t>
      </w:r>
    </w:p>
    <w:p w14:paraId="03183F86" w14:textId="77777777" w:rsidR="005041AC" w:rsidRPr="005041AC" w:rsidRDefault="005041AC" w:rsidP="005041AC">
      <w:r w:rsidRPr="005041AC">
        <w:t xml:space="preserve">LTA contributes to bacterial adhesion, cell wall maintenance, and activation of the host immune system, and it is implicated in inflammatory responses. LTA interacts with host immune receptors such as Toll-like receptor 2 (TLR2), triggering </w:t>
      </w:r>
      <w:proofErr w:type="spellStart"/>
      <w:r w:rsidRPr="005041AC">
        <w:t>signaling</w:t>
      </w:r>
      <w:proofErr w:type="spellEnd"/>
      <w:r w:rsidRPr="005041AC">
        <w:t xml:space="preserve"> pathways that lead to the production of inflammatory cytokines.</w:t>
      </w:r>
    </w:p>
    <w:p w14:paraId="5449B6D8" w14:textId="77777777" w:rsidR="005041AC" w:rsidRPr="005041AC" w:rsidRDefault="005041AC" w:rsidP="005041AC">
      <w:r w:rsidRPr="005041AC">
        <w:t>Because of its biological significance, LTA has been studied using a range of analytical techniques, including Raman spectroscopy.</w:t>
      </w:r>
    </w:p>
    <w:p w14:paraId="2AF85B08" w14:textId="77777777" w:rsidR="005041AC" w:rsidRPr="005041AC" w:rsidRDefault="005041AC" w:rsidP="005041AC">
      <w:r w:rsidRPr="005041AC">
        <w:t>Raman spectroscopy is a vibrational technique that provides molecular fingerprints based on characteristic vibrational modes. It is increasingly used as a label-free method for identifying bacterial components and detecting pathogens. However, interpretation of experimental Raman spectra is often challenging because of overlapping bands and complex vibrational couplings.</w:t>
      </w:r>
    </w:p>
    <w:p w14:paraId="14C9153B" w14:textId="77777777" w:rsidR="005041AC" w:rsidRPr="005041AC" w:rsidRDefault="005041AC" w:rsidP="005041AC">
      <w:r w:rsidRPr="005041AC">
        <w:t>Computational methods such as Density Functional Theory (DFT) can simulate vibrational frequencies and Raman activities, helping to assign experimental bands to specific molecular vibrations.</w:t>
      </w:r>
    </w:p>
    <w:p w14:paraId="01402B50" w14:textId="77777777" w:rsidR="005041AC" w:rsidRPr="005041AC" w:rsidRDefault="005041AC" w:rsidP="005041AC">
      <w:r w:rsidRPr="005041AC">
        <w:t xml:space="preserve">In this work, a representative glycerol–phosphate fragment </w:t>
      </w:r>
      <w:proofErr w:type="spellStart"/>
      <w:r w:rsidRPr="005041AC">
        <w:t>modeling</w:t>
      </w:r>
      <w:proofErr w:type="spellEnd"/>
      <w:r w:rsidRPr="005041AC">
        <w:t xml:space="preserve"> the LTA backbone was studied using DFT calculations to obtain a theoretical Raman spectrum and </w:t>
      </w:r>
      <w:proofErr w:type="spellStart"/>
      <w:r w:rsidRPr="005041AC">
        <w:t>analyze</w:t>
      </w:r>
      <w:proofErr w:type="spellEnd"/>
      <w:r w:rsidRPr="005041AC">
        <w:t xml:space="preserve"> the vibrational modes associated with characteristic phosphate and glycerol bands.</w:t>
      </w:r>
    </w:p>
    <w:p w14:paraId="15CA5C5B" w14:textId="77777777" w:rsidR="005041AC" w:rsidRPr="005041AC" w:rsidRDefault="005041AC" w:rsidP="005041AC">
      <w:r w:rsidRPr="005041AC">
        <w:pict w14:anchorId="33DA0492">
          <v:rect id="_x0000_i1104" style="width:0;height:1.5pt" o:hralign="center" o:hrstd="t" o:hr="t" fillcolor="#a0a0a0" stroked="f"/>
        </w:pict>
      </w:r>
    </w:p>
    <w:p w14:paraId="0F45BCB2" w14:textId="77777777" w:rsidR="005041AC" w:rsidRPr="005041AC" w:rsidRDefault="005041AC" w:rsidP="005041AC">
      <w:pPr>
        <w:rPr>
          <w:b/>
          <w:bCs/>
        </w:rPr>
      </w:pPr>
      <w:r w:rsidRPr="005041AC">
        <w:rPr>
          <w:b/>
          <w:bCs/>
        </w:rPr>
        <w:t>2. Structure of Lipoteichoic Acid</w:t>
      </w:r>
    </w:p>
    <w:p w14:paraId="0164A909" w14:textId="77777777" w:rsidR="005041AC" w:rsidRPr="005041AC" w:rsidRDefault="005041AC" w:rsidP="005041AC">
      <w:r w:rsidRPr="005041AC">
        <w:t>Lipoteichoic acid is composed of three main structural components:</w:t>
      </w:r>
    </w:p>
    <w:p w14:paraId="0DB5681F" w14:textId="77777777" w:rsidR="005041AC" w:rsidRPr="005041AC" w:rsidRDefault="005041AC" w:rsidP="005041AC">
      <w:r w:rsidRPr="005041AC">
        <w:t>• A glycolipid membrane anchor</w:t>
      </w:r>
      <w:r w:rsidRPr="005041AC">
        <w:br/>
        <w:t>• A poly(glycerol–phosphate) backbone</w:t>
      </w:r>
      <w:r w:rsidRPr="005041AC">
        <w:br/>
        <w:t>• Substituent groups such as D-alanine residues or sugars</w:t>
      </w:r>
    </w:p>
    <w:p w14:paraId="03681EAF" w14:textId="77777777" w:rsidR="005041AC" w:rsidRPr="005041AC" w:rsidRDefault="005041AC" w:rsidP="005041AC">
      <w:r w:rsidRPr="005041AC">
        <w:t>The general structure of LTA can be represented as:</w:t>
      </w:r>
    </w:p>
    <w:p w14:paraId="4C6DC364" w14:textId="77777777" w:rsidR="005041AC" w:rsidRPr="005041AC" w:rsidRDefault="005041AC" w:rsidP="005041AC">
      <w:r w:rsidRPr="005041AC">
        <w:rPr>
          <w:b/>
          <w:bCs/>
        </w:rPr>
        <w:t>Lipid anchor – (Gro–P)ₙ</w:t>
      </w:r>
    </w:p>
    <w:p w14:paraId="29EDA66D" w14:textId="77777777" w:rsidR="005041AC" w:rsidRPr="005041AC" w:rsidRDefault="005041AC" w:rsidP="005041AC">
      <w:r w:rsidRPr="005041AC">
        <w:t>where:</w:t>
      </w:r>
    </w:p>
    <w:p w14:paraId="1D1667EF" w14:textId="77777777" w:rsidR="005041AC" w:rsidRPr="005041AC" w:rsidRDefault="005041AC" w:rsidP="005041AC">
      <w:r w:rsidRPr="005041AC">
        <w:t>Gro = glycerol</w:t>
      </w:r>
      <w:r w:rsidRPr="005041AC">
        <w:br/>
        <w:t>P = phosphate</w:t>
      </w:r>
    </w:p>
    <w:p w14:paraId="7F9E0879" w14:textId="77777777" w:rsidR="005041AC" w:rsidRPr="005041AC" w:rsidRDefault="005041AC" w:rsidP="005041AC">
      <w:r w:rsidRPr="005041AC">
        <w:t>The backbone consists of alternating glycerol and phosphate groups:</w:t>
      </w:r>
    </w:p>
    <w:p w14:paraId="6CB80330" w14:textId="77777777" w:rsidR="005041AC" w:rsidRPr="005041AC" w:rsidRDefault="005041AC" w:rsidP="005041AC">
      <w:r w:rsidRPr="005041AC">
        <w:rPr>
          <w:b/>
          <w:bCs/>
        </w:rPr>
        <w:t>glycerol – phosphate – glycerol – phosphate</w:t>
      </w:r>
    </w:p>
    <w:p w14:paraId="6A5F44BE" w14:textId="77777777" w:rsidR="005041AC" w:rsidRPr="005041AC" w:rsidRDefault="005041AC" w:rsidP="005041AC">
      <w:r w:rsidRPr="005041AC">
        <w:lastRenderedPageBreak/>
        <w:t xml:space="preserve">Typical LTA molecules contain approximately </w:t>
      </w:r>
      <w:r w:rsidRPr="005041AC">
        <w:rPr>
          <w:b/>
          <w:bCs/>
        </w:rPr>
        <w:t>10–20 repeating glycerol–phosphate units</w:t>
      </w:r>
      <w:r w:rsidRPr="005041AC">
        <w:t>, forming large polymers with hundreds of atoms.</w:t>
      </w:r>
    </w:p>
    <w:p w14:paraId="63DD140C" w14:textId="68A4B2B6" w:rsidR="005041AC" w:rsidRPr="005041AC" w:rsidRDefault="005041AC" w:rsidP="005041AC">
      <w:r w:rsidRPr="005041AC">
        <w:t>Because of this molecular size, quantum chemical simulations on the full polymer are computationally expensive. Therefore, computational studies often employ smaller molecular fragments that preserve the essential structural features responsible for the main spectroscopic signatures.</w:t>
      </w:r>
      <w:r>
        <w:br/>
      </w:r>
      <w:r>
        <w:br/>
      </w:r>
      <w:r>
        <w:rPr>
          <w:noProof/>
        </w:rPr>
        <w:drawing>
          <wp:inline distT="0" distB="0" distL="0" distR="0" wp14:anchorId="1168E10A" wp14:editId="2AC8C03E">
            <wp:extent cx="5731510" cy="2503170"/>
            <wp:effectExtent l="0" t="0" r="2540" b="0"/>
            <wp:docPr id="25865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54288" name="Picture 258654288"/>
                    <pic:cNvPicPr/>
                  </pic:nvPicPr>
                  <pic:blipFill>
                    <a:blip r:embed="rId5">
                      <a:extLst>
                        <a:ext uri="{28A0092B-C50C-407E-A947-70E740481C1C}">
                          <a14:useLocalDpi xmlns:a14="http://schemas.microsoft.com/office/drawing/2010/main" val="0"/>
                        </a:ext>
                      </a:extLst>
                    </a:blip>
                    <a:stretch>
                      <a:fillRect/>
                    </a:stretch>
                  </pic:blipFill>
                  <pic:spPr>
                    <a:xfrm>
                      <a:off x="0" y="0"/>
                      <a:ext cx="5731510" cy="2503170"/>
                    </a:xfrm>
                    <a:prstGeom prst="rect">
                      <a:avLst/>
                    </a:prstGeom>
                  </pic:spPr>
                </pic:pic>
              </a:graphicData>
            </a:graphic>
          </wp:inline>
        </w:drawing>
      </w:r>
    </w:p>
    <w:p w14:paraId="33570732" w14:textId="77777777" w:rsidR="005041AC" w:rsidRPr="005041AC" w:rsidRDefault="005041AC" w:rsidP="005041AC">
      <w:r w:rsidRPr="005041AC">
        <w:rPr>
          <w:b/>
          <w:bCs/>
        </w:rPr>
        <w:t>Figure 1.</w:t>
      </w:r>
      <w:r w:rsidRPr="005041AC">
        <w:t xml:space="preserve"> Schematic representation of lipoteichoic acid (LTA) showing the repeating glycerol–phosphate backbone and the glycolipid membrane anchor. Only the glycerol–phosphate region is </w:t>
      </w:r>
      <w:proofErr w:type="spellStart"/>
      <w:r w:rsidRPr="005041AC">
        <w:t>modeled</w:t>
      </w:r>
      <w:proofErr w:type="spellEnd"/>
      <w:r w:rsidRPr="005041AC">
        <w:t xml:space="preserve"> in the present work.</w:t>
      </w:r>
    </w:p>
    <w:p w14:paraId="2CBBE627" w14:textId="77777777" w:rsidR="005041AC" w:rsidRPr="005041AC" w:rsidRDefault="005041AC" w:rsidP="005041AC">
      <w:r w:rsidRPr="005041AC">
        <w:pict w14:anchorId="4DEE2A0B">
          <v:rect id="_x0000_i1105" style="width:0;height:1.5pt" o:hralign="center" o:hrstd="t" o:hr="t" fillcolor="#a0a0a0" stroked="f"/>
        </w:pict>
      </w:r>
    </w:p>
    <w:p w14:paraId="3F79299B" w14:textId="77777777" w:rsidR="005041AC" w:rsidRPr="005041AC" w:rsidRDefault="005041AC" w:rsidP="005041AC">
      <w:pPr>
        <w:rPr>
          <w:b/>
          <w:bCs/>
        </w:rPr>
      </w:pPr>
      <w:r w:rsidRPr="005041AC">
        <w:rPr>
          <w:b/>
          <w:bCs/>
        </w:rPr>
        <w:t>3. Selection of Molecular Fragment</w:t>
      </w:r>
    </w:p>
    <w:p w14:paraId="263DE512" w14:textId="77777777" w:rsidR="005041AC" w:rsidRPr="005041AC" w:rsidRDefault="005041AC" w:rsidP="005041AC">
      <w:r w:rsidRPr="005041AC">
        <w:t>To make the quantum-chemical simulations computationally feasible, a representative fragment of the LTA backbone was used instead of the full polymer.</w:t>
      </w:r>
    </w:p>
    <w:p w14:paraId="2F899B23" w14:textId="77777777" w:rsidR="005041AC" w:rsidRPr="005041AC" w:rsidRDefault="005041AC" w:rsidP="005041AC">
      <w:r w:rsidRPr="005041AC">
        <w:t xml:space="preserve">The selected fragment contains </w:t>
      </w:r>
      <w:r w:rsidRPr="005041AC">
        <w:rPr>
          <w:b/>
          <w:bCs/>
        </w:rPr>
        <w:t>two glycerol–phosphate repeating units</w:t>
      </w:r>
      <w:r w:rsidRPr="005041AC">
        <w:t>, which approximately preserves the local chemical environment responsible for Raman-active backbone vibrations.</w:t>
      </w:r>
    </w:p>
    <w:p w14:paraId="4D115F03" w14:textId="77777777" w:rsidR="005041AC" w:rsidRPr="005041AC" w:rsidRDefault="005041AC" w:rsidP="005041AC">
      <w:r w:rsidRPr="005041AC">
        <w:t>The fragment can be written as:</w:t>
      </w:r>
    </w:p>
    <w:p w14:paraId="2E76D301" w14:textId="77777777" w:rsidR="005041AC" w:rsidRPr="005041AC" w:rsidRDefault="005041AC" w:rsidP="005041AC">
      <w:r w:rsidRPr="005041AC">
        <w:rPr>
          <w:b/>
          <w:bCs/>
        </w:rPr>
        <w:t>HO–CH₂–CH(OH)–CH₂–O–PO₃–O–CH₂–CH(OH)–CH₂–OH</w:t>
      </w:r>
    </w:p>
    <w:p w14:paraId="1F8989D5" w14:textId="77777777" w:rsidR="005041AC" w:rsidRPr="005041AC" w:rsidRDefault="005041AC" w:rsidP="005041AC">
      <w:r w:rsidRPr="005041AC">
        <w:t>This model includes the key functional groups relevant for Raman 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3163"/>
      </w:tblGrid>
      <w:tr w:rsidR="005041AC" w:rsidRPr="005041AC" w14:paraId="317F5035" w14:textId="77777777" w:rsidTr="005041AC">
        <w:trPr>
          <w:tblHeader/>
          <w:tblCellSpacing w:w="15" w:type="dxa"/>
        </w:trPr>
        <w:tc>
          <w:tcPr>
            <w:tcW w:w="0" w:type="auto"/>
            <w:vAlign w:val="center"/>
            <w:hideMark/>
          </w:tcPr>
          <w:p w14:paraId="7A797A41" w14:textId="77777777" w:rsidR="005041AC" w:rsidRPr="005041AC" w:rsidRDefault="005041AC" w:rsidP="005041AC">
            <w:pPr>
              <w:rPr>
                <w:b/>
                <w:bCs/>
              </w:rPr>
            </w:pPr>
            <w:r w:rsidRPr="005041AC">
              <w:rPr>
                <w:b/>
                <w:bCs/>
              </w:rPr>
              <w:t>Functional Group</w:t>
            </w:r>
          </w:p>
        </w:tc>
        <w:tc>
          <w:tcPr>
            <w:tcW w:w="0" w:type="auto"/>
            <w:vAlign w:val="center"/>
            <w:hideMark/>
          </w:tcPr>
          <w:p w14:paraId="21541390" w14:textId="77777777" w:rsidR="005041AC" w:rsidRPr="005041AC" w:rsidRDefault="005041AC" w:rsidP="005041AC">
            <w:pPr>
              <w:rPr>
                <w:b/>
                <w:bCs/>
              </w:rPr>
            </w:pPr>
            <w:r w:rsidRPr="005041AC">
              <w:rPr>
                <w:b/>
                <w:bCs/>
              </w:rPr>
              <w:t>Role in Raman Spectrum</w:t>
            </w:r>
          </w:p>
        </w:tc>
      </w:tr>
      <w:tr w:rsidR="005041AC" w:rsidRPr="005041AC" w14:paraId="71A8B00D" w14:textId="77777777" w:rsidTr="005041AC">
        <w:trPr>
          <w:tblCellSpacing w:w="15" w:type="dxa"/>
        </w:trPr>
        <w:tc>
          <w:tcPr>
            <w:tcW w:w="0" w:type="auto"/>
            <w:vAlign w:val="center"/>
            <w:hideMark/>
          </w:tcPr>
          <w:p w14:paraId="7C34D35F" w14:textId="77777777" w:rsidR="005041AC" w:rsidRPr="005041AC" w:rsidRDefault="005041AC" w:rsidP="005041AC">
            <w:r w:rsidRPr="005041AC">
              <w:t>Phosphate (PO₄)</w:t>
            </w:r>
          </w:p>
        </w:tc>
        <w:tc>
          <w:tcPr>
            <w:tcW w:w="0" w:type="auto"/>
            <w:vAlign w:val="center"/>
            <w:hideMark/>
          </w:tcPr>
          <w:p w14:paraId="119DE6B7" w14:textId="77777777" w:rsidR="005041AC" w:rsidRPr="005041AC" w:rsidRDefault="005041AC" w:rsidP="005041AC">
            <w:r w:rsidRPr="005041AC">
              <w:t>Strong Raman-active vibrations</w:t>
            </w:r>
          </w:p>
        </w:tc>
      </w:tr>
      <w:tr w:rsidR="005041AC" w:rsidRPr="005041AC" w14:paraId="0FAD8EE2" w14:textId="77777777" w:rsidTr="005041AC">
        <w:trPr>
          <w:tblCellSpacing w:w="15" w:type="dxa"/>
        </w:trPr>
        <w:tc>
          <w:tcPr>
            <w:tcW w:w="0" w:type="auto"/>
            <w:vAlign w:val="center"/>
            <w:hideMark/>
          </w:tcPr>
          <w:p w14:paraId="6F76DE0D" w14:textId="77777777" w:rsidR="005041AC" w:rsidRPr="005041AC" w:rsidRDefault="005041AC" w:rsidP="005041AC">
            <w:r w:rsidRPr="005041AC">
              <w:t>C–O–P linkage</w:t>
            </w:r>
          </w:p>
        </w:tc>
        <w:tc>
          <w:tcPr>
            <w:tcW w:w="0" w:type="auto"/>
            <w:vAlign w:val="center"/>
            <w:hideMark/>
          </w:tcPr>
          <w:p w14:paraId="3E319853" w14:textId="77777777" w:rsidR="005041AC" w:rsidRPr="005041AC" w:rsidRDefault="005041AC" w:rsidP="005041AC">
            <w:r w:rsidRPr="005041AC">
              <w:t>Characteristic backbone vibrations</w:t>
            </w:r>
          </w:p>
        </w:tc>
      </w:tr>
      <w:tr w:rsidR="005041AC" w:rsidRPr="005041AC" w14:paraId="75BF186F" w14:textId="77777777" w:rsidTr="005041AC">
        <w:trPr>
          <w:tblCellSpacing w:w="15" w:type="dxa"/>
        </w:trPr>
        <w:tc>
          <w:tcPr>
            <w:tcW w:w="0" w:type="auto"/>
            <w:vAlign w:val="center"/>
            <w:hideMark/>
          </w:tcPr>
          <w:p w14:paraId="104F28B4" w14:textId="77777777" w:rsidR="005041AC" w:rsidRPr="005041AC" w:rsidRDefault="005041AC" w:rsidP="005041AC">
            <w:r w:rsidRPr="005041AC">
              <w:t>Hydroxyl groups</w:t>
            </w:r>
          </w:p>
        </w:tc>
        <w:tc>
          <w:tcPr>
            <w:tcW w:w="0" w:type="auto"/>
            <w:vAlign w:val="center"/>
            <w:hideMark/>
          </w:tcPr>
          <w:p w14:paraId="47D9487F" w14:textId="77777777" w:rsidR="005041AC" w:rsidRPr="005041AC" w:rsidRDefault="005041AC" w:rsidP="005041AC">
            <w:r w:rsidRPr="005041AC">
              <w:t>Hydrogen bonding interactions</w:t>
            </w:r>
          </w:p>
        </w:tc>
      </w:tr>
      <w:tr w:rsidR="005041AC" w:rsidRPr="005041AC" w14:paraId="504D147D" w14:textId="77777777" w:rsidTr="005041AC">
        <w:trPr>
          <w:tblCellSpacing w:w="15" w:type="dxa"/>
        </w:trPr>
        <w:tc>
          <w:tcPr>
            <w:tcW w:w="0" w:type="auto"/>
            <w:vAlign w:val="center"/>
            <w:hideMark/>
          </w:tcPr>
          <w:p w14:paraId="3F195488" w14:textId="77777777" w:rsidR="005041AC" w:rsidRPr="005041AC" w:rsidRDefault="005041AC" w:rsidP="005041AC">
            <w:r w:rsidRPr="005041AC">
              <w:t>Glycerol backbone</w:t>
            </w:r>
          </w:p>
        </w:tc>
        <w:tc>
          <w:tcPr>
            <w:tcW w:w="0" w:type="auto"/>
            <w:vAlign w:val="center"/>
            <w:hideMark/>
          </w:tcPr>
          <w:p w14:paraId="49CCC923" w14:textId="77777777" w:rsidR="005041AC" w:rsidRPr="005041AC" w:rsidRDefault="005041AC" w:rsidP="005041AC">
            <w:r w:rsidRPr="005041AC">
              <w:t>Carbon–oxygen vibrational modes</w:t>
            </w:r>
          </w:p>
        </w:tc>
      </w:tr>
    </w:tbl>
    <w:p w14:paraId="3817D1E8" w14:textId="77777777" w:rsidR="005041AC" w:rsidRPr="005041AC" w:rsidRDefault="005041AC" w:rsidP="005041AC">
      <w:r w:rsidRPr="005041AC">
        <w:lastRenderedPageBreak/>
        <w:t>Although smaller than the full polymer and lacking the lipid anchor and substituents, this fragment retains the main chemical features responsible for the backbone vibrational signature of LTA.</w:t>
      </w:r>
    </w:p>
    <w:p w14:paraId="04DC8A9A" w14:textId="77777777" w:rsidR="005041AC" w:rsidRPr="005041AC" w:rsidRDefault="005041AC" w:rsidP="005041AC">
      <w:r w:rsidRPr="005041AC">
        <w:pict w14:anchorId="44CFD7C0">
          <v:rect id="_x0000_i1106" style="width:0;height:1.5pt" o:hralign="center" o:hrstd="t" o:hr="t" fillcolor="#a0a0a0" stroked="f"/>
        </w:pict>
      </w:r>
    </w:p>
    <w:p w14:paraId="1BBDD6D7" w14:textId="77777777" w:rsidR="005041AC" w:rsidRPr="005041AC" w:rsidRDefault="005041AC" w:rsidP="005041AC">
      <w:pPr>
        <w:rPr>
          <w:b/>
          <w:bCs/>
        </w:rPr>
      </w:pPr>
      <w:r w:rsidRPr="005041AC">
        <w:rPr>
          <w:b/>
          <w:bCs/>
        </w:rPr>
        <w:t>4. Molecular Structure Construction</w:t>
      </w:r>
    </w:p>
    <w:p w14:paraId="5CE7C5FA" w14:textId="77777777" w:rsidR="005041AC" w:rsidRPr="005041AC" w:rsidRDefault="005041AC" w:rsidP="005041AC">
      <w:r w:rsidRPr="005041AC">
        <w:t xml:space="preserve">The molecular structure of the glycerol–phosphate fragment was built using </w:t>
      </w:r>
      <w:r w:rsidRPr="005041AC">
        <w:rPr>
          <w:b/>
          <w:bCs/>
        </w:rPr>
        <w:t>Avogadro</w:t>
      </w:r>
      <w:r w:rsidRPr="005041AC">
        <w:t xml:space="preserve">, an open-source molecular editor for visualization and </w:t>
      </w:r>
      <w:proofErr w:type="spellStart"/>
      <w:r w:rsidRPr="005041AC">
        <w:t>modeling</w:t>
      </w:r>
      <w:proofErr w:type="spellEnd"/>
      <w:r w:rsidRPr="005041AC">
        <w:t>.</w:t>
      </w:r>
    </w:p>
    <w:p w14:paraId="42A2F9C9" w14:textId="77777777" w:rsidR="005041AC" w:rsidRPr="005041AC" w:rsidRDefault="005041AC" w:rsidP="005041AC">
      <w:r w:rsidRPr="005041AC">
        <w:t xml:space="preserve">Instead of constructing the molecule atom by atom, the structure was generated from a </w:t>
      </w:r>
      <w:r w:rsidRPr="005041AC">
        <w:rPr>
          <w:b/>
          <w:bCs/>
        </w:rPr>
        <w:t>SMILES representation</w:t>
      </w:r>
      <w:r w:rsidRPr="005041AC">
        <w:t>.</w:t>
      </w:r>
    </w:p>
    <w:p w14:paraId="0155786D" w14:textId="77777777" w:rsidR="005041AC" w:rsidRPr="005041AC" w:rsidRDefault="005041AC" w:rsidP="005041AC">
      <w:r w:rsidRPr="005041AC">
        <w:rPr>
          <w:b/>
          <w:bCs/>
        </w:rPr>
        <w:t>SMILES used</w:t>
      </w:r>
    </w:p>
    <w:p w14:paraId="46F9B05C" w14:textId="77777777" w:rsidR="005041AC" w:rsidRPr="005041AC" w:rsidRDefault="005041AC" w:rsidP="005041AC">
      <w:r w:rsidRPr="005041AC">
        <w:t>OP(=</w:t>
      </w:r>
      <w:proofErr w:type="gramStart"/>
      <w:r w:rsidRPr="005041AC">
        <w:t>O)(</w:t>
      </w:r>
      <w:proofErr w:type="gramEnd"/>
      <w:r w:rsidRPr="005041AC">
        <w:t>O)OCC(O)COP(=</w:t>
      </w:r>
      <w:proofErr w:type="gramStart"/>
      <w:r w:rsidRPr="005041AC">
        <w:t>O)(</w:t>
      </w:r>
      <w:proofErr w:type="gramEnd"/>
      <w:r w:rsidRPr="005041AC">
        <w:t>O)OCC(O)CO</w:t>
      </w:r>
    </w:p>
    <w:p w14:paraId="73EF8D31" w14:textId="77777777" w:rsidR="005041AC" w:rsidRPr="005041AC" w:rsidRDefault="005041AC" w:rsidP="005041AC">
      <w:r w:rsidRPr="005041AC">
        <w:t>This SMILES string describes a glycerol–phosphate fragment with two phosphate groups connected through glycerol units.</w:t>
      </w:r>
    </w:p>
    <w:p w14:paraId="480878F3" w14:textId="77777777" w:rsidR="005041AC" w:rsidRPr="005041AC" w:rsidRDefault="005041AC" w:rsidP="005041AC">
      <w:pPr>
        <w:rPr>
          <w:b/>
          <w:bCs/>
        </w:rPr>
      </w:pPr>
      <w:r w:rsidRPr="005041AC">
        <w:rPr>
          <w:b/>
          <w:bCs/>
        </w:rPr>
        <w:t>Steps used</w:t>
      </w:r>
    </w:p>
    <w:p w14:paraId="0814EEB4" w14:textId="77777777" w:rsidR="005041AC" w:rsidRPr="005041AC" w:rsidRDefault="005041AC" w:rsidP="005041AC">
      <w:pPr>
        <w:numPr>
          <w:ilvl w:val="0"/>
          <w:numId w:val="1"/>
        </w:numPr>
      </w:pPr>
      <w:r w:rsidRPr="005041AC">
        <w:t>Open Avogadro</w:t>
      </w:r>
    </w:p>
    <w:p w14:paraId="26161C80" w14:textId="77777777" w:rsidR="005041AC" w:rsidRPr="005041AC" w:rsidRDefault="005041AC" w:rsidP="005041AC">
      <w:pPr>
        <w:numPr>
          <w:ilvl w:val="0"/>
          <w:numId w:val="1"/>
        </w:numPr>
      </w:pPr>
      <w:r w:rsidRPr="005041AC">
        <w:t xml:space="preserve">Navigate to </w:t>
      </w:r>
      <w:r w:rsidRPr="005041AC">
        <w:rPr>
          <w:b/>
          <w:bCs/>
        </w:rPr>
        <w:t>Build → Insert → SMILES</w:t>
      </w:r>
    </w:p>
    <w:p w14:paraId="39501B50" w14:textId="77777777" w:rsidR="005041AC" w:rsidRPr="005041AC" w:rsidRDefault="005041AC" w:rsidP="005041AC">
      <w:pPr>
        <w:numPr>
          <w:ilvl w:val="0"/>
          <w:numId w:val="1"/>
        </w:numPr>
      </w:pPr>
      <w:r w:rsidRPr="005041AC">
        <w:t>Paste the SMILES string</w:t>
      </w:r>
    </w:p>
    <w:p w14:paraId="5134AA79" w14:textId="77777777" w:rsidR="005041AC" w:rsidRPr="005041AC" w:rsidRDefault="005041AC" w:rsidP="005041AC">
      <w:pPr>
        <w:numPr>
          <w:ilvl w:val="0"/>
          <w:numId w:val="1"/>
        </w:numPr>
      </w:pPr>
      <w:r w:rsidRPr="005041AC">
        <w:t xml:space="preserve">Click </w:t>
      </w:r>
      <w:r w:rsidRPr="005041AC">
        <w:rPr>
          <w:b/>
          <w:bCs/>
        </w:rPr>
        <w:t>Insert</w:t>
      </w:r>
    </w:p>
    <w:p w14:paraId="6C7CB8B3" w14:textId="3C867A57" w:rsidR="005041AC" w:rsidRPr="005041AC" w:rsidRDefault="005041AC" w:rsidP="005041AC">
      <w:r w:rsidRPr="005041AC">
        <w:t>Avogadro automatically converts the SMILES notation into an initial three-dimensional molecular structure.</w:t>
      </w:r>
      <w:r>
        <w:br/>
      </w:r>
      <w:r>
        <w:br/>
      </w:r>
      <w:r>
        <w:rPr>
          <w:noProof/>
        </w:rPr>
        <w:drawing>
          <wp:inline distT="0" distB="0" distL="0" distR="0" wp14:anchorId="0E101D52" wp14:editId="488F42A9">
            <wp:extent cx="5731510" cy="3119120"/>
            <wp:effectExtent l="0" t="0" r="2540" b="5080"/>
            <wp:docPr id="62532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2731" name="Picture 625327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19120"/>
                    </a:xfrm>
                    <a:prstGeom prst="rect">
                      <a:avLst/>
                    </a:prstGeom>
                  </pic:spPr>
                </pic:pic>
              </a:graphicData>
            </a:graphic>
          </wp:inline>
        </w:drawing>
      </w:r>
    </w:p>
    <w:p w14:paraId="07C69594" w14:textId="77777777" w:rsidR="005041AC" w:rsidRPr="005041AC" w:rsidRDefault="005041AC" w:rsidP="005041AC">
      <w:r w:rsidRPr="005041AC">
        <w:rPr>
          <w:b/>
          <w:bCs/>
        </w:rPr>
        <w:t>Figure 2.</w:t>
      </w:r>
      <w:r w:rsidRPr="005041AC">
        <w:t xml:space="preserve"> Three-dimensional structure of the glycerol–phosphate fragment generated in Avogadro. This structure was used as the starting geometry for subsequent optimization and DFT calculations.</w:t>
      </w:r>
    </w:p>
    <w:p w14:paraId="68650DA1" w14:textId="77777777" w:rsidR="005041AC" w:rsidRPr="005041AC" w:rsidRDefault="005041AC" w:rsidP="005041AC">
      <w:r w:rsidRPr="005041AC">
        <w:lastRenderedPageBreak/>
        <w:pict w14:anchorId="7494CA8C">
          <v:rect id="_x0000_i1107" style="width:0;height:1.5pt" o:hralign="center" o:hrstd="t" o:hr="t" fillcolor="#a0a0a0" stroked="f"/>
        </w:pict>
      </w:r>
    </w:p>
    <w:p w14:paraId="07C8C28B" w14:textId="77777777" w:rsidR="005041AC" w:rsidRPr="005041AC" w:rsidRDefault="005041AC" w:rsidP="005041AC">
      <w:pPr>
        <w:rPr>
          <w:b/>
          <w:bCs/>
        </w:rPr>
      </w:pPr>
      <w:r w:rsidRPr="005041AC">
        <w:rPr>
          <w:b/>
          <w:bCs/>
        </w:rPr>
        <w:t>5. Geometry Optimization</w:t>
      </w:r>
    </w:p>
    <w:p w14:paraId="3BDBF4EF" w14:textId="77777777" w:rsidR="005041AC" w:rsidRPr="005041AC" w:rsidRDefault="005041AC" w:rsidP="005041AC">
      <w:r w:rsidRPr="005041AC">
        <w:t>After constructing the molecular structure, an initial geometry optimization was performed to obtain a reasonable starting conformation.</w:t>
      </w:r>
    </w:p>
    <w:p w14:paraId="005055A3" w14:textId="77777777" w:rsidR="005041AC" w:rsidRPr="005041AC" w:rsidRDefault="005041AC" w:rsidP="005041AC">
      <w:r w:rsidRPr="005041AC">
        <w:t xml:space="preserve">Initial optimization was carried out using the </w:t>
      </w:r>
      <w:r w:rsidRPr="005041AC">
        <w:rPr>
          <w:b/>
          <w:bCs/>
        </w:rPr>
        <w:t>Universal Force Field (</w:t>
      </w:r>
      <w:proofErr w:type="spellStart"/>
      <w:r w:rsidRPr="005041AC">
        <w:rPr>
          <w:b/>
          <w:bCs/>
        </w:rPr>
        <w:t>UFF</w:t>
      </w:r>
      <w:proofErr w:type="spellEnd"/>
      <w:r w:rsidRPr="005041AC">
        <w:rPr>
          <w:b/>
          <w:bCs/>
        </w:rPr>
        <w:t>)</w:t>
      </w:r>
      <w:r w:rsidRPr="005041AC">
        <w:t xml:space="preserve"> implemented in Avogadro.</w:t>
      </w:r>
    </w:p>
    <w:p w14:paraId="24F1F568" w14:textId="77777777" w:rsidR="005041AC" w:rsidRPr="005041AC" w:rsidRDefault="005041AC" w:rsidP="005041AC">
      <w:r w:rsidRPr="005041AC">
        <w:t>This step reduces unrealistic bond angles, minimizes steric clashes, and provides a suitable starting geometry for subsequent quantum-mechanical calculations.</w:t>
      </w:r>
    </w:p>
    <w:p w14:paraId="71604A2E" w14:textId="77777777" w:rsidR="005041AC" w:rsidRPr="005041AC" w:rsidRDefault="005041AC" w:rsidP="005041AC">
      <w:r w:rsidRPr="005041AC">
        <w:t xml:space="preserve">The optimized structure was exported as </w:t>
      </w:r>
      <w:r w:rsidRPr="005041AC">
        <w:rPr>
          <w:b/>
          <w:bCs/>
        </w:rPr>
        <w:t>Cartesian coordinates</w:t>
      </w:r>
      <w:r w:rsidRPr="005041AC">
        <w:t xml:space="preserve"> and used as input for the DFT calculations in Gaussian 16.</w:t>
      </w:r>
    </w:p>
    <w:p w14:paraId="160AC62B" w14:textId="77777777" w:rsidR="005041AC" w:rsidRPr="005041AC" w:rsidRDefault="005041AC" w:rsidP="005041AC">
      <w:r w:rsidRPr="005041AC">
        <w:pict w14:anchorId="0B2B48FC">
          <v:rect id="_x0000_i1108" style="width:0;height:1.5pt" o:hralign="center" o:hrstd="t" o:hr="t" fillcolor="#a0a0a0" stroked="f"/>
        </w:pict>
      </w:r>
    </w:p>
    <w:p w14:paraId="3661120C" w14:textId="77777777" w:rsidR="005041AC" w:rsidRPr="005041AC" w:rsidRDefault="005041AC" w:rsidP="005041AC">
      <w:pPr>
        <w:rPr>
          <w:b/>
          <w:bCs/>
        </w:rPr>
      </w:pPr>
      <w:r w:rsidRPr="005041AC">
        <w:rPr>
          <w:b/>
          <w:bCs/>
        </w:rPr>
        <w:t>6. Quantum Chemical Simulation</w:t>
      </w:r>
    </w:p>
    <w:p w14:paraId="44FE3991" w14:textId="77777777" w:rsidR="005041AC" w:rsidRPr="005041AC" w:rsidRDefault="005041AC" w:rsidP="005041AC">
      <w:r w:rsidRPr="005041AC">
        <w:t xml:space="preserve">Quantum-chemical calculations were performed with </w:t>
      </w:r>
      <w:r w:rsidRPr="005041AC">
        <w:rPr>
          <w:b/>
          <w:bCs/>
        </w:rPr>
        <w:t>Gaussian 16</w:t>
      </w:r>
      <w:r w:rsidRPr="005041AC">
        <w:t>.</w:t>
      </w:r>
    </w:p>
    <w:p w14:paraId="67F33608" w14:textId="77777777" w:rsidR="005041AC" w:rsidRPr="005041AC" w:rsidRDefault="005041AC" w:rsidP="005041AC">
      <w:r w:rsidRPr="005041AC">
        <w:t>The calculations included:</w:t>
      </w:r>
    </w:p>
    <w:p w14:paraId="786CC03F" w14:textId="77777777" w:rsidR="005041AC" w:rsidRPr="005041AC" w:rsidRDefault="005041AC" w:rsidP="005041AC">
      <w:r w:rsidRPr="005041AC">
        <w:t>• Geometry optimization</w:t>
      </w:r>
      <w:r w:rsidRPr="005041AC">
        <w:br/>
        <w:t>• Harmonic vibrational frequency analysis</w:t>
      </w:r>
      <w:r w:rsidRPr="005041AC">
        <w:br/>
        <w:t>• Raman activity calculations</w:t>
      </w:r>
    </w:p>
    <w:p w14:paraId="7F182DF0" w14:textId="77777777" w:rsidR="005041AC" w:rsidRPr="005041AC" w:rsidRDefault="005041AC" w:rsidP="005041AC">
      <w:r w:rsidRPr="005041AC">
        <w:t xml:space="preserve">Density Functional Theory (DFT) with the </w:t>
      </w:r>
      <w:r w:rsidRPr="005041AC">
        <w:rPr>
          <w:b/>
          <w:bCs/>
        </w:rPr>
        <w:t>B3LYP hybrid functional</w:t>
      </w:r>
      <w:r w:rsidRPr="005041AC">
        <w:t xml:space="preserve"> was employed, as this level of theory is widely used for simulating vibrational spectra.</w:t>
      </w:r>
    </w:p>
    <w:p w14:paraId="5DA75688" w14:textId="77777777" w:rsidR="005041AC" w:rsidRPr="005041AC" w:rsidRDefault="005041AC" w:rsidP="005041AC">
      <w:r w:rsidRPr="005041AC">
        <w:t xml:space="preserve">The </w:t>
      </w:r>
      <w:r w:rsidRPr="005041AC">
        <w:rPr>
          <w:b/>
          <w:bCs/>
        </w:rPr>
        <w:t>6-31G(d) basis set</w:t>
      </w:r>
      <w:r w:rsidRPr="005041AC">
        <w:t xml:space="preserve"> was used, providing a compromise between computational cost and accuracy for organic and phosphate-containing systems.</w:t>
      </w:r>
    </w:p>
    <w:p w14:paraId="77AF9378" w14:textId="77777777" w:rsidR="005041AC" w:rsidRPr="005041AC" w:rsidRDefault="005041AC" w:rsidP="005041AC">
      <w:r w:rsidRPr="005041AC">
        <w:t xml:space="preserve">All vibrational frequencies were calculated within the </w:t>
      </w:r>
      <w:r w:rsidRPr="005041AC">
        <w:rPr>
          <w:b/>
          <w:bCs/>
        </w:rPr>
        <w:t>harmonic approximation</w:t>
      </w:r>
      <w:r w:rsidRPr="005041AC">
        <w:t>. DFT methods typically overestimate vibrational frequencies, and scaling factors (typically ~0.96 for B3LYP/6-31G(d)) are often applied when comparing theoretical predictions with experimental data.</w:t>
      </w:r>
    </w:p>
    <w:p w14:paraId="25B94A4C" w14:textId="77777777" w:rsidR="005041AC" w:rsidRPr="005041AC" w:rsidRDefault="005041AC" w:rsidP="005041AC">
      <w:r w:rsidRPr="005041AC">
        <w:pict w14:anchorId="169BA339">
          <v:rect id="_x0000_i1109" style="width:0;height:1.5pt" o:hralign="center" o:hrstd="t" o:hr="t" fillcolor="#a0a0a0" stroked="f"/>
        </w:pict>
      </w:r>
    </w:p>
    <w:p w14:paraId="50640812" w14:textId="77777777" w:rsidR="005041AC" w:rsidRPr="005041AC" w:rsidRDefault="005041AC" w:rsidP="005041AC">
      <w:pPr>
        <w:rPr>
          <w:b/>
          <w:bCs/>
        </w:rPr>
      </w:pPr>
      <w:r w:rsidRPr="005041AC">
        <w:rPr>
          <w:b/>
          <w:bCs/>
        </w:rPr>
        <w:t>7. Simulation Parameters</w:t>
      </w:r>
    </w:p>
    <w:p w14:paraId="289678CD" w14:textId="77777777" w:rsidR="005041AC" w:rsidRPr="005041AC" w:rsidRDefault="005041AC" w:rsidP="005041AC">
      <w:r w:rsidRPr="005041AC">
        <w:t>The Gaussian calculation used the following keywords:</w:t>
      </w:r>
    </w:p>
    <w:p w14:paraId="2FA51748" w14:textId="77777777" w:rsidR="005041AC" w:rsidRPr="005041AC" w:rsidRDefault="005041AC" w:rsidP="005041AC">
      <w:r w:rsidRPr="005041AC">
        <w:t xml:space="preserve"># B3LYP/6-31G(d) </w:t>
      </w:r>
      <w:proofErr w:type="spellStart"/>
      <w:r w:rsidRPr="005041AC">
        <w:t>Opt</w:t>
      </w:r>
      <w:proofErr w:type="spellEnd"/>
      <w:r w:rsidRPr="005041AC">
        <w:t xml:space="preserve"> Freq Raman </w:t>
      </w:r>
      <w:proofErr w:type="spellStart"/>
      <w:r w:rsidRPr="005041AC">
        <w:t>SCF</w:t>
      </w:r>
      <w:proofErr w:type="spellEnd"/>
      <w:r w:rsidRPr="005041AC">
        <w:t>=Tight Int=</w:t>
      </w:r>
      <w:proofErr w:type="spellStart"/>
      <w:r w:rsidRPr="005041AC">
        <w:t>UltraFine</w:t>
      </w:r>
      <w:proofErr w:type="spellEnd"/>
      <w:r w:rsidRPr="005041AC">
        <w:t xml:space="preserve"> </w:t>
      </w:r>
      <w:proofErr w:type="spellStart"/>
      <w:r w:rsidRPr="005041AC">
        <w:t>SCRF</w:t>
      </w:r>
      <w:proofErr w:type="spellEnd"/>
      <w:r w:rsidRPr="005041AC">
        <w:t>=(</w:t>
      </w:r>
      <w:proofErr w:type="spellStart"/>
      <w:proofErr w:type="gramStart"/>
      <w:r w:rsidRPr="005041AC">
        <w:t>SMD,Solvent</w:t>
      </w:r>
      <w:proofErr w:type="spellEnd"/>
      <w:proofErr w:type="gramEnd"/>
      <w:r w:rsidRPr="005041AC">
        <w:t>=Water)</w:t>
      </w:r>
    </w:p>
    <w:p w14:paraId="6B7AF195" w14:textId="77777777" w:rsidR="005041AC" w:rsidRPr="005041AC" w:rsidRDefault="005041AC" w:rsidP="005041AC">
      <w:r w:rsidRPr="005041AC">
        <w:t>Explanation of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7"/>
        <w:gridCol w:w="3294"/>
      </w:tblGrid>
      <w:tr w:rsidR="005041AC" w:rsidRPr="005041AC" w14:paraId="589F3A28" w14:textId="77777777" w:rsidTr="005041AC">
        <w:trPr>
          <w:tblHeader/>
          <w:tblCellSpacing w:w="15" w:type="dxa"/>
        </w:trPr>
        <w:tc>
          <w:tcPr>
            <w:tcW w:w="0" w:type="auto"/>
            <w:vAlign w:val="center"/>
            <w:hideMark/>
          </w:tcPr>
          <w:p w14:paraId="6692C575" w14:textId="77777777" w:rsidR="005041AC" w:rsidRPr="005041AC" w:rsidRDefault="005041AC" w:rsidP="005041AC">
            <w:pPr>
              <w:rPr>
                <w:b/>
                <w:bCs/>
              </w:rPr>
            </w:pPr>
            <w:r w:rsidRPr="005041AC">
              <w:rPr>
                <w:b/>
                <w:bCs/>
              </w:rPr>
              <w:t>Parameter</w:t>
            </w:r>
          </w:p>
        </w:tc>
        <w:tc>
          <w:tcPr>
            <w:tcW w:w="0" w:type="auto"/>
            <w:vAlign w:val="center"/>
            <w:hideMark/>
          </w:tcPr>
          <w:p w14:paraId="27ADFBBD" w14:textId="77777777" w:rsidR="005041AC" w:rsidRPr="005041AC" w:rsidRDefault="005041AC" w:rsidP="005041AC">
            <w:pPr>
              <w:rPr>
                <w:b/>
                <w:bCs/>
              </w:rPr>
            </w:pPr>
            <w:r w:rsidRPr="005041AC">
              <w:rPr>
                <w:b/>
                <w:bCs/>
              </w:rPr>
              <w:t>Purpose</w:t>
            </w:r>
          </w:p>
        </w:tc>
      </w:tr>
      <w:tr w:rsidR="005041AC" w:rsidRPr="005041AC" w14:paraId="3F9E9ADF" w14:textId="77777777" w:rsidTr="005041AC">
        <w:trPr>
          <w:tblCellSpacing w:w="15" w:type="dxa"/>
        </w:trPr>
        <w:tc>
          <w:tcPr>
            <w:tcW w:w="0" w:type="auto"/>
            <w:vAlign w:val="center"/>
            <w:hideMark/>
          </w:tcPr>
          <w:p w14:paraId="6F86E8B8" w14:textId="77777777" w:rsidR="005041AC" w:rsidRPr="005041AC" w:rsidRDefault="005041AC" w:rsidP="005041AC">
            <w:r w:rsidRPr="005041AC">
              <w:t>B3LYP</w:t>
            </w:r>
          </w:p>
        </w:tc>
        <w:tc>
          <w:tcPr>
            <w:tcW w:w="0" w:type="auto"/>
            <w:vAlign w:val="center"/>
            <w:hideMark/>
          </w:tcPr>
          <w:p w14:paraId="259AD308" w14:textId="77777777" w:rsidR="005041AC" w:rsidRPr="005041AC" w:rsidRDefault="005041AC" w:rsidP="005041AC">
            <w:r w:rsidRPr="005041AC">
              <w:t>Hybrid DFT functional</w:t>
            </w:r>
          </w:p>
        </w:tc>
      </w:tr>
      <w:tr w:rsidR="005041AC" w:rsidRPr="005041AC" w14:paraId="6428F303" w14:textId="77777777" w:rsidTr="005041AC">
        <w:trPr>
          <w:tblCellSpacing w:w="15" w:type="dxa"/>
        </w:trPr>
        <w:tc>
          <w:tcPr>
            <w:tcW w:w="0" w:type="auto"/>
            <w:vAlign w:val="center"/>
            <w:hideMark/>
          </w:tcPr>
          <w:p w14:paraId="42A822FF" w14:textId="77777777" w:rsidR="005041AC" w:rsidRPr="005041AC" w:rsidRDefault="005041AC" w:rsidP="005041AC">
            <w:r w:rsidRPr="005041AC">
              <w:t>6-31G(d)</w:t>
            </w:r>
          </w:p>
        </w:tc>
        <w:tc>
          <w:tcPr>
            <w:tcW w:w="0" w:type="auto"/>
            <w:vAlign w:val="center"/>
            <w:hideMark/>
          </w:tcPr>
          <w:p w14:paraId="47535D23" w14:textId="77777777" w:rsidR="005041AC" w:rsidRPr="005041AC" w:rsidRDefault="005041AC" w:rsidP="005041AC">
            <w:r w:rsidRPr="005041AC">
              <w:t>Basis set with polarization functions</w:t>
            </w:r>
          </w:p>
        </w:tc>
      </w:tr>
      <w:tr w:rsidR="005041AC" w:rsidRPr="005041AC" w14:paraId="4BAF929E" w14:textId="77777777" w:rsidTr="005041AC">
        <w:trPr>
          <w:tblCellSpacing w:w="15" w:type="dxa"/>
        </w:trPr>
        <w:tc>
          <w:tcPr>
            <w:tcW w:w="0" w:type="auto"/>
            <w:vAlign w:val="center"/>
            <w:hideMark/>
          </w:tcPr>
          <w:p w14:paraId="11FF9821" w14:textId="77777777" w:rsidR="005041AC" w:rsidRPr="005041AC" w:rsidRDefault="005041AC" w:rsidP="005041AC">
            <w:proofErr w:type="spellStart"/>
            <w:r w:rsidRPr="005041AC">
              <w:t>Opt</w:t>
            </w:r>
            <w:proofErr w:type="spellEnd"/>
          </w:p>
        </w:tc>
        <w:tc>
          <w:tcPr>
            <w:tcW w:w="0" w:type="auto"/>
            <w:vAlign w:val="center"/>
            <w:hideMark/>
          </w:tcPr>
          <w:p w14:paraId="157BDBE5" w14:textId="77777777" w:rsidR="005041AC" w:rsidRPr="005041AC" w:rsidRDefault="005041AC" w:rsidP="005041AC">
            <w:r w:rsidRPr="005041AC">
              <w:t>Geometry optimization</w:t>
            </w:r>
          </w:p>
        </w:tc>
      </w:tr>
      <w:tr w:rsidR="005041AC" w:rsidRPr="005041AC" w14:paraId="07BD531B" w14:textId="77777777" w:rsidTr="005041AC">
        <w:trPr>
          <w:tblCellSpacing w:w="15" w:type="dxa"/>
        </w:trPr>
        <w:tc>
          <w:tcPr>
            <w:tcW w:w="0" w:type="auto"/>
            <w:vAlign w:val="center"/>
            <w:hideMark/>
          </w:tcPr>
          <w:p w14:paraId="29989A9B" w14:textId="77777777" w:rsidR="005041AC" w:rsidRPr="005041AC" w:rsidRDefault="005041AC" w:rsidP="005041AC">
            <w:r w:rsidRPr="005041AC">
              <w:t>Freq</w:t>
            </w:r>
          </w:p>
        </w:tc>
        <w:tc>
          <w:tcPr>
            <w:tcW w:w="0" w:type="auto"/>
            <w:vAlign w:val="center"/>
            <w:hideMark/>
          </w:tcPr>
          <w:p w14:paraId="5E6FF2AA" w14:textId="77777777" w:rsidR="005041AC" w:rsidRPr="005041AC" w:rsidRDefault="005041AC" w:rsidP="005041AC">
            <w:r w:rsidRPr="005041AC">
              <w:t>Vibrational frequency calculation</w:t>
            </w:r>
          </w:p>
        </w:tc>
      </w:tr>
      <w:tr w:rsidR="005041AC" w:rsidRPr="005041AC" w14:paraId="78A7E1C7" w14:textId="77777777" w:rsidTr="005041AC">
        <w:trPr>
          <w:tblCellSpacing w:w="15" w:type="dxa"/>
        </w:trPr>
        <w:tc>
          <w:tcPr>
            <w:tcW w:w="0" w:type="auto"/>
            <w:vAlign w:val="center"/>
            <w:hideMark/>
          </w:tcPr>
          <w:p w14:paraId="0529E324" w14:textId="77777777" w:rsidR="005041AC" w:rsidRPr="005041AC" w:rsidRDefault="005041AC" w:rsidP="005041AC">
            <w:r w:rsidRPr="005041AC">
              <w:lastRenderedPageBreak/>
              <w:t>Raman</w:t>
            </w:r>
          </w:p>
        </w:tc>
        <w:tc>
          <w:tcPr>
            <w:tcW w:w="0" w:type="auto"/>
            <w:vAlign w:val="center"/>
            <w:hideMark/>
          </w:tcPr>
          <w:p w14:paraId="32FB95A0" w14:textId="77777777" w:rsidR="005041AC" w:rsidRPr="005041AC" w:rsidRDefault="005041AC" w:rsidP="005041AC">
            <w:r w:rsidRPr="005041AC">
              <w:t>Raman activity calculation</w:t>
            </w:r>
          </w:p>
        </w:tc>
      </w:tr>
      <w:tr w:rsidR="005041AC" w:rsidRPr="005041AC" w14:paraId="18208843" w14:textId="77777777" w:rsidTr="005041AC">
        <w:trPr>
          <w:tblCellSpacing w:w="15" w:type="dxa"/>
        </w:trPr>
        <w:tc>
          <w:tcPr>
            <w:tcW w:w="0" w:type="auto"/>
            <w:vAlign w:val="center"/>
            <w:hideMark/>
          </w:tcPr>
          <w:p w14:paraId="5B8D9A82" w14:textId="77777777" w:rsidR="005041AC" w:rsidRPr="005041AC" w:rsidRDefault="005041AC" w:rsidP="005041AC">
            <w:proofErr w:type="spellStart"/>
            <w:r w:rsidRPr="005041AC">
              <w:t>SCF</w:t>
            </w:r>
            <w:proofErr w:type="spellEnd"/>
            <w:r w:rsidRPr="005041AC">
              <w:t>=Tight</w:t>
            </w:r>
          </w:p>
        </w:tc>
        <w:tc>
          <w:tcPr>
            <w:tcW w:w="0" w:type="auto"/>
            <w:vAlign w:val="center"/>
            <w:hideMark/>
          </w:tcPr>
          <w:p w14:paraId="626D59F2" w14:textId="77777777" w:rsidR="005041AC" w:rsidRPr="005041AC" w:rsidRDefault="005041AC" w:rsidP="005041AC">
            <w:r w:rsidRPr="005041AC">
              <w:t>Strict electronic convergence</w:t>
            </w:r>
          </w:p>
        </w:tc>
      </w:tr>
      <w:tr w:rsidR="005041AC" w:rsidRPr="005041AC" w14:paraId="7C172B8F" w14:textId="77777777" w:rsidTr="005041AC">
        <w:trPr>
          <w:tblCellSpacing w:w="15" w:type="dxa"/>
        </w:trPr>
        <w:tc>
          <w:tcPr>
            <w:tcW w:w="0" w:type="auto"/>
            <w:vAlign w:val="center"/>
            <w:hideMark/>
          </w:tcPr>
          <w:p w14:paraId="331822AB" w14:textId="77777777" w:rsidR="005041AC" w:rsidRPr="005041AC" w:rsidRDefault="005041AC" w:rsidP="005041AC">
            <w:r w:rsidRPr="005041AC">
              <w:t>Int=</w:t>
            </w:r>
            <w:proofErr w:type="spellStart"/>
            <w:r w:rsidRPr="005041AC">
              <w:t>UltraFine</w:t>
            </w:r>
            <w:proofErr w:type="spellEnd"/>
          </w:p>
        </w:tc>
        <w:tc>
          <w:tcPr>
            <w:tcW w:w="0" w:type="auto"/>
            <w:vAlign w:val="center"/>
            <w:hideMark/>
          </w:tcPr>
          <w:p w14:paraId="3FF6DA08" w14:textId="77777777" w:rsidR="005041AC" w:rsidRPr="005041AC" w:rsidRDefault="005041AC" w:rsidP="005041AC">
            <w:r w:rsidRPr="005041AC">
              <w:t>High-accuracy integration grid</w:t>
            </w:r>
          </w:p>
        </w:tc>
      </w:tr>
      <w:tr w:rsidR="005041AC" w:rsidRPr="005041AC" w14:paraId="4AC9392A" w14:textId="77777777" w:rsidTr="005041AC">
        <w:trPr>
          <w:tblCellSpacing w:w="15" w:type="dxa"/>
        </w:trPr>
        <w:tc>
          <w:tcPr>
            <w:tcW w:w="0" w:type="auto"/>
            <w:vAlign w:val="center"/>
            <w:hideMark/>
          </w:tcPr>
          <w:p w14:paraId="1FEF182B" w14:textId="77777777" w:rsidR="005041AC" w:rsidRPr="005041AC" w:rsidRDefault="005041AC" w:rsidP="005041AC">
            <w:proofErr w:type="spellStart"/>
            <w:r w:rsidRPr="005041AC">
              <w:t>SCRF</w:t>
            </w:r>
            <w:proofErr w:type="spellEnd"/>
            <w:r w:rsidRPr="005041AC">
              <w:t>=</w:t>
            </w:r>
            <w:proofErr w:type="spellStart"/>
            <w:r w:rsidRPr="005041AC">
              <w:t>SMD</w:t>
            </w:r>
            <w:proofErr w:type="spellEnd"/>
          </w:p>
        </w:tc>
        <w:tc>
          <w:tcPr>
            <w:tcW w:w="0" w:type="auto"/>
            <w:vAlign w:val="center"/>
            <w:hideMark/>
          </w:tcPr>
          <w:p w14:paraId="327EEFFB" w14:textId="77777777" w:rsidR="005041AC" w:rsidRPr="005041AC" w:rsidRDefault="005041AC" w:rsidP="005041AC">
            <w:r w:rsidRPr="005041AC">
              <w:t>Implicit solvent model (water)</w:t>
            </w:r>
          </w:p>
        </w:tc>
      </w:tr>
    </w:tbl>
    <w:p w14:paraId="24A2D6F4" w14:textId="77777777" w:rsidR="005041AC" w:rsidRPr="005041AC" w:rsidRDefault="005041AC" w:rsidP="005041AC">
      <w:r w:rsidRPr="005041AC">
        <w:t xml:space="preserve">The </w:t>
      </w:r>
      <w:proofErr w:type="spellStart"/>
      <w:r w:rsidRPr="005041AC">
        <w:t>SMD</w:t>
      </w:r>
      <w:proofErr w:type="spellEnd"/>
      <w:r w:rsidRPr="005041AC">
        <w:t xml:space="preserve"> implicit solvent model was used to approximate the </w:t>
      </w:r>
      <w:r w:rsidRPr="005041AC">
        <w:rPr>
          <w:b/>
          <w:bCs/>
        </w:rPr>
        <w:t>aqueous environment</w:t>
      </w:r>
      <w:r w:rsidRPr="005041AC">
        <w:t xml:space="preserve"> in which LTA normally resides.</w:t>
      </w:r>
    </w:p>
    <w:p w14:paraId="161D0830" w14:textId="77777777" w:rsidR="005041AC" w:rsidRPr="005041AC" w:rsidRDefault="005041AC" w:rsidP="005041AC">
      <w:r w:rsidRPr="005041AC">
        <w:pict w14:anchorId="6BD1739B">
          <v:rect id="_x0000_i1110" style="width:0;height:1.5pt" o:hralign="center" o:hrstd="t" o:hr="t" fillcolor="#a0a0a0" stroked="f"/>
        </w:pict>
      </w:r>
    </w:p>
    <w:p w14:paraId="72CFE018" w14:textId="77777777" w:rsidR="005041AC" w:rsidRPr="005041AC" w:rsidRDefault="005041AC" w:rsidP="005041AC">
      <w:pPr>
        <w:rPr>
          <w:b/>
          <w:bCs/>
        </w:rPr>
      </w:pPr>
      <w:r w:rsidRPr="005041AC">
        <w:rPr>
          <w:b/>
          <w:bCs/>
        </w:rPr>
        <w:t>8. Convergence of Calculation</w:t>
      </w:r>
    </w:p>
    <w:p w14:paraId="2BD4DD93" w14:textId="77777777" w:rsidR="005041AC" w:rsidRPr="005041AC" w:rsidRDefault="005041AC" w:rsidP="005041AC">
      <w:r w:rsidRPr="005041AC">
        <w:t>The Gaussian calculation successfully converged and the output file ended with the message:</w:t>
      </w:r>
    </w:p>
    <w:p w14:paraId="204516C3" w14:textId="77777777" w:rsidR="005041AC" w:rsidRPr="005041AC" w:rsidRDefault="005041AC" w:rsidP="005041AC">
      <w:r w:rsidRPr="005041AC">
        <w:rPr>
          <w:b/>
          <w:bCs/>
        </w:rPr>
        <w:t>Normal termination of Gaussian 16</w:t>
      </w:r>
    </w:p>
    <w:p w14:paraId="1586FFD3" w14:textId="77777777" w:rsidR="005041AC" w:rsidRPr="005041AC" w:rsidRDefault="005041AC" w:rsidP="005041AC">
      <w:r w:rsidRPr="005041AC">
        <w:t>This indicates that:</w:t>
      </w:r>
    </w:p>
    <w:p w14:paraId="7710F1FA" w14:textId="77777777" w:rsidR="005041AC" w:rsidRPr="005041AC" w:rsidRDefault="005041AC" w:rsidP="005041AC">
      <w:r w:rsidRPr="005041AC">
        <w:t>• The self-consistent field (</w:t>
      </w:r>
      <w:proofErr w:type="spellStart"/>
      <w:r w:rsidRPr="005041AC">
        <w:t>SCF</w:t>
      </w:r>
      <w:proofErr w:type="spellEnd"/>
      <w:r w:rsidRPr="005041AC">
        <w:t>) procedure converged</w:t>
      </w:r>
      <w:r w:rsidRPr="005041AC">
        <w:br/>
        <w:t>• Geometry optimization reached a stationary point</w:t>
      </w:r>
      <w:r w:rsidRPr="005041AC">
        <w:br/>
        <w:t>• Vibrational frequency and Raman activity calculations completed successfully</w:t>
      </w:r>
    </w:p>
    <w:p w14:paraId="60200A17" w14:textId="77777777" w:rsidR="005041AC" w:rsidRPr="005041AC" w:rsidRDefault="005041AC" w:rsidP="005041AC">
      <w:r w:rsidRPr="005041AC">
        <w:t xml:space="preserve">No imaginary frequencies were obtained, confirming that the optimized structure corresponds to a </w:t>
      </w:r>
      <w:r w:rsidRPr="005041AC">
        <w:rPr>
          <w:b/>
          <w:bCs/>
        </w:rPr>
        <w:t>local minimum on the potential energy surface</w:t>
      </w:r>
      <w:r w:rsidRPr="005041AC">
        <w:t>.</w:t>
      </w:r>
    </w:p>
    <w:p w14:paraId="48300160" w14:textId="77777777" w:rsidR="005041AC" w:rsidRPr="005041AC" w:rsidRDefault="005041AC" w:rsidP="005041AC">
      <w:r w:rsidRPr="005041AC">
        <w:t>The final electronic energy was:</w:t>
      </w:r>
    </w:p>
    <w:p w14:paraId="74B1A4BA" w14:textId="77777777" w:rsidR="005041AC" w:rsidRPr="005041AC" w:rsidRDefault="005041AC" w:rsidP="005041AC">
      <w:r w:rsidRPr="005041AC">
        <w:rPr>
          <w:b/>
          <w:bCs/>
        </w:rPr>
        <w:t>E = −1748.81207109 Hartree</w:t>
      </w:r>
    </w:p>
    <w:p w14:paraId="5E096024" w14:textId="77777777" w:rsidR="005041AC" w:rsidRPr="005041AC" w:rsidRDefault="005041AC" w:rsidP="005041AC">
      <w:r w:rsidRPr="005041AC">
        <w:pict w14:anchorId="5D4D0076">
          <v:rect id="_x0000_i1111" style="width:0;height:1.5pt" o:hralign="center" o:hrstd="t" o:hr="t" fillcolor="#a0a0a0" stroked="f"/>
        </w:pict>
      </w:r>
    </w:p>
    <w:p w14:paraId="28BA2690" w14:textId="77777777" w:rsidR="005041AC" w:rsidRPr="005041AC" w:rsidRDefault="005041AC" w:rsidP="005041AC">
      <w:pPr>
        <w:rPr>
          <w:b/>
          <w:bCs/>
        </w:rPr>
      </w:pPr>
      <w:r w:rsidRPr="005041AC">
        <w:rPr>
          <w:b/>
          <w:bCs/>
        </w:rPr>
        <w:t>9. Raman Spectroscopy Results</w:t>
      </w:r>
    </w:p>
    <w:p w14:paraId="086621DB" w14:textId="77777777" w:rsidR="005041AC" w:rsidRPr="005041AC" w:rsidRDefault="005041AC" w:rsidP="005041AC">
      <w:r w:rsidRPr="005041AC">
        <w:t>The vibrational frequency calculation produced Raman-active modes corresponding to molecular vibrations of the glycerol–phosphate backbone fragment.</w:t>
      </w:r>
    </w:p>
    <w:p w14:paraId="512D833C" w14:textId="77777777" w:rsidR="005041AC" w:rsidRPr="005041AC" w:rsidRDefault="005041AC" w:rsidP="005041AC">
      <w:r w:rsidRPr="005041AC">
        <w:t>Several characteristic Raman bands were obtained, which can be assigned to vibrations of the phosphate units and the glycerol backbone.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1649"/>
      </w:tblGrid>
      <w:tr w:rsidR="005041AC" w:rsidRPr="005041AC" w14:paraId="47D7D105" w14:textId="77777777" w:rsidTr="005041AC">
        <w:trPr>
          <w:tblHeader/>
          <w:tblCellSpacing w:w="15" w:type="dxa"/>
        </w:trPr>
        <w:tc>
          <w:tcPr>
            <w:tcW w:w="0" w:type="auto"/>
            <w:vAlign w:val="center"/>
            <w:hideMark/>
          </w:tcPr>
          <w:p w14:paraId="5A1062DF" w14:textId="77777777" w:rsidR="005041AC" w:rsidRPr="005041AC" w:rsidRDefault="005041AC" w:rsidP="005041AC">
            <w:pPr>
              <w:rPr>
                <w:b/>
                <w:bCs/>
              </w:rPr>
            </w:pPr>
            <w:r w:rsidRPr="005041AC">
              <w:rPr>
                <w:b/>
                <w:bCs/>
              </w:rPr>
              <w:t>Raman Shift (cm⁻¹)</w:t>
            </w:r>
          </w:p>
        </w:tc>
        <w:tc>
          <w:tcPr>
            <w:tcW w:w="0" w:type="auto"/>
            <w:vAlign w:val="center"/>
            <w:hideMark/>
          </w:tcPr>
          <w:p w14:paraId="41ADE931" w14:textId="77777777" w:rsidR="005041AC" w:rsidRPr="005041AC" w:rsidRDefault="005041AC" w:rsidP="005041AC">
            <w:pPr>
              <w:rPr>
                <w:b/>
                <w:bCs/>
              </w:rPr>
            </w:pPr>
            <w:r w:rsidRPr="005041AC">
              <w:rPr>
                <w:b/>
                <w:bCs/>
              </w:rPr>
              <w:t>Assignment</w:t>
            </w:r>
          </w:p>
        </w:tc>
      </w:tr>
      <w:tr w:rsidR="005041AC" w:rsidRPr="005041AC" w14:paraId="7EE50D98" w14:textId="77777777" w:rsidTr="005041AC">
        <w:trPr>
          <w:tblCellSpacing w:w="15" w:type="dxa"/>
        </w:trPr>
        <w:tc>
          <w:tcPr>
            <w:tcW w:w="0" w:type="auto"/>
            <w:vAlign w:val="center"/>
            <w:hideMark/>
          </w:tcPr>
          <w:p w14:paraId="3D7A8CF3" w14:textId="77777777" w:rsidR="005041AC" w:rsidRPr="005041AC" w:rsidRDefault="005041AC" w:rsidP="005041AC">
            <w:r w:rsidRPr="005041AC">
              <w:t>481</w:t>
            </w:r>
          </w:p>
        </w:tc>
        <w:tc>
          <w:tcPr>
            <w:tcW w:w="0" w:type="auto"/>
            <w:vAlign w:val="center"/>
            <w:hideMark/>
          </w:tcPr>
          <w:p w14:paraId="217E21D8" w14:textId="77777777" w:rsidR="005041AC" w:rsidRPr="005041AC" w:rsidRDefault="005041AC" w:rsidP="005041AC">
            <w:r w:rsidRPr="005041AC">
              <w:t>O–P–O bending</w:t>
            </w:r>
          </w:p>
        </w:tc>
      </w:tr>
      <w:tr w:rsidR="005041AC" w:rsidRPr="005041AC" w14:paraId="326BF2AE" w14:textId="77777777" w:rsidTr="005041AC">
        <w:trPr>
          <w:tblCellSpacing w:w="15" w:type="dxa"/>
        </w:trPr>
        <w:tc>
          <w:tcPr>
            <w:tcW w:w="0" w:type="auto"/>
            <w:vAlign w:val="center"/>
            <w:hideMark/>
          </w:tcPr>
          <w:p w14:paraId="34476DEA" w14:textId="77777777" w:rsidR="005041AC" w:rsidRPr="005041AC" w:rsidRDefault="005041AC" w:rsidP="005041AC">
            <w:r w:rsidRPr="005041AC">
              <w:t>922</w:t>
            </w:r>
          </w:p>
        </w:tc>
        <w:tc>
          <w:tcPr>
            <w:tcW w:w="0" w:type="auto"/>
            <w:vAlign w:val="center"/>
            <w:hideMark/>
          </w:tcPr>
          <w:p w14:paraId="335080DA" w14:textId="77777777" w:rsidR="005041AC" w:rsidRPr="005041AC" w:rsidRDefault="005041AC" w:rsidP="005041AC">
            <w:r w:rsidRPr="005041AC">
              <w:t>P–O–C stretching</w:t>
            </w:r>
          </w:p>
        </w:tc>
      </w:tr>
      <w:tr w:rsidR="005041AC" w:rsidRPr="005041AC" w14:paraId="209A9B1A" w14:textId="77777777" w:rsidTr="005041AC">
        <w:trPr>
          <w:tblCellSpacing w:w="15" w:type="dxa"/>
        </w:trPr>
        <w:tc>
          <w:tcPr>
            <w:tcW w:w="0" w:type="auto"/>
            <w:vAlign w:val="center"/>
            <w:hideMark/>
          </w:tcPr>
          <w:p w14:paraId="7249BBA0" w14:textId="77777777" w:rsidR="005041AC" w:rsidRPr="005041AC" w:rsidRDefault="005041AC" w:rsidP="005041AC">
            <w:r w:rsidRPr="005041AC">
              <w:t>1291</w:t>
            </w:r>
          </w:p>
        </w:tc>
        <w:tc>
          <w:tcPr>
            <w:tcW w:w="0" w:type="auto"/>
            <w:vAlign w:val="center"/>
            <w:hideMark/>
          </w:tcPr>
          <w:p w14:paraId="11AFCEBB" w14:textId="77777777" w:rsidR="005041AC" w:rsidRPr="005041AC" w:rsidRDefault="005041AC" w:rsidP="005041AC">
            <w:r w:rsidRPr="005041AC">
              <w:t>O–H deformation</w:t>
            </w:r>
          </w:p>
        </w:tc>
      </w:tr>
      <w:tr w:rsidR="005041AC" w:rsidRPr="005041AC" w14:paraId="5B47F048" w14:textId="77777777" w:rsidTr="005041AC">
        <w:trPr>
          <w:tblCellSpacing w:w="15" w:type="dxa"/>
        </w:trPr>
        <w:tc>
          <w:tcPr>
            <w:tcW w:w="0" w:type="auto"/>
            <w:vAlign w:val="center"/>
            <w:hideMark/>
          </w:tcPr>
          <w:p w14:paraId="663CECA4" w14:textId="77777777" w:rsidR="005041AC" w:rsidRPr="005041AC" w:rsidRDefault="005041AC" w:rsidP="005041AC">
            <w:r w:rsidRPr="005041AC">
              <w:t>3046–3091</w:t>
            </w:r>
          </w:p>
        </w:tc>
        <w:tc>
          <w:tcPr>
            <w:tcW w:w="0" w:type="auto"/>
            <w:vAlign w:val="center"/>
            <w:hideMark/>
          </w:tcPr>
          <w:p w14:paraId="4A4F3242" w14:textId="77777777" w:rsidR="005041AC" w:rsidRPr="005041AC" w:rsidRDefault="005041AC" w:rsidP="005041AC">
            <w:r w:rsidRPr="005041AC">
              <w:t>C–H stretching</w:t>
            </w:r>
          </w:p>
        </w:tc>
      </w:tr>
      <w:tr w:rsidR="005041AC" w:rsidRPr="005041AC" w14:paraId="1DA271BF" w14:textId="77777777" w:rsidTr="005041AC">
        <w:trPr>
          <w:tblCellSpacing w:w="15" w:type="dxa"/>
        </w:trPr>
        <w:tc>
          <w:tcPr>
            <w:tcW w:w="0" w:type="auto"/>
            <w:vAlign w:val="center"/>
            <w:hideMark/>
          </w:tcPr>
          <w:p w14:paraId="71D9DFFB" w14:textId="77777777" w:rsidR="005041AC" w:rsidRPr="005041AC" w:rsidRDefault="005041AC" w:rsidP="005041AC">
            <w:r w:rsidRPr="005041AC">
              <w:lastRenderedPageBreak/>
              <w:t>3712</w:t>
            </w:r>
          </w:p>
        </w:tc>
        <w:tc>
          <w:tcPr>
            <w:tcW w:w="0" w:type="auto"/>
            <w:vAlign w:val="center"/>
            <w:hideMark/>
          </w:tcPr>
          <w:p w14:paraId="4E729A9E" w14:textId="77777777" w:rsidR="005041AC" w:rsidRPr="005041AC" w:rsidRDefault="005041AC" w:rsidP="005041AC">
            <w:r w:rsidRPr="005041AC">
              <w:t>O–H stretching</w:t>
            </w:r>
          </w:p>
        </w:tc>
      </w:tr>
    </w:tbl>
    <w:p w14:paraId="7BF277C3" w14:textId="77777777" w:rsidR="005041AC" w:rsidRPr="005041AC" w:rsidRDefault="005041AC" w:rsidP="005041AC">
      <w:r w:rsidRPr="005041AC">
        <w:t xml:space="preserve">The band near </w:t>
      </w:r>
      <w:r w:rsidRPr="005041AC">
        <w:rPr>
          <w:b/>
          <w:bCs/>
        </w:rPr>
        <w:t>481 cm⁻¹</w:t>
      </w:r>
      <w:r w:rsidRPr="005041AC">
        <w:t xml:space="preserve"> is assigned to O–P–O bending motions within phosphate groups.</w:t>
      </w:r>
    </w:p>
    <w:p w14:paraId="1FE969B4" w14:textId="77777777" w:rsidR="005041AC" w:rsidRPr="005041AC" w:rsidRDefault="005041AC" w:rsidP="005041AC">
      <w:r w:rsidRPr="005041AC">
        <w:t xml:space="preserve">The </w:t>
      </w:r>
      <w:r w:rsidRPr="005041AC">
        <w:rPr>
          <w:b/>
          <w:bCs/>
        </w:rPr>
        <w:t>922 cm⁻¹</w:t>
      </w:r>
      <w:r w:rsidRPr="005041AC">
        <w:t xml:space="preserve"> band arises mainly from P–O–C stretching of phosphate ester linkages.</w:t>
      </w:r>
    </w:p>
    <w:p w14:paraId="5888ED97" w14:textId="77777777" w:rsidR="005041AC" w:rsidRPr="005041AC" w:rsidRDefault="005041AC" w:rsidP="005041AC">
      <w:r w:rsidRPr="005041AC">
        <w:t xml:space="preserve">The band at </w:t>
      </w:r>
      <w:r w:rsidRPr="005041AC">
        <w:rPr>
          <w:b/>
          <w:bCs/>
        </w:rPr>
        <w:t>1291 cm⁻¹</w:t>
      </w:r>
      <w:r w:rsidRPr="005041AC">
        <w:t xml:space="preserve"> corresponds to deformation of hydroxyl groups in the glycerol backbone.</w:t>
      </w:r>
    </w:p>
    <w:p w14:paraId="180F9379" w14:textId="77777777" w:rsidR="005041AC" w:rsidRPr="005041AC" w:rsidRDefault="005041AC" w:rsidP="005041AC">
      <w:r w:rsidRPr="005041AC">
        <w:t xml:space="preserve">In the high-frequency region, the bands at </w:t>
      </w:r>
      <w:r w:rsidRPr="005041AC">
        <w:rPr>
          <w:b/>
          <w:bCs/>
        </w:rPr>
        <w:t>3046–3091 cm⁻¹</w:t>
      </w:r>
      <w:r w:rsidRPr="005041AC">
        <w:t xml:space="preserve"> correspond to C–H stretching vibrations of the glycerol units, while the band near </w:t>
      </w:r>
      <w:r w:rsidRPr="005041AC">
        <w:rPr>
          <w:b/>
          <w:bCs/>
        </w:rPr>
        <w:t>3712 cm⁻¹</w:t>
      </w:r>
      <w:r w:rsidRPr="005041AC">
        <w:t xml:space="preserve"> is attributed to O–H stretching of weakly hydrogen-bonded or free hydroxyl groups.</w:t>
      </w:r>
    </w:p>
    <w:p w14:paraId="289945BA" w14:textId="77777777" w:rsidR="005041AC" w:rsidRPr="005041AC" w:rsidRDefault="005041AC" w:rsidP="005041AC">
      <w:r w:rsidRPr="005041AC">
        <w:t xml:space="preserve">Most characteristic vibrational information appears in the </w:t>
      </w:r>
      <w:r w:rsidRPr="005041AC">
        <w:rPr>
          <w:b/>
          <w:bCs/>
        </w:rPr>
        <w:t>fingerprint region (500–1500 cm⁻¹)</w:t>
      </w:r>
      <w:r w:rsidRPr="005041AC">
        <w:t>, where phosphate and glycerol backbone vibrations dominate the spectrum.</w:t>
      </w:r>
    </w:p>
    <w:p w14:paraId="1B14AFF6" w14:textId="77777777" w:rsidR="005041AC" w:rsidRPr="005041AC" w:rsidRDefault="005041AC" w:rsidP="005041AC">
      <w:r w:rsidRPr="005041AC">
        <w:t>The simulated spectrum is dominated by strong phosphate-related modes in the low- to mid-frequency region and by C–H and O–H stretching bands at higher wavenumbers.</w:t>
      </w:r>
    </w:p>
    <w:p w14:paraId="03AF3D79" w14:textId="081B31C8" w:rsidR="005041AC" w:rsidRPr="005041AC" w:rsidRDefault="005041AC" w:rsidP="005041AC">
      <w:r w:rsidRPr="005041AC">
        <w:t>These features are consistent with expected group frequencies for phosphate esters and polyalcohol backbones reported in the literature.</w:t>
      </w:r>
      <w:r>
        <w:br/>
      </w:r>
      <w:r>
        <w:br/>
      </w:r>
      <w:r>
        <w:br/>
      </w:r>
      <w:r w:rsidR="00285257">
        <w:rPr>
          <w:noProof/>
        </w:rPr>
        <w:drawing>
          <wp:inline distT="0" distB="0" distL="0" distR="0" wp14:anchorId="16518653" wp14:editId="4A3BD205">
            <wp:extent cx="5731510" cy="2831465"/>
            <wp:effectExtent l="0" t="0" r="2540" b="6985"/>
            <wp:docPr id="1447486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86607" name="Picture 14474866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31465"/>
                    </a:xfrm>
                    <a:prstGeom prst="rect">
                      <a:avLst/>
                    </a:prstGeom>
                  </pic:spPr>
                </pic:pic>
              </a:graphicData>
            </a:graphic>
          </wp:inline>
        </w:drawing>
      </w:r>
    </w:p>
    <w:p w14:paraId="74D5FAE9" w14:textId="77777777" w:rsidR="005041AC" w:rsidRPr="005041AC" w:rsidRDefault="005041AC" w:rsidP="005041AC">
      <w:r w:rsidRPr="005041AC">
        <w:rPr>
          <w:b/>
          <w:bCs/>
        </w:rPr>
        <w:t>Figure 3.</w:t>
      </w:r>
      <w:r w:rsidRPr="005041AC">
        <w:t xml:space="preserve"> Simulated Raman spectrum of the glycerol–phosphate fragment obtained from DFT calculations at the B3LYP/6-31G(d) level.</w:t>
      </w:r>
    </w:p>
    <w:p w14:paraId="5007A013" w14:textId="77777777" w:rsidR="005041AC" w:rsidRPr="005041AC" w:rsidRDefault="005041AC" w:rsidP="005041AC">
      <w:r w:rsidRPr="005041AC">
        <w:pict w14:anchorId="6E179225">
          <v:rect id="_x0000_i1112" style="width:0;height:1.5pt" o:hralign="center" o:hrstd="t" o:hr="t" fillcolor="#a0a0a0" stroked="f"/>
        </w:pict>
      </w:r>
    </w:p>
    <w:p w14:paraId="7807D107" w14:textId="035F33E4" w:rsidR="005041AC" w:rsidRPr="005041AC" w:rsidRDefault="005041AC" w:rsidP="005041AC">
      <w:pPr>
        <w:rPr>
          <w:b/>
          <w:bCs/>
        </w:rPr>
      </w:pPr>
      <w:r w:rsidRPr="005041AC">
        <w:rPr>
          <w:b/>
          <w:bCs/>
        </w:rPr>
        <w:t>1</w:t>
      </w:r>
      <w:r>
        <w:rPr>
          <w:b/>
          <w:bCs/>
        </w:rPr>
        <w:t>0</w:t>
      </w:r>
      <w:r w:rsidRPr="005041AC">
        <w:rPr>
          <w:b/>
          <w:bCs/>
        </w:rPr>
        <w:t>. Limitations</w:t>
      </w:r>
    </w:p>
    <w:p w14:paraId="5EEAFFE3" w14:textId="77777777" w:rsidR="005041AC" w:rsidRPr="005041AC" w:rsidRDefault="005041AC" w:rsidP="005041AC">
      <w:r w:rsidRPr="005041AC">
        <w:t xml:space="preserve">The present model represents only a </w:t>
      </w:r>
      <w:r w:rsidRPr="005041AC">
        <w:rPr>
          <w:b/>
          <w:bCs/>
        </w:rPr>
        <w:t>small fragment of the full lipoteichoic acid polymer</w:t>
      </w:r>
      <w:r w:rsidRPr="005041AC">
        <w:t xml:space="preserve"> and does not include lipid anchors or substituent groups.</w:t>
      </w:r>
    </w:p>
    <w:p w14:paraId="78679B87" w14:textId="77777777" w:rsidR="005041AC" w:rsidRPr="005041AC" w:rsidRDefault="005041AC" w:rsidP="005041AC">
      <w:r w:rsidRPr="005041AC">
        <w:t xml:space="preserve">Therefore, the calculated spectrum primarily captures </w:t>
      </w:r>
      <w:r w:rsidRPr="005041AC">
        <w:rPr>
          <w:b/>
          <w:bCs/>
        </w:rPr>
        <w:t>backbone vibrational features</w:t>
      </w:r>
      <w:r w:rsidRPr="005041AC">
        <w:t xml:space="preserve"> rather than the full complexity of native LTA.</w:t>
      </w:r>
    </w:p>
    <w:p w14:paraId="0D066EDA" w14:textId="77777777" w:rsidR="005041AC" w:rsidRPr="005041AC" w:rsidRDefault="005041AC" w:rsidP="005041AC">
      <w:r w:rsidRPr="005041AC">
        <w:lastRenderedPageBreak/>
        <w:pict w14:anchorId="74EFA235">
          <v:rect id="_x0000_i1114" style="width:0;height:1.5pt" o:hralign="center" o:hrstd="t" o:hr="t" fillcolor="#a0a0a0" stroked="f"/>
        </w:pict>
      </w:r>
    </w:p>
    <w:p w14:paraId="5ACA563B" w14:textId="698AC940" w:rsidR="005041AC" w:rsidRPr="005041AC" w:rsidRDefault="005041AC" w:rsidP="005041AC">
      <w:pPr>
        <w:rPr>
          <w:b/>
          <w:bCs/>
        </w:rPr>
      </w:pPr>
      <w:r w:rsidRPr="005041AC">
        <w:rPr>
          <w:b/>
          <w:bCs/>
        </w:rPr>
        <w:t>1</w:t>
      </w:r>
      <w:r>
        <w:rPr>
          <w:b/>
          <w:bCs/>
        </w:rPr>
        <w:t>1</w:t>
      </w:r>
      <w:r w:rsidRPr="005041AC">
        <w:rPr>
          <w:b/>
          <w:bCs/>
        </w:rPr>
        <w:t>. References</w:t>
      </w:r>
    </w:p>
    <w:p w14:paraId="1F5AEDDA" w14:textId="77777777" w:rsidR="005041AC" w:rsidRPr="005041AC" w:rsidRDefault="005041AC" w:rsidP="005041AC">
      <w:r w:rsidRPr="005041AC">
        <w:t xml:space="preserve">Neuhaus, F. C., &amp; </w:t>
      </w:r>
      <w:proofErr w:type="spellStart"/>
      <w:r w:rsidRPr="005041AC">
        <w:t>Baddiley</w:t>
      </w:r>
      <w:proofErr w:type="spellEnd"/>
      <w:r w:rsidRPr="005041AC">
        <w:t>, J. (2003).</w:t>
      </w:r>
      <w:r w:rsidRPr="005041AC">
        <w:br/>
        <w:t>A continuum of anionic charge: structures and functions of D-alanyl-teichoic acids in Gram-positive bacteria.</w:t>
      </w:r>
      <w:r w:rsidRPr="005041AC">
        <w:br/>
      </w:r>
      <w:r w:rsidRPr="005041AC">
        <w:rPr>
          <w:b/>
          <w:bCs/>
        </w:rPr>
        <w:t>Microbiology and Molecular Biology Reviews</w:t>
      </w:r>
      <w:r w:rsidRPr="005041AC">
        <w:t>, 67(4), 686–723.</w:t>
      </w:r>
    </w:p>
    <w:p w14:paraId="7E63848E" w14:textId="77777777" w:rsidR="005041AC" w:rsidRPr="005041AC" w:rsidRDefault="005041AC" w:rsidP="005041AC">
      <w:r w:rsidRPr="005041AC">
        <w:t>Percival, M. D., &amp; Chalmers, I. M. (1970).</w:t>
      </w:r>
      <w:r w:rsidRPr="005041AC">
        <w:br/>
        <w:t>The chemistry of lipoteichoic acids.</w:t>
      </w:r>
      <w:r w:rsidRPr="005041AC">
        <w:br/>
      </w:r>
      <w:r w:rsidRPr="005041AC">
        <w:rPr>
          <w:b/>
          <w:bCs/>
        </w:rPr>
        <w:t>Biochemical Journal</w:t>
      </w:r>
      <w:r w:rsidRPr="005041AC">
        <w:t>, 117, 29–35.</w:t>
      </w:r>
    </w:p>
    <w:p w14:paraId="4AE13CE9" w14:textId="77777777" w:rsidR="005041AC" w:rsidRPr="005041AC" w:rsidRDefault="005041AC" w:rsidP="005041AC">
      <w:r w:rsidRPr="005041AC">
        <w:t>Socrates, G. (2001).</w:t>
      </w:r>
      <w:r w:rsidRPr="005041AC">
        <w:br/>
      </w:r>
      <w:r w:rsidRPr="005041AC">
        <w:rPr>
          <w:b/>
          <w:bCs/>
        </w:rPr>
        <w:t>Infrared and Raman Characteristic Group Frequencies: Tables and Charts.</w:t>
      </w:r>
      <w:r w:rsidRPr="005041AC">
        <w:br/>
        <w:t>John Wiley &amp; Sons.</w:t>
      </w:r>
    </w:p>
    <w:p w14:paraId="2C2640D9" w14:textId="77777777" w:rsidR="001230B2" w:rsidRDefault="001230B2"/>
    <w:sectPr w:rsidR="00123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56611"/>
    <w:multiLevelType w:val="multilevel"/>
    <w:tmpl w:val="CED8B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4205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1AC"/>
    <w:rsid w:val="001230B2"/>
    <w:rsid w:val="00285257"/>
    <w:rsid w:val="002D0D92"/>
    <w:rsid w:val="005041AC"/>
    <w:rsid w:val="00567F6D"/>
    <w:rsid w:val="00667CDB"/>
    <w:rsid w:val="008932FB"/>
    <w:rsid w:val="00A952A4"/>
    <w:rsid w:val="00AE2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3299B"/>
  <w15:chartTrackingRefBased/>
  <w15:docId w15:val="{A64699B9-5796-4BF6-B2A8-4633BD1A4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1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1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1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1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1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1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1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1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1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1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1AC"/>
    <w:rPr>
      <w:rFonts w:eastAsiaTheme="majorEastAsia" w:cstheme="majorBidi"/>
      <w:color w:val="272727" w:themeColor="text1" w:themeTint="D8"/>
    </w:rPr>
  </w:style>
  <w:style w:type="paragraph" w:styleId="Title">
    <w:name w:val="Title"/>
    <w:basedOn w:val="Normal"/>
    <w:next w:val="Normal"/>
    <w:link w:val="TitleChar"/>
    <w:uiPriority w:val="10"/>
    <w:qFormat/>
    <w:rsid w:val="00504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1AC"/>
    <w:pPr>
      <w:spacing w:before="160"/>
      <w:jc w:val="center"/>
    </w:pPr>
    <w:rPr>
      <w:i/>
      <w:iCs/>
      <w:color w:val="404040" w:themeColor="text1" w:themeTint="BF"/>
    </w:rPr>
  </w:style>
  <w:style w:type="character" w:customStyle="1" w:styleId="QuoteChar">
    <w:name w:val="Quote Char"/>
    <w:basedOn w:val="DefaultParagraphFont"/>
    <w:link w:val="Quote"/>
    <w:uiPriority w:val="29"/>
    <w:rsid w:val="005041AC"/>
    <w:rPr>
      <w:i/>
      <w:iCs/>
      <w:color w:val="404040" w:themeColor="text1" w:themeTint="BF"/>
    </w:rPr>
  </w:style>
  <w:style w:type="paragraph" w:styleId="ListParagraph">
    <w:name w:val="List Paragraph"/>
    <w:basedOn w:val="Normal"/>
    <w:uiPriority w:val="34"/>
    <w:qFormat/>
    <w:rsid w:val="005041AC"/>
    <w:pPr>
      <w:ind w:left="720"/>
      <w:contextualSpacing/>
    </w:pPr>
  </w:style>
  <w:style w:type="character" w:styleId="IntenseEmphasis">
    <w:name w:val="Intense Emphasis"/>
    <w:basedOn w:val="DefaultParagraphFont"/>
    <w:uiPriority w:val="21"/>
    <w:qFormat/>
    <w:rsid w:val="005041AC"/>
    <w:rPr>
      <w:i/>
      <w:iCs/>
      <w:color w:val="2F5496" w:themeColor="accent1" w:themeShade="BF"/>
    </w:rPr>
  </w:style>
  <w:style w:type="paragraph" w:styleId="IntenseQuote">
    <w:name w:val="Intense Quote"/>
    <w:basedOn w:val="Normal"/>
    <w:next w:val="Normal"/>
    <w:link w:val="IntenseQuoteChar"/>
    <w:uiPriority w:val="30"/>
    <w:qFormat/>
    <w:rsid w:val="005041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1AC"/>
    <w:rPr>
      <w:i/>
      <w:iCs/>
      <w:color w:val="2F5496" w:themeColor="accent1" w:themeShade="BF"/>
    </w:rPr>
  </w:style>
  <w:style w:type="character" w:styleId="IntenseReference">
    <w:name w:val="Intense Reference"/>
    <w:basedOn w:val="DefaultParagraphFont"/>
    <w:uiPriority w:val="32"/>
    <w:qFormat/>
    <w:rsid w:val="005041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2884</TotalTime>
  <Pages>1</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3</cp:revision>
  <dcterms:created xsi:type="dcterms:W3CDTF">2026-03-09T08:59:00Z</dcterms:created>
  <dcterms:modified xsi:type="dcterms:W3CDTF">2026-03-11T10:11:00Z</dcterms:modified>
</cp:coreProperties>
</file>