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47A6A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Comparative Analysis of Experimental, Literature DFT, and Present DFT Raman Frequencies of Rhodamine B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Below is a systematic comparison of three datasets:</w:t>
      </w:r>
    </w:p>
    <w:p w14:paraId="683D6B7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Experimental Raman peaks (reported in literature)</w:t>
      </w:r>
    </w:p>
    <w:p w14:paraId="2AD476C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DFT values from Shuang Lin et al. (Gaussian 09, B3LYP/6-31G)</w:t>
      </w:r>
    </w:p>
    <w:p w14:paraId="61EF2BF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Our DFT values (Gaussian 16, B3LYP/6-31G(d))</w:t>
      </w:r>
    </w:p>
    <w:p w14:paraId="3AF0F8B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Reference: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Shuang Lin et al., </w:t>
      </w:r>
      <w:r>
        <w:rPr>
          <w:rStyle w:val="6"/>
          <w:rFonts w:hint="default" w:ascii="Times New Roman" w:hAnsi="Times New Roman" w:cs="Times New Roman"/>
        </w:rPr>
        <w:t>Rapid and sensitive SERS method for determination of Rhodamine B in chili powder with paper-based substrates</w:t>
      </w:r>
      <w:r>
        <w:rPr>
          <w:rFonts w:hint="default" w:ascii="Times New Roman" w:hAnsi="Times New Roman" w:cs="Times New Roman"/>
        </w:rPr>
        <w:t>, RSC Advances.</w:t>
      </w:r>
    </w:p>
    <w:p w14:paraId="2D72F5E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941C8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Method Comparison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5"/>
        <w:gridCol w:w="1240"/>
        <w:gridCol w:w="1167"/>
        <w:gridCol w:w="989"/>
      </w:tblGrid>
      <w:tr w14:paraId="080874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0623B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Study</w:t>
            </w:r>
          </w:p>
        </w:tc>
        <w:tc>
          <w:tcPr>
            <w:tcW w:w="0" w:type="auto"/>
            <w:shd w:val="clear"/>
            <w:vAlign w:val="center"/>
          </w:tcPr>
          <w:p w14:paraId="332234E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Software</w:t>
            </w:r>
          </w:p>
        </w:tc>
        <w:tc>
          <w:tcPr>
            <w:tcW w:w="0" w:type="auto"/>
            <w:shd w:val="clear"/>
            <w:vAlign w:val="center"/>
          </w:tcPr>
          <w:p w14:paraId="5838FC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Functional</w:t>
            </w:r>
          </w:p>
        </w:tc>
        <w:tc>
          <w:tcPr>
            <w:tcW w:w="0" w:type="auto"/>
            <w:shd w:val="clear"/>
            <w:vAlign w:val="center"/>
          </w:tcPr>
          <w:p w14:paraId="68932B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Basis Set</w:t>
            </w:r>
          </w:p>
        </w:tc>
      </w:tr>
      <w:tr w14:paraId="5E3C1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09E2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Literature DFT</w:t>
            </w:r>
          </w:p>
        </w:tc>
        <w:tc>
          <w:tcPr>
            <w:tcW w:w="0" w:type="auto"/>
            <w:shd w:val="clear"/>
            <w:vAlign w:val="center"/>
          </w:tcPr>
          <w:p w14:paraId="321064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Gaussian 09</w:t>
            </w:r>
          </w:p>
        </w:tc>
        <w:tc>
          <w:tcPr>
            <w:tcW w:w="0" w:type="auto"/>
            <w:shd w:val="clear"/>
            <w:vAlign w:val="center"/>
          </w:tcPr>
          <w:p w14:paraId="5BFB3A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B3LYP</w:t>
            </w:r>
          </w:p>
        </w:tc>
        <w:tc>
          <w:tcPr>
            <w:tcW w:w="0" w:type="auto"/>
            <w:shd w:val="clear"/>
            <w:vAlign w:val="center"/>
          </w:tcPr>
          <w:p w14:paraId="2D8D01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6-31G</w:t>
            </w:r>
          </w:p>
        </w:tc>
      </w:tr>
      <w:tr w14:paraId="05856F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3824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Present Work</w:t>
            </w:r>
          </w:p>
        </w:tc>
        <w:tc>
          <w:tcPr>
            <w:tcW w:w="0" w:type="auto"/>
            <w:shd w:val="clear"/>
            <w:vAlign w:val="center"/>
          </w:tcPr>
          <w:p w14:paraId="37FC64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Gaussian 16</w:t>
            </w:r>
          </w:p>
        </w:tc>
        <w:tc>
          <w:tcPr>
            <w:tcW w:w="0" w:type="auto"/>
            <w:shd w:val="clear"/>
            <w:vAlign w:val="center"/>
          </w:tcPr>
          <w:p w14:paraId="6BBB9C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B3LYP</w:t>
            </w:r>
          </w:p>
        </w:tc>
        <w:tc>
          <w:tcPr>
            <w:tcW w:w="0" w:type="auto"/>
            <w:shd w:val="clear"/>
            <w:vAlign w:val="center"/>
          </w:tcPr>
          <w:p w14:paraId="07D74C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6-31G(d)</w:t>
            </w:r>
          </w:p>
        </w:tc>
      </w:tr>
    </w:tbl>
    <w:p w14:paraId="22AC928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only methodological difference is the inclusion of polarization functions (d) in our basis set.</w:t>
      </w:r>
    </w:p>
    <w:p w14:paraId="24F7F8D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D14D2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Direct Peak Comparison (All Three Values)</w:t>
      </w:r>
    </w:p>
    <w:p w14:paraId="3CB8EF8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(A) Xanthene Ring Puckering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5"/>
        <w:gridCol w:w="1667"/>
        <w:gridCol w:w="1027"/>
        <w:gridCol w:w="1027"/>
        <w:gridCol w:w="1162"/>
      </w:tblGrid>
      <w:tr w14:paraId="472CDE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03C90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Experimental</w:t>
            </w:r>
          </w:p>
        </w:tc>
        <w:tc>
          <w:tcPr>
            <w:tcW w:w="0" w:type="auto"/>
            <w:shd w:val="clear"/>
            <w:vAlign w:val="center"/>
          </w:tcPr>
          <w:p w14:paraId="1511EAE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Literature DFT</w:t>
            </w:r>
          </w:p>
        </w:tc>
        <w:tc>
          <w:tcPr>
            <w:tcW w:w="0" w:type="auto"/>
            <w:shd w:val="clear"/>
            <w:vAlign w:val="center"/>
          </w:tcPr>
          <w:p w14:paraId="42E6A3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Our DFT</w:t>
            </w:r>
          </w:p>
        </w:tc>
        <w:tc>
          <w:tcPr>
            <w:tcW w:w="0" w:type="auto"/>
            <w:shd w:val="clear"/>
            <w:vAlign w:val="center"/>
          </w:tcPr>
          <w:p w14:paraId="6CFC39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Lit Error</w:t>
            </w:r>
          </w:p>
        </w:tc>
        <w:tc>
          <w:tcPr>
            <w:tcW w:w="0" w:type="auto"/>
            <w:shd w:val="clear"/>
            <w:vAlign w:val="center"/>
          </w:tcPr>
          <w:p w14:paraId="5BD2242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Our Error</w:t>
            </w:r>
          </w:p>
        </w:tc>
      </w:tr>
      <w:tr w14:paraId="22090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9B67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619</w:t>
            </w:r>
          </w:p>
        </w:tc>
        <w:tc>
          <w:tcPr>
            <w:tcW w:w="0" w:type="auto"/>
            <w:shd w:val="clear"/>
            <w:vAlign w:val="center"/>
          </w:tcPr>
          <w:p w14:paraId="5351ED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613</w:t>
            </w:r>
          </w:p>
        </w:tc>
        <w:tc>
          <w:tcPr>
            <w:tcW w:w="0" w:type="auto"/>
            <w:shd w:val="clear"/>
            <w:vAlign w:val="center"/>
          </w:tcPr>
          <w:p w14:paraId="4ACDCC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608.64</w:t>
            </w:r>
          </w:p>
        </w:tc>
        <w:tc>
          <w:tcPr>
            <w:tcW w:w="0" w:type="auto"/>
            <w:shd w:val="clear"/>
            <w:vAlign w:val="center"/>
          </w:tcPr>
          <w:p w14:paraId="689215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5ADB8F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10.36</w:t>
            </w:r>
          </w:p>
        </w:tc>
      </w:tr>
    </w:tbl>
    <w:p w14:paraId="4249F41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Observation: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Literature DFT is closer by ~4 cm⁻¹, but our value remains within acceptable DFT error.</w:t>
      </w:r>
    </w:p>
    <w:p w14:paraId="149F786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62390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(B) Aromatic C–C Bridge Stretch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5"/>
        <w:gridCol w:w="1667"/>
        <w:gridCol w:w="1027"/>
        <w:gridCol w:w="1027"/>
        <w:gridCol w:w="1162"/>
      </w:tblGrid>
      <w:tr w14:paraId="35E62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4399D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Experimental</w:t>
            </w:r>
          </w:p>
        </w:tc>
        <w:tc>
          <w:tcPr>
            <w:tcW w:w="0" w:type="auto"/>
            <w:shd w:val="clear"/>
            <w:vAlign w:val="center"/>
          </w:tcPr>
          <w:p w14:paraId="1C0D93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Literature DFT</w:t>
            </w:r>
          </w:p>
        </w:tc>
        <w:tc>
          <w:tcPr>
            <w:tcW w:w="0" w:type="auto"/>
            <w:shd w:val="clear"/>
            <w:vAlign w:val="center"/>
          </w:tcPr>
          <w:p w14:paraId="6B7DB1D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Our DFT</w:t>
            </w:r>
          </w:p>
        </w:tc>
        <w:tc>
          <w:tcPr>
            <w:tcW w:w="0" w:type="auto"/>
            <w:shd w:val="clear"/>
            <w:vAlign w:val="center"/>
          </w:tcPr>
          <w:p w14:paraId="775734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Lit Error</w:t>
            </w:r>
          </w:p>
        </w:tc>
        <w:tc>
          <w:tcPr>
            <w:tcW w:w="0" w:type="auto"/>
            <w:shd w:val="clear"/>
            <w:vAlign w:val="center"/>
          </w:tcPr>
          <w:p w14:paraId="7E770F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Our Error</w:t>
            </w:r>
          </w:p>
        </w:tc>
      </w:tr>
      <w:tr w14:paraId="4F7A44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1BA4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1193</w:t>
            </w:r>
          </w:p>
        </w:tc>
        <w:tc>
          <w:tcPr>
            <w:tcW w:w="0" w:type="auto"/>
            <w:shd w:val="clear"/>
            <w:vAlign w:val="center"/>
          </w:tcPr>
          <w:p w14:paraId="0A1BE1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1195</w:t>
            </w:r>
          </w:p>
        </w:tc>
        <w:tc>
          <w:tcPr>
            <w:tcW w:w="0" w:type="auto"/>
            <w:shd w:val="clear"/>
            <w:vAlign w:val="center"/>
          </w:tcPr>
          <w:p w14:paraId="21F097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1196.16</w:t>
            </w:r>
          </w:p>
        </w:tc>
        <w:tc>
          <w:tcPr>
            <w:tcW w:w="0" w:type="auto"/>
            <w:shd w:val="clear"/>
            <w:vAlign w:val="center"/>
          </w:tcPr>
          <w:p w14:paraId="2F22CA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088BB1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3.16</w:t>
            </w:r>
          </w:p>
        </w:tc>
      </w:tr>
    </w:tbl>
    <w:p w14:paraId="64D190D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Observation: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Both calculations show excellent agreement.</w:t>
      </w:r>
    </w:p>
    <w:p w14:paraId="7DF856D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6D10C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(C) C–H Bending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5"/>
        <w:gridCol w:w="1667"/>
        <w:gridCol w:w="1027"/>
        <w:gridCol w:w="1027"/>
        <w:gridCol w:w="1162"/>
      </w:tblGrid>
      <w:tr w14:paraId="5FC93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64401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Experimental</w:t>
            </w:r>
          </w:p>
        </w:tc>
        <w:tc>
          <w:tcPr>
            <w:tcW w:w="0" w:type="auto"/>
            <w:shd w:val="clear"/>
            <w:vAlign w:val="center"/>
          </w:tcPr>
          <w:p w14:paraId="79DF30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Literature DFT</w:t>
            </w:r>
          </w:p>
        </w:tc>
        <w:tc>
          <w:tcPr>
            <w:tcW w:w="0" w:type="auto"/>
            <w:shd w:val="clear"/>
            <w:vAlign w:val="center"/>
          </w:tcPr>
          <w:p w14:paraId="6C00F1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Our DFT</w:t>
            </w:r>
          </w:p>
        </w:tc>
        <w:tc>
          <w:tcPr>
            <w:tcW w:w="0" w:type="auto"/>
            <w:shd w:val="clear"/>
            <w:vAlign w:val="center"/>
          </w:tcPr>
          <w:p w14:paraId="3B2FF6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Lit Error</w:t>
            </w:r>
          </w:p>
        </w:tc>
        <w:tc>
          <w:tcPr>
            <w:tcW w:w="0" w:type="auto"/>
            <w:shd w:val="clear"/>
            <w:vAlign w:val="center"/>
          </w:tcPr>
          <w:p w14:paraId="5553B0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Our Error</w:t>
            </w:r>
          </w:p>
        </w:tc>
      </w:tr>
      <w:tr w14:paraId="6C97B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4161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1275</w:t>
            </w:r>
          </w:p>
        </w:tc>
        <w:tc>
          <w:tcPr>
            <w:tcW w:w="0" w:type="auto"/>
            <w:shd w:val="clear"/>
            <w:vAlign w:val="center"/>
          </w:tcPr>
          <w:p w14:paraId="65154C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1278</w:t>
            </w:r>
          </w:p>
        </w:tc>
        <w:tc>
          <w:tcPr>
            <w:tcW w:w="0" w:type="auto"/>
            <w:shd w:val="clear"/>
            <w:vAlign w:val="center"/>
          </w:tcPr>
          <w:p w14:paraId="5480E8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1273.92</w:t>
            </w:r>
          </w:p>
        </w:tc>
        <w:tc>
          <w:tcPr>
            <w:tcW w:w="0" w:type="auto"/>
            <w:shd w:val="clear"/>
            <w:vAlign w:val="center"/>
          </w:tcPr>
          <w:p w14:paraId="7DD3EB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1AD4CD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1.08</w:t>
            </w:r>
          </w:p>
        </w:tc>
      </w:tr>
    </w:tbl>
    <w:p w14:paraId="1248B44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Observation: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Our result is closer to experiment.</w:t>
      </w:r>
    </w:p>
    <w:p w14:paraId="46613B6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B0CB8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(D) Aromatic C–C Bending (~1355 region)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5"/>
        <w:gridCol w:w="1667"/>
        <w:gridCol w:w="1807"/>
        <w:gridCol w:w="1027"/>
        <w:gridCol w:w="1162"/>
      </w:tblGrid>
      <w:tr w14:paraId="4E0F6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832C8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Experimental</w:t>
            </w:r>
          </w:p>
        </w:tc>
        <w:tc>
          <w:tcPr>
            <w:tcW w:w="0" w:type="auto"/>
            <w:shd w:val="clear"/>
            <w:vAlign w:val="center"/>
          </w:tcPr>
          <w:p w14:paraId="5077B0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Literature DFT</w:t>
            </w:r>
          </w:p>
        </w:tc>
        <w:tc>
          <w:tcPr>
            <w:tcW w:w="0" w:type="auto"/>
            <w:shd w:val="clear"/>
            <w:vAlign w:val="center"/>
          </w:tcPr>
          <w:p w14:paraId="5D1815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Our DFT</w:t>
            </w:r>
          </w:p>
        </w:tc>
        <w:tc>
          <w:tcPr>
            <w:tcW w:w="0" w:type="auto"/>
            <w:shd w:val="clear"/>
            <w:vAlign w:val="center"/>
          </w:tcPr>
          <w:p w14:paraId="10AC9F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Lit Error</w:t>
            </w:r>
          </w:p>
        </w:tc>
        <w:tc>
          <w:tcPr>
            <w:tcW w:w="0" w:type="auto"/>
            <w:shd w:val="clear"/>
            <w:vAlign w:val="center"/>
          </w:tcPr>
          <w:p w14:paraId="2A3450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Our Error</w:t>
            </w:r>
          </w:p>
        </w:tc>
      </w:tr>
      <w:tr w14:paraId="773E2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49AB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1354–1355</w:t>
            </w:r>
          </w:p>
        </w:tc>
        <w:tc>
          <w:tcPr>
            <w:tcW w:w="0" w:type="auto"/>
            <w:shd w:val="clear"/>
            <w:vAlign w:val="center"/>
          </w:tcPr>
          <w:p w14:paraId="48B059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1355</w:t>
            </w:r>
          </w:p>
        </w:tc>
        <w:tc>
          <w:tcPr>
            <w:tcW w:w="0" w:type="auto"/>
            <w:shd w:val="clear"/>
            <w:vAlign w:val="center"/>
          </w:tcPr>
          <w:p w14:paraId="5490BE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1334.40 / 1386.24</w:t>
            </w:r>
          </w:p>
        </w:tc>
        <w:tc>
          <w:tcPr>
            <w:tcW w:w="0" w:type="auto"/>
            <w:shd w:val="clear"/>
            <w:vAlign w:val="center"/>
          </w:tcPr>
          <w:p w14:paraId="177D45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~1</w:t>
            </w:r>
          </w:p>
        </w:tc>
        <w:tc>
          <w:tcPr>
            <w:tcW w:w="0" w:type="auto"/>
            <w:shd w:val="clear"/>
            <w:vAlign w:val="center"/>
          </w:tcPr>
          <w:p w14:paraId="48802A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~19–32</w:t>
            </w:r>
          </w:p>
        </w:tc>
      </w:tr>
    </w:tbl>
    <w:p w14:paraId="6950BBA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Observation: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Literature DFT reproduces this band more precisely.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Our calculation shows mode splitting in this vibrational region.</w:t>
      </w:r>
    </w:p>
    <w:p w14:paraId="5552100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21121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(E) Aromatic C–H Bending (1504–1523 region)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5"/>
        <w:gridCol w:w="1667"/>
        <w:gridCol w:w="1807"/>
        <w:gridCol w:w="1027"/>
        <w:gridCol w:w="1162"/>
      </w:tblGrid>
      <w:tr w14:paraId="5FEFC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5E23C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Experimental</w:t>
            </w:r>
          </w:p>
        </w:tc>
        <w:tc>
          <w:tcPr>
            <w:tcW w:w="0" w:type="auto"/>
            <w:shd w:val="clear"/>
            <w:vAlign w:val="center"/>
          </w:tcPr>
          <w:p w14:paraId="174047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Literature DFT</w:t>
            </w:r>
          </w:p>
        </w:tc>
        <w:tc>
          <w:tcPr>
            <w:tcW w:w="0" w:type="auto"/>
            <w:shd w:val="clear"/>
            <w:vAlign w:val="center"/>
          </w:tcPr>
          <w:p w14:paraId="2E9D1D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Our DFT</w:t>
            </w:r>
          </w:p>
        </w:tc>
        <w:tc>
          <w:tcPr>
            <w:tcW w:w="0" w:type="auto"/>
            <w:shd w:val="clear"/>
            <w:vAlign w:val="center"/>
          </w:tcPr>
          <w:p w14:paraId="4BE9F9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Lit Error</w:t>
            </w:r>
          </w:p>
        </w:tc>
        <w:tc>
          <w:tcPr>
            <w:tcW w:w="0" w:type="auto"/>
            <w:shd w:val="clear"/>
            <w:vAlign w:val="center"/>
          </w:tcPr>
          <w:p w14:paraId="74062B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Our Error</w:t>
            </w:r>
          </w:p>
        </w:tc>
      </w:tr>
      <w:tr w14:paraId="675C3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3CB0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1504 / 1523</w:t>
            </w:r>
          </w:p>
        </w:tc>
        <w:tc>
          <w:tcPr>
            <w:tcW w:w="0" w:type="auto"/>
            <w:shd w:val="clear"/>
            <w:vAlign w:val="center"/>
          </w:tcPr>
          <w:p w14:paraId="15124C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1504 / 1525</w:t>
            </w:r>
          </w:p>
        </w:tc>
        <w:tc>
          <w:tcPr>
            <w:tcW w:w="0" w:type="auto"/>
            <w:shd w:val="clear"/>
            <w:vAlign w:val="center"/>
          </w:tcPr>
          <w:p w14:paraId="362EB9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1489.92 / 1533.12</w:t>
            </w:r>
          </w:p>
        </w:tc>
        <w:tc>
          <w:tcPr>
            <w:tcW w:w="0" w:type="auto"/>
            <w:shd w:val="clear"/>
            <w:vAlign w:val="center"/>
          </w:tcPr>
          <w:p w14:paraId="1562CC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0–2</w:t>
            </w:r>
          </w:p>
        </w:tc>
        <w:tc>
          <w:tcPr>
            <w:tcW w:w="0" w:type="auto"/>
            <w:shd w:val="clear"/>
            <w:vAlign w:val="center"/>
          </w:tcPr>
          <w:p w14:paraId="2EA7E6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10–14</w:t>
            </w:r>
          </w:p>
        </w:tc>
      </w:tr>
    </w:tbl>
    <w:p w14:paraId="5F24853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Observation: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Literature values slightly closer; however, our deviations remain within normal DFT limits.</w:t>
      </w:r>
    </w:p>
    <w:p w14:paraId="44273CB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8C43B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(F) C=C Stretch + Aromatic C–C Bending (~1642 region)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5"/>
        <w:gridCol w:w="1667"/>
        <w:gridCol w:w="1027"/>
        <w:gridCol w:w="1027"/>
        <w:gridCol w:w="1162"/>
      </w:tblGrid>
      <w:tr w14:paraId="3D4CC9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DF5B4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Experimental</w:t>
            </w:r>
          </w:p>
        </w:tc>
        <w:tc>
          <w:tcPr>
            <w:tcW w:w="0" w:type="auto"/>
            <w:shd w:val="clear"/>
            <w:vAlign w:val="center"/>
          </w:tcPr>
          <w:p w14:paraId="45F88F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Literature DFT</w:t>
            </w:r>
          </w:p>
        </w:tc>
        <w:tc>
          <w:tcPr>
            <w:tcW w:w="0" w:type="auto"/>
            <w:shd w:val="clear"/>
            <w:vAlign w:val="center"/>
          </w:tcPr>
          <w:p w14:paraId="59E7C5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Our DFT</w:t>
            </w:r>
          </w:p>
        </w:tc>
        <w:tc>
          <w:tcPr>
            <w:tcW w:w="0" w:type="auto"/>
            <w:shd w:val="clear"/>
            <w:vAlign w:val="center"/>
          </w:tcPr>
          <w:p w14:paraId="263FE7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Lit Error</w:t>
            </w:r>
          </w:p>
        </w:tc>
        <w:tc>
          <w:tcPr>
            <w:tcW w:w="0" w:type="auto"/>
            <w:shd w:val="clear"/>
            <w:vAlign w:val="center"/>
          </w:tcPr>
          <w:p w14:paraId="2C6464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Our Error</w:t>
            </w:r>
          </w:p>
        </w:tc>
      </w:tr>
      <w:tr w14:paraId="5EC51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4729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1642</w:t>
            </w:r>
          </w:p>
        </w:tc>
        <w:tc>
          <w:tcPr>
            <w:tcW w:w="0" w:type="auto"/>
            <w:shd w:val="clear"/>
            <w:vAlign w:val="center"/>
          </w:tcPr>
          <w:p w14:paraId="743E23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1644</w:t>
            </w:r>
          </w:p>
        </w:tc>
        <w:tc>
          <w:tcPr>
            <w:tcW w:w="0" w:type="auto"/>
            <w:shd w:val="clear"/>
            <w:vAlign w:val="center"/>
          </w:tcPr>
          <w:p w14:paraId="1F8A69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1636.80</w:t>
            </w:r>
          </w:p>
        </w:tc>
        <w:tc>
          <w:tcPr>
            <w:tcW w:w="0" w:type="auto"/>
            <w:shd w:val="clear"/>
            <w:vAlign w:val="center"/>
          </w:tcPr>
          <w:p w14:paraId="176BC4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3876FD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5.20</w:t>
            </w:r>
          </w:p>
        </w:tc>
      </w:tr>
    </w:tbl>
    <w:p w14:paraId="7929F43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Observation: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Both methods reproduce the key SERS marker band accurately.</w:t>
      </w:r>
    </w:p>
    <w:p w14:paraId="523755B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82461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Mean Absolute Deviation (MAD)</w:t>
      </w:r>
    </w:p>
    <w:p w14:paraId="0D90602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Approximate MAD values:</w:t>
      </w:r>
    </w:p>
    <w:p w14:paraId="7943E45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Literature DFT (B3LYP/6-31G):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≈ 2–4 cm⁻¹</w:t>
      </w:r>
    </w:p>
    <w:p w14:paraId="0955396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Present Work (B3LYP/6-31G(d)):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≈ 6–10 cm⁻¹</w:t>
      </w:r>
    </w:p>
    <w:p w14:paraId="6380587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Both fall within acceptable harmonic DFT accuracy limits.</w:t>
      </w:r>
    </w:p>
    <w:p w14:paraId="7BDAC8C2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drawing>
          <wp:inline distT="0" distB="0" distL="114300" distR="114300">
            <wp:extent cx="6419850" cy="2571750"/>
            <wp:effectExtent l="0" t="0" r="0" b="0"/>
            <wp:docPr id="1" name="Picture 1" descr="RHODAMINEBFREQ_raman_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RHODAMINEBFREQ_raman_ac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IN"/>
        </w:rPr>
        <w:br w:type="textWrapping"/>
      </w:r>
      <w:r>
        <w:rPr>
          <w:rFonts w:hint="default" w:ascii="Times New Roman" w:hAnsi="Times New Roman" w:cs="Times New Roman"/>
          <w:lang w:val="en-IN"/>
        </w:rPr>
        <w:br w:type="textWrapping"/>
      </w:r>
    </w:p>
    <w:p w14:paraId="0270C192">
      <w:pPr>
        <w:rPr>
          <w:rFonts w:hint="default" w:ascii="Times New Roman" w:hAnsi="Times New Roman" w:cs="Times New Roman"/>
          <w:lang w:val="en-IN"/>
        </w:rPr>
      </w:pPr>
    </w:p>
    <w:p w14:paraId="058A48E5">
      <w:pPr>
        <w:rPr>
          <w:rFonts w:hint="default" w:ascii="Times New Roman" w:hAnsi="Times New Roman" w:cs="Times New Roman"/>
          <w:lang w:val="en-IN"/>
        </w:rPr>
      </w:pPr>
    </w:p>
    <w:p w14:paraId="249A6EF0">
      <w:pPr>
        <w:rPr>
          <w:rFonts w:hint="default" w:ascii="Times New Roman" w:hAnsi="Times New Roman" w:cs="Times New Roman"/>
          <w:lang w:val="en-IN"/>
        </w:rPr>
      </w:pPr>
    </w:p>
    <w:p w14:paraId="5B24E3E8">
      <w:pPr>
        <w:rPr>
          <w:rFonts w:hint="default" w:ascii="Times New Roman" w:hAnsi="Times New Roman" w:cs="Times New Roman"/>
          <w:lang w:val="en-IN"/>
        </w:rPr>
      </w:pPr>
    </w:p>
    <w:p w14:paraId="33B105E0">
      <w:pPr>
        <w:rPr>
          <w:rFonts w:hint="default" w:ascii="Times New Roman" w:hAnsi="Times New Roman" w:cs="Times New Roman"/>
          <w:lang w:val="en-IN"/>
        </w:rPr>
      </w:pPr>
    </w:p>
    <w:p w14:paraId="3AC082C2">
      <w:pPr>
        <w:rPr>
          <w:rFonts w:hint="default" w:ascii="Times New Roman" w:hAnsi="Times New Roman" w:cs="Times New Roman"/>
          <w:lang w:val="en-IN"/>
        </w:rPr>
      </w:pPr>
    </w:p>
    <w:p w14:paraId="4A0184B7">
      <w:pPr>
        <w:rPr>
          <w:rFonts w:hint="default" w:ascii="Times New Roman" w:hAnsi="Times New Roman" w:cs="Times New Roman"/>
          <w:lang w:val="en-IN"/>
        </w:rPr>
      </w:pPr>
    </w:p>
    <w:p w14:paraId="69D92A79">
      <w:pPr>
        <w:rPr>
          <w:rFonts w:hint="default" w:ascii="Times New Roman" w:hAnsi="Times New Roman" w:cs="Times New Roman"/>
          <w:lang w:val="en-IN"/>
        </w:rPr>
      </w:pPr>
    </w:p>
    <w:p w14:paraId="505512A4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drawing>
          <wp:inline distT="0" distB="0" distL="114300" distR="114300">
            <wp:extent cx="7769225" cy="3853180"/>
            <wp:effectExtent l="0" t="0" r="3175" b="13970"/>
            <wp:docPr id="2" name="Picture 2" descr="outputwithoutmar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outputwithoutmarki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769225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5839" w:h="2448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F94656"/>
    <w:rsid w:val="6EF94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2026-03-03T07:05:00Z</dcterms:created>
  <dc:creator>COMPUTER</dc:creator>
  <cp:lastModifiedBy>COMPUTER</cp:lastModifiedBy>
  <dcterms:modified xsi:type="dcterms:W3CDTF">2026-03-03T07:11:04Z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AF63D573360F4F0EB66D5B1732EB2A63_11</vt:lpwstr>
  </property>
</Properties>
</file>