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3396a1aea989c8e7d2c6c594531d1b8992a89b"/>
    <w:p>
      <w:pPr>
        <w:pStyle w:val="Heading1"/>
      </w:pPr>
      <w:r>
        <w:t xml:space="preserve">Professor-Level Proposal: Sepsis Clinical Biobank &amp; SERS Diagnostic Platform</w:t>
      </w:r>
    </w:p>
    <w:bookmarkStart w:id="20" w:name="title"/>
    <w:p>
      <w:pPr>
        <w:pStyle w:val="Heading2"/>
      </w:pPr>
      <w:r>
        <w:t xml:space="preserve">Title</w:t>
      </w:r>
    </w:p>
    <w:p>
      <w:pPr>
        <w:pStyle w:val="FirstParagraph"/>
      </w:pPr>
      <w:r>
        <w:t xml:space="preserve">Development of a Clinical Sepsis Sample Biobank and SERS-Based Rapid Diagnostic Platform for Early Detection and Classification of Sepsis</w:t>
      </w:r>
    </w:p>
    <w:p>
      <w:r>
        <w:pict>
          <v:rect style="width:0;height:1.5pt" o:hralign="center" o:hrstd="t" o:hr="t"/>
        </w:pict>
      </w:r>
    </w:p>
    <w:bookmarkEnd w:id="20"/>
    <w:bookmarkEnd w:id="21"/>
    <w:bookmarkStart w:id="22" w:name="background-and-rationale"/>
    <w:p>
      <w:pPr>
        <w:pStyle w:val="Heading1"/>
      </w:pPr>
      <w:r>
        <w:t xml:space="preserve">1. Background and Rationale</w:t>
      </w:r>
    </w:p>
    <w:p>
      <w:pPr>
        <w:pStyle w:val="FirstParagraph"/>
      </w:pPr>
      <w:r>
        <w:t xml:space="preserve">Sepsis is a life-threatening dysregulated host response to infection that can rapidly progress to organ dysfunction and death if not identified early. Existing diagnostic pathways often rely on clinical scoring, blood culture, inflammatory markers, and imaging. However, conventional blood culture is time-consuming, while many biomarkers lack sufficient specificity when used alone.</w:t>
      </w:r>
    </w:p>
    <w:p>
      <w:pPr>
        <w:pStyle w:val="BodyText"/>
      </w:pPr>
      <w:r>
        <w:t xml:space="preserve">A major translational gap exists between laboratory biosensor development and access to well-characterized real clinical samples. Many promising sensing platforms fail because they are validated only on spiked or synthetic samples rather than true patient specimens.</w:t>
      </w:r>
    </w:p>
    <w:p>
      <w:pPr>
        <w:pStyle w:val="BodyText"/>
      </w:pPr>
      <w:r>
        <w:t xml:space="preserve">To address this gap, this proposal combines two parallel goals:</w:t>
      </w:r>
      <w:r>
        <w:t xml:space="preserve"> </w:t>
      </w:r>
      <w:r>
        <w:t xml:space="preserve">1. Establish a structured repository of clinically annotated sepsis blood samples.</w:t>
      </w:r>
      <w:r>
        <w:t xml:space="preserve"> </w:t>
      </w:r>
      <w:r>
        <w:t xml:space="preserve">2. Develop and validate a Surface-Enhanced Raman Spectroscopy (SERS)-based rapid diagnostic platform using these real samples.</w:t>
      </w:r>
    </w:p>
    <w:p>
      <w:r>
        <w:pict>
          <v:rect style="width:0;height:1.5pt" o:hralign="center" o:hrstd="t" o:hr="t"/>
        </w:pict>
      </w:r>
    </w:p>
    <w:bookmarkEnd w:id="22"/>
    <w:bookmarkStart w:id="23" w:name="problem-statement"/>
    <w:p>
      <w:pPr>
        <w:pStyle w:val="Heading1"/>
      </w:pPr>
      <w:r>
        <w:t xml:space="preserve">2. Problem Statement</w:t>
      </w:r>
    </w:p>
    <w:p>
      <w:pPr>
        <w:pStyle w:val="FirstParagraph"/>
      </w:pPr>
      <w:r>
        <w:t xml:space="preserve">Current limitations include:</w:t>
      </w:r>
    </w:p>
    <w:p>
      <w:pPr>
        <w:pStyle w:val="Compact"/>
        <w:numPr>
          <w:ilvl w:val="0"/>
          <w:numId w:val="1001"/>
        </w:numPr>
      </w:pPr>
      <w:r>
        <w:t xml:space="preserve">Delayed confirmation by blood culture.</w:t>
      </w:r>
    </w:p>
    <w:p>
      <w:pPr>
        <w:pStyle w:val="Compact"/>
        <w:numPr>
          <w:ilvl w:val="0"/>
          <w:numId w:val="1001"/>
        </w:numPr>
      </w:pPr>
      <w:r>
        <w:t xml:space="preserve">Heterogeneous biomarker expression across patients.</w:t>
      </w:r>
    </w:p>
    <w:p>
      <w:pPr>
        <w:pStyle w:val="Compact"/>
        <w:numPr>
          <w:ilvl w:val="0"/>
          <w:numId w:val="1001"/>
        </w:numPr>
      </w:pPr>
      <w:r>
        <w:t xml:space="preserve">Limited access to archived, labeled clinical samples for engineering research.</w:t>
      </w:r>
    </w:p>
    <w:p>
      <w:pPr>
        <w:pStyle w:val="Compact"/>
        <w:numPr>
          <w:ilvl w:val="0"/>
          <w:numId w:val="1001"/>
        </w:numPr>
      </w:pPr>
      <w:r>
        <w:t xml:space="preserve">Lack of low-cost rapid diagnostics validated on real-world samples.</w:t>
      </w:r>
    </w:p>
    <w:p>
      <w:pPr>
        <w:pStyle w:val="Compact"/>
        <w:numPr>
          <w:ilvl w:val="0"/>
          <w:numId w:val="1001"/>
        </w:numPr>
      </w:pPr>
      <w:r>
        <w:t xml:space="preserve">Difficulty distinguishing sepsis from non-septic inflammation.</w:t>
      </w:r>
    </w:p>
    <w:p>
      <w:r>
        <w:pict>
          <v:rect style="width:0;height:1.5pt" o:hralign="center" o:hrstd="t" o:hr="t"/>
        </w:pict>
      </w:r>
    </w:p>
    <w:bookmarkEnd w:id="23"/>
    <w:bookmarkStart w:id="24" w:name="aim"/>
    <w:p>
      <w:pPr>
        <w:pStyle w:val="Heading1"/>
      </w:pPr>
      <w:r>
        <w:t xml:space="preserve">3. Aim</w:t>
      </w:r>
    </w:p>
    <w:p>
      <w:pPr>
        <w:pStyle w:val="FirstParagraph"/>
      </w:pPr>
      <w:r>
        <w:t xml:space="preserve">To create a clinically linked sepsis biobank and use it to develop a rapid, low-volume, potentially point-of-care SERS diagnostic system.</w:t>
      </w:r>
    </w:p>
    <w:p>
      <w:r>
        <w:pict>
          <v:rect style="width:0;height:1.5pt" o:hralign="center" o:hrstd="t" o:hr="t"/>
        </w:pict>
      </w:r>
    </w:p>
    <w:bookmarkEnd w:id="24"/>
    <w:bookmarkStart w:id="31" w:name="specific-objectives"/>
    <w:p>
      <w:pPr>
        <w:pStyle w:val="Heading1"/>
      </w:pPr>
      <w:r>
        <w:t xml:space="preserve">4. Specific Objectives</w:t>
      </w:r>
    </w:p>
    <w:bookmarkStart w:id="25" w:name="objective-1"/>
    <w:p>
      <w:pPr>
        <w:pStyle w:val="Heading2"/>
      </w:pPr>
      <w:r>
        <w:t xml:space="preserve">Objective 1</w:t>
      </w:r>
    </w:p>
    <w:p>
      <w:pPr>
        <w:pStyle w:val="FirstParagraph"/>
      </w:pPr>
      <w:r>
        <w:t xml:space="preserve">Design SOPs for ethical collection, processing, storage, and retrieval of blood-derived sepsis samples.</w:t>
      </w:r>
    </w:p>
    <w:bookmarkEnd w:id="25"/>
    <w:bookmarkStart w:id="26" w:name="objective-2"/>
    <w:p>
      <w:pPr>
        <w:pStyle w:val="Heading2"/>
      </w:pPr>
      <w:r>
        <w:t xml:space="preserve">Objective 2</w:t>
      </w:r>
    </w:p>
    <w:p>
      <w:pPr>
        <w:pStyle w:val="FirstParagraph"/>
      </w:pPr>
      <w:r>
        <w:t xml:space="preserve">Build an anonymized database linking samples with confirmed clinical metadata.</w:t>
      </w:r>
    </w:p>
    <w:bookmarkEnd w:id="26"/>
    <w:bookmarkStart w:id="27" w:name="objective-3"/>
    <w:p>
      <w:pPr>
        <w:pStyle w:val="Heading2"/>
      </w:pPr>
      <w:r>
        <w:t xml:space="preserve">Objective 3</w:t>
      </w:r>
    </w:p>
    <w:p>
      <w:pPr>
        <w:pStyle w:val="FirstParagraph"/>
      </w:pPr>
      <w:r>
        <w:t xml:space="preserve">Fabricate or optimize SERS substrates for biomarker detection.</w:t>
      </w:r>
    </w:p>
    <w:bookmarkEnd w:id="27"/>
    <w:bookmarkStart w:id="28" w:name="objective-4"/>
    <w:p>
      <w:pPr>
        <w:pStyle w:val="Heading2"/>
      </w:pPr>
      <w:r>
        <w:t xml:space="preserve">Objective 4</w:t>
      </w:r>
    </w:p>
    <w:p>
      <w:pPr>
        <w:pStyle w:val="FirstParagraph"/>
      </w:pPr>
      <w:r>
        <w:t xml:space="preserve">Evaluate spectral signatures from sepsis-positive, sepsis-negative, and control samples.</w:t>
      </w:r>
    </w:p>
    <w:bookmarkEnd w:id="28"/>
    <w:bookmarkStart w:id="29" w:name="objective-5"/>
    <w:p>
      <w:pPr>
        <w:pStyle w:val="Heading2"/>
      </w:pPr>
      <w:r>
        <w:t xml:space="preserve">Objective 5</w:t>
      </w:r>
    </w:p>
    <w:p>
      <w:pPr>
        <w:pStyle w:val="FirstParagraph"/>
      </w:pPr>
      <w:r>
        <w:t xml:space="preserve">Develop statistical or AI/ML models for classification.</w:t>
      </w:r>
    </w:p>
    <w:bookmarkEnd w:id="29"/>
    <w:bookmarkStart w:id="30" w:name="objective-6"/>
    <w:p>
      <w:pPr>
        <w:pStyle w:val="Heading2"/>
      </w:pPr>
      <w:r>
        <w:t xml:space="preserve">Objective 6</w:t>
      </w:r>
    </w:p>
    <w:p>
      <w:pPr>
        <w:pStyle w:val="FirstParagraph"/>
      </w:pPr>
      <w:r>
        <w:t xml:space="preserve">Benchmark platform performance against routine clinical diagnosis.</w:t>
      </w:r>
    </w:p>
    <w:p>
      <w:r>
        <w:pict>
          <v:rect style="width:0;height:1.5pt" o:hralign="center" o:hrstd="t" o:hr="t"/>
        </w:pict>
      </w:r>
    </w:p>
    <w:bookmarkEnd w:id="30"/>
    <w:bookmarkEnd w:id="31"/>
    <w:bookmarkStart w:id="32" w:name="novelty"/>
    <w:p>
      <w:pPr>
        <w:pStyle w:val="Heading1"/>
      </w:pPr>
      <w:r>
        <w:t xml:space="preserve">5. Novelty</w:t>
      </w:r>
    </w:p>
    <w:p>
      <w:pPr>
        <w:pStyle w:val="Compact"/>
        <w:numPr>
          <w:ilvl w:val="0"/>
          <w:numId w:val="1002"/>
        </w:numPr>
      </w:pPr>
      <w:r>
        <w:t xml:space="preserve">Integration of biobanking + biosensor development in one pipeline.</w:t>
      </w:r>
    </w:p>
    <w:p>
      <w:pPr>
        <w:pStyle w:val="Compact"/>
        <w:numPr>
          <w:ilvl w:val="0"/>
          <w:numId w:val="1002"/>
        </w:numPr>
      </w:pPr>
      <w:r>
        <w:t xml:space="preserve">Validation using real patient samples instead of only spiked samples.</w:t>
      </w:r>
    </w:p>
    <w:p>
      <w:pPr>
        <w:pStyle w:val="Compact"/>
        <w:numPr>
          <w:ilvl w:val="0"/>
          <w:numId w:val="1002"/>
        </w:numPr>
      </w:pPr>
      <w:r>
        <w:t xml:space="preserve">Potential multi-marker fingerprinting rather than single-analyte testing.</w:t>
      </w:r>
    </w:p>
    <w:p>
      <w:pPr>
        <w:pStyle w:val="Compact"/>
        <w:numPr>
          <w:ilvl w:val="0"/>
          <w:numId w:val="1002"/>
        </w:numPr>
      </w:pPr>
      <w:r>
        <w:t xml:space="preserve">Creation of reusable spectral dataset for future AI studies.</w:t>
      </w:r>
    </w:p>
    <w:p>
      <w:r>
        <w:pict>
          <v:rect style="width:0;height:1.5pt" o:hralign="center" o:hrstd="t" o:hr="t"/>
        </w:pict>
      </w:r>
    </w:p>
    <w:bookmarkEnd w:id="32"/>
    <w:bookmarkStart w:id="38" w:name="proposed-study-design"/>
    <w:p>
      <w:pPr>
        <w:pStyle w:val="Heading1"/>
      </w:pPr>
      <w:r>
        <w:t xml:space="preserve">6. Proposed Study Design</w:t>
      </w:r>
    </w:p>
    <w:bookmarkStart w:id="33" w:name="study-type"/>
    <w:p>
      <w:pPr>
        <w:pStyle w:val="Heading2"/>
      </w:pPr>
      <w:r>
        <w:t xml:space="preserve">Study Type</w:t>
      </w:r>
    </w:p>
    <w:p>
      <w:pPr>
        <w:pStyle w:val="FirstParagraph"/>
      </w:pPr>
      <w:r>
        <w:t xml:space="preserve">Prospective observational sample repository with downstream analytical validation.</w:t>
      </w:r>
    </w:p>
    <w:bookmarkEnd w:id="33"/>
    <w:bookmarkStart w:id="37" w:name="study-groups"/>
    <w:p>
      <w:pPr>
        <w:pStyle w:val="Heading2"/>
      </w:pPr>
      <w:r>
        <w:t xml:space="preserve">Study Groups</w:t>
      </w:r>
    </w:p>
    <w:bookmarkStart w:id="34" w:name="group-a-confirmed-sepsis"/>
    <w:p>
      <w:pPr>
        <w:pStyle w:val="Heading3"/>
      </w:pPr>
      <w:r>
        <w:t xml:space="preserve">Group A: Confirmed Sepsis</w:t>
      </w:r>
    </w:p>
    <w:p>
      <w:pPr>
        <w:pStyle w:val="FirstParagraph"/>
      </w:pPr>
      <w:r>
        <w:t xml:space="preserve">Clinician-confirmed sepsis based on accepted diagnostic criteria and laboratory findings.</w:t>
      </w:r>
    </w:p>
    <w:bookmarkEnd w:id="34"/>
    <w:bookmarkStart w:id="35" w:name="group-b-suspected-but-non-sepsis"/>
    <w:p>
      <w:pPr>
        <w:pStyle w:val="Heading3"/>
      </w:pPr>
      <w:r>
        <w:t xml:space="preserve">Group B: Suspected but Non-Sepsis</w:t>
      </w:r>
    </w:p>
    <w:p>
      <w:pPr>
        <w:pStyle w:val="FirstParagraph"/>
      </w:pPr>
      <w:r>
        <w:t xml:space="preserve">Patients evaluated for infection/sepsis but final diagnosis negative.</w:t>
      </w:r>
    </w:p>
    <w:bookmarkEnd w:id="35"/>
    <w:bookmarkStart w:id="36" w:name="group-c-controls"/>
    <w:p>
      <w:pPr>
        <w:pStyle w:val="Heading3"/>
      </w:pPr>
      <w:r>
        <w:t xml:space="preserve">Group C: Controls</w:t>
      </w:r>
    </w:p>
    <w:p>
      <w:pPr>
        <w:pStyle w:val="FirstParagraph"/>
      </w:pPr>
      <w:r>
        <w:t xml:space="preserve">Healthy or routine controls if ethically approved.</w:t>
      </w:r>
    </w:p>
    <w:p>
      <w:r>
        <w:pict>
          <v:rect style="width:0;height:1.5pt" o:hralign="center" o:hrstd="t" o:hr="t"/>
        </w:pict>
      </w:r>
    </w:p>
    <w:bookmarkEnd w:id="36"/>
    <w:bookmarkEnd w:id="37"/>
    <w:bookmarkEnd w:id="38"/>
    <w:bookmarkStart w:id="39" w:name="estimated-sample-size-initial-phase"/>
    <w:p>
      <w:pPr>
        <w:pStyle w:val="Heading1"/>
      </w:pPr>
      <w:r>
        <w:t xml:space="preserve">7. Estimated Sample Size (Initial Phase)</w:t>
      </w:r>
    </w:p>
    <w:p>
      <w:pPr>
        <w:pStyle w:val="Compact"/>
        <w:numPr>
          <w:ilvl w:val="0"/>
          <w:numId w:val="1003"/>
        </w:numPr>
      </w:pPr>
      <w:r>
        <w:t xml:space="preserve">50 Sepsis positive</w:t>
      </w:r>
    </w:p>
    <w:p>
      <w:pPr>
        <w:pStyle w:val="Compact"/>
        <w:numPr>
          <w:ilvl w:val="0"/>
          <w:numId w:val="1003"/>
        </w:numPr>
      </w:pPr>
      <w:r>
        <w:t xml:space="preserve">50 Sepsis negative</w:t>
      </w:r>
    </w:p>
    <w:p>
      <w:pPr>
        <w:pStyle w:val="Compact"/>
        <w:numPr>
          <w:ilvl w:val="0"/>
          <w:numId w:val="1003"/>
        </w:numPr>
      </w:pPr>
      <w:r>
        <w:t xml:space="preserve">30 Controls</w:t>
      </w:r>
    </w:p>
    <w:p>
      <w:pPr>
        <w:pStyle w:val="FirstParagraph"/>
      </w:pPr>
      <w:r>
        <w:t xml:space="preserve">Target can expand after pilot findings.</w:t>
      </w:r>
    </w:p>
    <w:p>
      <w:r>
        <w:pict>
          <v:rect style="width:0;height:1.5pt" o:hralign="center" o:hrstd="t" o:hr="t"/>
        </w:pict>
      </w:r>
    </w:p>
    <w:bookmarkEnd w:id="39"/>
    <w:bookmarkStart w:id="40" w:name="inclusion-criteria"/>
    <w:p>
      <w:pPr>
        <w:pStyle w:val="Heading1"/>
      </w:pPr>
      <w:r>
        <w:t xml:space="preserve">8. Inclusion Criteria</w:t>
      </w:r>
    </w:p>
    <w:p>
      <w:pPr>
        <w:pStyle w:val="Compact"/>
        <w:numPr>
          <w:ilvl w:val="0"/>
          <w:numId w:val="1004"/>
        </w:numPr>
      </w:pPr>
      <w:r>
        <w:t xml:space="preserve">Patients undergoing sepsis evaluation.</w:t>
      </w:r>
    </w:p>
    <w:p>
      <w:pPr>
        <w:pStyle w:val="Compact"/>
        <w:numPr>
          <w:ilvl w:val="0"/>
          <w:numId w:val="1004"/>
        </w:numPr>
      </w:pPr>
      <w:r>
        <w:t xml:space="preserve">Adequate sample volume available.</w:t>
      </w:r>
    </w:p>
    <w:p>
      <w:pPr>
        <w:pStyle w:val="Compact"/>
        <w:numPr>
          <w:ilvl w:val="0"/>
          <w:numId w:val="1004"/>
        </w:numPr>
      </w:pPr>
      <w:r>
        <w:t xml:space="preserve">Consent obtained where required.</w:t>
      </w:r>
    </w:p>
    <w:p>
      <w:pPr>
        <w:pStyle w:val="Compact"/>
        <w:numPr>
          <w:ilvl w:val="0"/>
          <w:numId w:val="1004"/>
        </w:numPr>
      </w:pPr>
      <w:r>
        <w:t xml:space="preserve">Clinical data accessible in approved format.</w:t>
      </w:r>
    </w:p>
    <w:bookmarkEnd w:id="40"/>
    <w:bookmarkStart w:id="41" w:name="exclusion-criteria"/>
    <w:p>
      <w:pPr>
        <w:pStyle w:val="Heading1"/>
      </w:pPr>
      <w:r>
        <w:t xml:space="preserve">9. Exclusion Criteria</w:t>
      </w:r>
    </w:p>
    <w:p>
      <w:pPr>
        <w:pStyle w:val="Compact"/>
        <w:numPr>
          <w:ilvl w:val="0"/>
          <w:numId w:val="1005"/>
        </w:numPr>
      </w:pPr>
      <w:r>
        <w:t xml:space="preserve">Gross hemolysis.</w:t>
      </w:r>
    </w:p>
    <w:p>
      <w:pPr>
        <w:pStyle w:val="Compact"/>
        <w:numPr>
          <w:ilvl w:val="0"/>
          <w:numId w:val="1005"/>
        </w:numPr>
      </w:pPr>
      <w:r>
        <w:t xml:space="preserve">Inadequate labeling.</w:t>
      </w:r>
    </w:p>
    <w:p>
      <w:pPr>
        <w:pStyle w:val="Compact"/>
        <w:numPr>
          <w:ilvl w:val="0"/>
          <w:numId w:val="1005"/>
        </w:numPr>
      </w:pPr>
      <w:r>
        <w:t xml:space="preserve">Insufficient volume.</w:t>
      </w:r>
    </w:p>
    <w:p>
      <w:pPr>
        <w:pStyle w:val="Compact"/>
        <w:numPr>
          <w:ilvl w:val="0"/>
          <w:numId w:val="1005"/>
        </w:numPr>
      </w:pPr>
      <w:r>
        <w:t xml:space="preserve">Missing essential diagnosis data.</w:t>
      </w:r>
    </w:p>
    <w:p>
      <w:pPr>
        <w:pStyle w:val="Compact"/>
        <w:numPr>
          <w:ilvl w:val="0"/>
          <w:numId w:val="1005"/>
        </w:numPr>
      </w:pPr>
      <w:r>
        <w:t xml:space="preserve">Storage deviation compromising sample integrity.</w:t>
      </w:r>
    </w:p>
    <w:p>
      <w:r>
        <w:pict>
          <v:rect style="width:0;height:1.5pt" o:hralign="center" o:hrstd="t" o:hr="t"/>
        </w:pict>
      </w:r>
    </w:p>
    <w:bookmarkEnd w:id="41"/>
    <w:bookmarkStart w:id="48" w:name="methodology"/>
    <w:p>
      <w:pPr>
        <w:pStyle w:val="Heading1"/>
      </w:pPr>
      <w:r>
        <w:t xml:space="preserve">10. Methodology</w:t>
      </w:r>
    </w:p>
    <w:bookmarkStart w:id="42" w:name="phase-i-regulatory-preparation"/>
    <w:p>
      <w:pPr>
        <w:pStyle w:val="Heading2"/>
      </w:pPr>
      <w:r>
        <w:t xml:space="preserve">Phase I: Regulatory Preparation</w:t>
      </w:r>
    </w:p>
    <w:p>
      <w:pPr>
        <w:pStyle w:val="Compact"/>
        <w:numPr>
          <w:ilvl w:val="0"/>
          <w:numId w:val="1006"/>
        </w:numPr>
      </w:pPr>
      <w:r>
        <w:t xml:space="preserve">Ethics submission.</w:t>
      </w:r>
    </w:p>
    <w:p>
      <w:pPr>
        <w:pStyle w:val="Compact"/>
        <w:numPr>
          <w:ilvl w:val="0"/>
          <w:numId w:val="1006"/>
        </w:numPr>
      </w:pPr>
      <w:r>
        <w:t xml:space="preserve">Clinical collaboration approvals.</w:t>
      </w:r>
    </w:p>
    <w:p>
      <w:pPr>
        <w:pStyle w:val="Compact"/>
        <w:numPr>
          <w:ilvl w:val="0"/>
          <w:numId w:val="1006"/>
        </w:numPr>
      </w:pPr>
      <w:r>
        <w:t xml:space="preserve">Data governance plan.</w:t>
      </w:r>
    </w:p>
    <w:p>
      <w:pPr>
        <w:pStyle w:val="Compact"/>
        <w:numPr>
          <w:ilvl w:val="0"/>
          <w:numId w:val="1006"/>
        </w:numPr>
      </w:pPr>
      <w:r>
        <w:t xml:space="preserve">Biosafety approvals.</w:t>
      </w:r>
    </w:p>
    <w:bookmarkEnd w:id="42"/>
    <w:bookmarkStart w:id="43" w:name="phase-ii-sample-collection-workflow"/>
    <w:p>
      <w:pPr>
        <w:pStyle w:val="Heading2"/>
      </w:pPr>
      <w:r>
        <w:t xml:space="preserve">Phase II: Sample Collection Workflow</w:t>
      </w:r>
    </w:p>
    <w:p>
      <w:pPr>
        <w:pStyle w:val="Compact"/>
        <w:numPr>
          <w:ilvl w:val="0"/>
          <w:numId w:val="1007"/>
        </w:numPr>
      </w:pPr>
      <w:r>
        <w:t xml:space="preserve">Identify eligible patients.</w:t>
      </w:r>
    </w:p>
    <w:p>
      <w:pPr>
        <w:pStyle w:val="Compact"/>
        <w:numPr>
          <w:ilvl w:val="0"/>
          <w:numId w:val="1007"/>
        </w:numPr>
      </w:pPr>
      <w:r>
        <w:t xml:space="preserve">Assign coded sample ID.</w:t>
      </w:r>
    </w:p>
    <w:p>
      <w:pPr>
        <w:pStyle w:val="Compact"/>
        <w:numPr>
          <w:ilvl w:val="0"/>
          <w:numId w:val="1007"/>
        </w:numPr>
      </w:pPr>
      <w:r>
        <w:t xml:space="preserve">Collect approved blood tubes.</w:t>
      </w:r>
    </w:p>
    <w:p>
      <w:pPr>
        <w:pStyle w:val="Compact"/>
        <w:numPr>
          <w:ilvl w:val="0"/>
          <w:numId w:val="1007"/>
        </w:numPr>
      </w:pPr>
      <w:r>
        <w:t xml:space="preserve">Record collection timestamp.</w:t>
      </w:r>
    </w:p>
    <w:p>
      <w:pPr>
        <w:pStyle w:val="Compact"/>
        <w:numPr>
          <w:ilvl w:val="0"/>
          <w:numId w:val="1007"/>
        </w:numPr>
      </w:pPr>
      <w:r>
        <w:t xml:space="preserve">Transfer to processing laboratory.</w:t>
      </w:r>
    </w:p>
    <w:bookmarkEnd w:id="43"/>
    <w:bookmarkStart w:id="44" w:name="phase-iii-sample-processing"/>
    <w:p>
      <w:pPr>
        <w:pStyle w:val="Heading2"/>
      </w:pPr>
      <w:r>
        <w:t xml:space="preserve">Phase III: Sample Processing</w:t>
      </w:r>
    </w:p>
    <w:p>
      <w:pPr>
        <w:pStyle w:val="Compact"/>
        <w:numPr>
          <w:ilvl w:val="0"/>
          <w:numId w:val="1008"/>
        </w:numPr>
      </w:pPr>
      <w:r>
        <w:t xml:space="preserve">Centrifugation to obtain plasma/serum.</w:t>
      </w:r>
    </w:p>
    <w:p>
      <w:pPr>
        <w:pStyle w:val="Compact"/>
        <w:numPr>
          <w:ilvl w:val="0"/>
          <w:numId w:val="1008"/>
        </w:numPr>
      </w:pPr>
      <w:r>
        <w:t xml:space="preserve">Aliquoting into cryovials.</w:t>
      </w:r>
    </w:p>
    <w:p>
      <w:pPr>
        <w:pStyle w:val="Compact"/>
        <w:numPr>
          <w:ilvl w:val="0"/>
          <w:numId w:val="1008"/>
        </w:numPr>
      </w:pPr>
      <w:r>
        <w:t xml:space="preserve">Freezer mapping and inventory entry.</w:t>
      </w:r>
    </w:p>
    <w:p>
      <w:pPr>
        <w:pStyle w:val="Compact"/>
        <w:numPr>
          <w:ilvl w:val="0"/>
          <w:numId w:val="1008"/>
        </w:numPr>
      </w:pPr>
      <w:r>
        <w:t xml:space="preserve">Long-term storage at -80°C where available.</w:t>
      </w:r>
    </w:p>
    <w:bookmarkEnd w:id="44"/>
    <w:bookmarkStart w:id="45" w:name="phase-iv-sers-platform-development"/>
    <w:p>
      <w:pPr>
        <w:pStyle w:val="Heading2"/>
      </w:pPr>
      <w:r>
        <w:t xml:space="preserve">Phase IV: SERS Platform Development</w:t>
      </w:r>
    </w:p>
    <w:p>
      <w:pPr>
        <w:pStyle w:val="Compact"/>
        <w:numPr>
          <w:ilvl w:val="0"/>
          <w:numId w:val="1009"/>
        </w:numPr>
      </w:pPr>
      <w:r>
        <w:t xml:space="preserve">Substrate fabrication (Ag/Au nanostructures or optimized surface).</w:t>
      </w:r>
    </w:p>
    <w:p>
      <w:pPr>
        <w:pStyle w:val="Compact"/>
        <w:numPr>
          <w:ilvl w:val="0"/>
          <w:numId w:val="1009"/>
        </w:numPr>
      </w:pPr>
      <w:r>
        <w:t xml:space="preserve">Reproducibility testing.</w:t>
      </w:r>
    </w:p>
    <w:p>
      <w:pPr>
        <w:pStyle w:val="Compact"/>
        <w:numPr>
          <w:ilvl w:val="0"/>
          <w:numId w:val="1009"/>
        </w:numPr>
      </w:pPr>
      <w:r>
        <w:t xml:space="preserve">Blank and control spectral baselines.</w:t>
      </w:r>
    </w:p>
    <w:bookmarkEnd w:id="45"/>
    <w:bookmarkStart w:id="46" w:name="phase-v-analytical-validation"/>
    <w:p>
      <w:pPr>
        <w:pStyle w:val="Heading2"/>
      </w:pPr>
      <w:r>
        <w:t xml:space="preserve">Phase V: Analytical Validation</w:t>
      </w:r>
    </w:p>
    <w:p>
      <w:pPr>
        <w:pStyle w:val="Compact"/>
        <w:numPr>
          <w:ilvl w:val="0"/>
          <w:numId w:val="1010"/>
        </w:numPr>
      </w:pPr>
      <w:r>
        <w:t xml:space="preserve">Thaw selected aliquots.</w:t>
      </w:r>
    </w:p>
    <w:p>
      <w:pPr>
        <w:pStyle w:val="Compact"/>
        <w:numPr>
          <w:ilvl w:val="0"/>
          <w:numId w:val="1010"/>
        </w:numPr>
      </w:pPr>
      <w:r>
        <w:t xml:space="preserve">Apply defined sample volume to chip.</w:t>
      </w:r>
    </w:p>
    <w:p>
      <w:pPr>
        <w:pStyle w:val="Compact"/>
        <w:numPr>
          <w:ilvl w:val="0"/>
          <w:numId w:val="1010"/>
        </w:numPr>
      </w:pPr>
      <w:r>
        <w:t xml:space="preserve">Acquire Raman spectra.</w:t>
      </w:r>
    </w:p>
    <w:p>
      <w:pPr>
        <w:pStyle w:val="Compact"/>
        <w:numPr>
          <w:ilvl w:val="0"/>
          <w:numId w:val="1010"/>
        </w:numPr>
      </w:pPr>
      <w:r>
        <w:t xml:space="preserve">Preprocess spectra (baseline correction, smoothing, normalization).</w:t>
      </w:r>
    </w:p>
    <w:p>
      <w:pPr>
        <w:pStyle w:val="Compact"/>
        <w:numPr>
          <w:ilvl w:val="0"/>
          <w:numId w:val="1010"/>
        </w:numPr>
      </w:pPr>
      <w:r>
        <w:t xml:space="preserve">Compare between groups.</w:t>
      </w:r>
    </w:p>
    <w:bookmarkEnd w:id="46"/>
    <w:bookmarkStart w:id="47" w:name="phase-vi-data-analytics"/>
    <w:p>
      <w:pPr>
        <w:pStyle w:val="Heading2"/>
      </w:pPr>
      <w:r>
        <w:t xml:space="preserve">Phase VI: Data Analytics</w:t>
      </w:r>
    </w:p>
    <w:p>
      <w:pPr>
        <w:pStyle w:val="Compact"/>
        <w:numPr>
          <w:ilvl w:val="0"/>
          <w:numId w:val="1011"/>
        </w:numPr>
      </w:pPr>
      <w:r>
        <w:t xml:space="preserve">PCA / LDA / SVM / Random Forest / suitable models.</w:t>
      </w:r>
    </w:p>
    <w:p>
      <w:pPr>
        <w:pStyle w:val="Compact"/>
        <w:numPr>
          <w:ilvl w:val="0"/>
          <w:numId w:val="1011"/>
        </w:numPr>
      </w:pPr>
      <w:r>
        <w:t xml:space="preserve">ROC, sensitivity, specificity, confusion matrix.</w:t>
      </w:r>
    </w:p>
    <w:p>
      <w:pPr>
        <w:pStyle w:val="Compact"/>
        <w:numPr>
          <w:ilvl w:val="0"/>
          <w:numId w:val="1011"/>
        </w:numPr>
      </w:pPr>
      <w:r>
        <w:t xml:space="preserve">Cross-validation.</w:t>
      </w:r>
    </w:p>
    <w:p>
      <w:r>
        <w:pict>
          <v:rect style="width:0;height:1.5pt" o:hralign="center" o:hrstd="t" o:hr="t"/>
        </w:pict>
      </w:r>
    </w:p>
    <w:bookmarkEnd w:id="47"/>
    <w:bookmarkEnd w:id="48"/>
    <w:bookmarkStart w:id="51" w:name="data-to-be-collected"/>
    <w:p>
      <w:pPr>
        <w:pStyle w:val="Heading1"/>
      </w:pPr>
      <w:r>
        <w:t xml:space="preserve">11. Data to be Collected</w:t>
      </w:r>
    </w:p>
    <w:bookmarkStart w:id="49" w:name="sample-metadata"/>
    <w:p>
      <w:pPr>
        <w:pStyle w:val="Heading2"/>
      </w:pPr>
      <w:r>
        <w:t xml:space="preserve">Sample Metadata</w:t>
      </w:r>
    </w:p>
    <w:p>
      <w:pPr>
        <w:pStyle w:val="Compact"/>
        <w:numPr>
          <w:ilvl w:val="0"/>
          <w:numId w:val="1012"/>
        </w:numPr>
      </w:pPr>
      <w:r>
        <w:t xml:space="preserve">Sample ID</w:t>
      </w:r>
    </w:p>
    <w:p>
      <w:pPr>
        <w:pStyle w:val="Compact"/>
        <w:numPr>
          <w:ilvl w:val="0"/>
          <w:numId w:val="1012"/>
        </w:numPr>
      </w:pPr>
      <w:r>
        <w:t xml:space="preserve">Date/time</w:t>
      </w:r>
    </w:p>
    <w:p>
      <w:pPr>
        <w:pStyle w:val="Compact"/>
        <w:numPr>
          <w:ilvl w:val="0"/>
          <w:numId w:val="1012"/>
        </w:numPr>
      </w:pPr>
      <w:r>
        <w:t xml:space="preserve">Tube type</w:t>
      </w:r>
    </w:p>
    <w:p>
      <w:pPr>
        <w:pStyle w:val="Compact"/>
        <w:numPr>
          <w:ilvl w:val="0"/>
          <w:numId w:val="1012"/>
        </w:numPr>
      </w:pPr>
      <w:r>
        <w:t xml:space="preserve">Storage location</w:t>
      </w:r>
    </w:p>
    <w:p>
      <w:pPr>
        <w:pStyle w:val="Compact"/>
        <w:numPr>
          <w:ilvl w:val="0"/>
          <w:numId w:val="1012"/>
        </w:numPr>
      </w:pPr>
      <w:r>
        <w:t xml:space="preserve">Freeze-thaw count</w:t>
      </w:r>
    </w:p>
    <w:bookmarkEnd w:id="49"/>
    <w:bookmarkStart w:id="50" w:name="clinical-metadata"/>
    <w:p>
      <w:pPr>
        <w:pStyle w:val="Heading2"/>
      </w:pPr>
      <w:r>
        <w:t xml:space="preserve">Clinical Metadata</w:t>
      </w:r>
    </w:p>
    <w:p>
      <w:pPr>
        <w:numPr>
          <w:ilvl w:val="0"/>
          <w:numId w:val="1013"/>
        </w:numPr>
      </w:pPr>
      <w:r>
        <w:t xml:space="preserve">Age</w:t>
      </w:r>
    </w:p>
    <w:p>
      <w:pPr>
        <w:numPr>
          <w:ilvl w:val="0"/>
          <w:numId w:val="1013"/>
        </w:numPr>
      </w:pPr>
      <w:r>
        <w:t xml:space="preserve">Sex</w:t>
      </w:r>
    </w:p>
    <w:p>
      <w:pPr>
        <w:numPr>
          <w:ilvl w:val="0"/>
          <w:numId w:val="1013"/>
        </w:numPr>
      </w:pPr>
      <w:r>
        <w:t xml:space="preserve">ICU/Ward</w:t>
      </w:r>
    </w:p>
    <w:p>
      <w:pPr>
        <w:numPr>
          <w:ilvl w:val="0"/>
          <w:numId w:val="1013"/>
        </w:numPr>
      </w:pPr>
      <w:r>
        <w:t xml:space="preserve">CRP</w:t>
      </w:r>
      <w:r>
        <w:t xml:space="preserve"> </w:t>
      </w:r>
      <w:r>
        <w:t xml:space="preserve">n- PCT</w:t>
      </w:r>
    </w:p>
    <w:p>
      <w:pPr>
        <w:numPr>
          <w:ilvl w:val="0"/>
          <w:numId w:val="1013"/>
        </w:numPr>
      </w:pPr>
      <w:r>
        <w:t xml:space="preserve">Lactate</w:t>
      </w:r>
    </w:p>
    <w:p>
      <w:pPr>
        <w:numPr>
          <w:ilvl w:val="0"/>
          <w:numId w:val="1013"/>
        </w:numPr>
      </w:pPr>
      <w:r>
        <w:t xml:space="preserve">WBC</w:t>
      </w:r>
    </w:p>
    <w:p>
      <w:pPr>
        <w:numPr>
          <w:ilvl w:val="0"/>
          <w:numId w:val="1013"/>
        </w:numPr>
      </w:pPr>
      <w:r>
        <w:t xml:space="preserve">Blood culture result</w:t>
      </w:r>
    </w:p>
    <w:p>
      <w:pPr>
        <w:numPr>
          <w:ilvl w:val="0"/>
          <w:numId w:val="1013"/>
        </w:numPr>
      </w:pPr>
      <w:r>
        <w:t xml:space="preserve">Final diagnosis</w:t>
      </w:r>
    </w:p>
    <w:p>
      <w:pPr>
        <w:numPr>
          <w:ilvl w:val="0"/>
          <w:numId w:val="1013"/>
        </w:numPr>
      </w:pPr>
      <w:r>
        <w:t xml:space="preserve">Outcome</w:t>
      </w:r>
    </w:p>
    <w:p>
      <w:r>
        <w:pict>
          <v:rect style="width:0;height:1.5pt" o:hralign="center" o:hrstd="t" o:hr="t"/>
        </w:pict>
      </w:r>
    </w:p>
    <w:bookmarkEnd w:id="50"/>
    <w:bookmarkEnd w:id="51"/>
    <w:bookmarkStart w:id="52" w:name="expected-deliverables"/>
    <w:p>
      <w:pPr>
        <w:pStyle w:val="Heading1"/>
      </w:pPr>
      <w:r>
        <w:t xml:space="preserve">12. Expected Deliverables</w:t>
      </w:r>
    </w:p>
    <w:p>
      <w:pPr>
        <w:pStyle w:val="Compact"/>
        <w:numPr>
          <w:ilvl w:val="0"/>
          <w:numId w:val="1014"/>
        </w:numPr>
      </w:pPr>
      <w:r>
        <w:t xml:space="preserve">Standardized sepsis sample repository.</w:t>
      </w:r>
    </w:p>
    <w:p>
      <w:pPr>
        <w:pStyle w:val="Compact"/>
        <w:numPr>
          <w:ilvl w:val="0"/>
          <w:numId w:val="1014"/>
        </w:numPr>
      </w:pPr>
      <w:r>
        <w:t xml:space="preserve">Annotated clinical dataset.</w:t>
      </w:r>
    </w:p>
    <w:p>
      <w:pPr>
        <w:pStyle w:val="Compact"/>
        <w:numPr>
          <w:ilvl w:val="0"/>
          <w:numId w:val="1014"/>
        </w:numPr>
      </w:pPr>
      <w:r>
        <w:t xml:space="preserve">Optimized SERS chip/protocol.</w:t>
      </w:r>
    </w:p>
    <w:p>
      <w:pPr>
        <w:pStyle w:val="Compact"/>
        <w:numPr>
          <w:ilvl w:val="0"/>
          <w:numId w:val="1014"/>
        </w:numPr>
      </w:pPr>
      <w:r>
        <w:t xml:space="preserve">Classification model.</w:t>
      </w:r>
    </w:p>
    <w:p>
      <w:pPr>
        <w:pStyle w:val="Compact"/>
        <w:numPr>
          <w:ilvl w:val="0"/>
          <w:numId w:val="1014"/>
        </w:numPr>
      </w:pPr>
      <w:r>
        <w:t xml:space="preserve">Publication manuscript(s).</w:t>
      </w:r>
    </w:p>
    <w:p>
      <w:pPr>
        <w:pStyle w:val="Compact"/>
        <w:numPr>
          <w:ilvl w:val="0"/>
          <w:numId w:val="1014"/>
        </w:numPr>
      </w:pPr>
      <w:r>
        <w:t xml:space="preserve">Basis for translational grant proposals.</w:t>
      </w:r>
    </w:p>
    <w:p>
      <w:r>
        <w:pict>
          <v:rect style="width:0;height:1.5pt" o:hralign="center" o:hrstd="t" o:hr="t"/>
        </w:pict>
      </w:r>
    </w:p>
    <w:bookmarkEnd w:id="52"/>
    <w:bookmarkStart w:id="58" w:name="risk-assessment-and-mitigation"/>
    <w:p>
      <w:pPr>
        <w:pStyle w:val="Heading1"/>
      </w:pPr>
      <w:r>
        <w:t xml:space="preserve">13. Risk Assessment and Mitigation</w:t>
      </w:r>
    </w:p>
    <w:bookmarkStart w:id="53" w:name="risk-low-recruitment"/>
    <w:p>
      <w:pPr>
        <w:pStyle w:val="Heading2"/>
      </w:pPr>
      <w:r>
        <w:t xml:space="preserve">Risk: Low recruitment</w:t>
      </w:r>
    </w:p>
    <w:p>
      <w:pPr>
        <w:pStyle w:val="FirstParagraph"/>
      </w:pPr>
      <w:r>
        <w:t xml:space="preserve">Mitigation: Extend duration / add collaborators.</w:t>
      </w:r>
    </w:p>
    <w:bookmarkEnd w:id="53"/>
    <w:bookmarkStart w:id="54" w:name="risk-poor-sample-quality"/>
    <w:p>
      <w:pPr>
        <w:pStyle w:val="Heading2"/>
      </w:pPr>
      <w:r>
        <w:t xml:space="preserve">Risk: Poor sample quality</w:t>
      </w:r>
    </w:p>
    <w:p>
      <w:pPr>
        <w:pStyle w:val="FirstParagraph"/>
      </w:pPr>
      <w:r>
        <w:t xml:space="preserve">Mitigation: Strict SOP and training.</w:t>
      </w:r>
    </w:p>
    <w:bookmarkEnd w:id="54"/>
    <w:bookmarkStart w:id="55" w:name="risk-freezer-failure"/>
    <w:p>
      <w:pPr>
        <w:pStyle w:val="Heading2"/>
      </w:pPr>
      <w:r>
        <w:t xml:space="preserve">Risk: Freezer failure</w:t>
      </w:r>
    </w:p>
    <w:p>
      <w:pPr>
        <w:pStyle w:val="FirstParagraph"/>
      </w:pPr>
      <w:r>
        <w:t xml:space="preserve">Mitigation: Backup storage plan.</w:t>
      </w:r>
    </w:p>
    <w:bookmarkEnd w:id="55"/>
    <w:bookmarkStart w:id="56" w:name="risk-weak-signal-reproducibility"/>
    <w:p>
      <w:pPr>
        <w:pStyle w:val="Heading2"/>
      </w:pPr>
      <w:r>
        <w:t xml:space="preserve">Risk: Weak signal reproducibility</w:t>
      </w:r>
    </w:p>
    <w:p>
      <w:pPr>
        <w:pStyle w:val="FirstParagraph"/>
      </w:pPr>
      <w:r>
        <w:t xml:space="preserve">Mitigation: Substrate QC and replicate scans.</w:t>
      </w:r>
    </w:p>
    <w:bookmarkEnd w:id="56"/>
    <w:bookmarkStart w:id="57" w:name="risk-overfitting-in-ml"/>
    <w:p>
      <w:pPr>
        <w:pStyle w:val="Heading2"/>
      </w:pPr>
      <w:r>
        <w:t xml:space="preserve">Risk: Overfitting in ML</w:t>
      </w:r>
    </w:p>
    <w:p>
      <w:pPr>
        <w:pStyle w:val="FirstParagraph"/>
      </w:pPr>
      <w:r>
        <w:t xml:space="preserve">Mitigation: Independent test sets and cross-validation.</w:t>
      </w:r>
    </w:p>
    <w:p>
      <w:r>
        <w:pict>
          <v:rect style="width:0;height:1.5pt" o:hralign="center" o:hrstd="t" o:hr="t"/>
        </w:pict>
      </w:r>
    </w:p>
    <w:bookmarkEnd w:id="57"/>
    <w:bookmarkEnd w:id="58"/>
    <w:bookmarkStart w:id="59" w:name="ethical-considerations"/>
    <w:p>
      <w:pPr>
        <w:pStyle w:val="Heading1"/>
      </w:pPr>
      <w:r>
        <w:t xml:space="preserve">14. Ethical Considerations</w:t>
      </w:r>
    </w:p>
    <w:p>
      <w:pPr>
        <w:pStyle w:val="Compact"/>
        <w:numPr>
          <w:ilvl w:val="0"/>
          <w:numId w:val="1015"/>
        </w:numPr>
      </w:pPr>
      <w:r>
        <w:t xml:space="preserve">Use coded identifiers.</w:t>
      </w:r>
    </w:p>
    <w:p>
      <w:pPr>
        <w:pStyle w:val="Compact"/>
        <w:numPr>
          <w:ilvl w:val="0"/>
          <w:numId w:val="1015"/>
        </w:numPr>
      </w:pPr>
      <w:r>
        <w:t xml:space="preserve">Restrict access to sensitive data.</w:t>
      </w:r>
    </w:p>
    <w:p>
      <w:pPr>
        <w:pStyle w:val="Compact"/>
        <w:numPr>
          <w:ilvl w:val="0"/>
          <w:numId w:val="1015"/>
        </w:numPr>
      </w:pPr>
      <w:r>
        <w:t xml:space="preserve">Approved consent pathway.</w:t>
      </w:r>
    </w:p>
    <w:p>
      <w:pPr>
        <w:pStyle w:val="Compact"/>
        <w:numPr>
          <w:ilvl w:val="0"/>
          <w:numId w:val="1015"/>
        </w:numPr>
      </w:pPr>
      <w:r>
        <w:t xml:space="preserve">Use only approved sample volumes.</w:t>
      </w:r>
    </w:p>
    <w:p>
      <w:pPr>
        <w:pStyle w:val="Compact"/>
        <w:numPr>
          <w:ilvl w:val="0"/>
          <w:numId w:val="1015"/>
        </w:numPr>
      </w:pPr>
      <w:r>
        <w:t xml:space="preserve">Comply with institutional and biomedical research norms.</w:t>
      </w:r>
    </w:p>
    <w:p>
      <w:r>
        <w:pict>
          <v:rect style="width:0;height:1.5pt" o:hralign="center" o:hrstd="t" o:hr="t"/>
        </w:pict>
      </w:r>
    </w:p>
    <w:bookmarkEnd w:id="59"/>
    <w:bookmarkStart w:id="64" w:name="tentative-timeline"/>
    <w:p>
      <w:pPr>
        <w:pStyle w:val="Heading1"/>
      </w:pPr>
      <w:r>
        <w:t xml:space="preserve">15. Tentative Timeline</w:t>
      </w:r>
    </w:p>
    <w:bookmarkStart w:id="60" w:name="months-12"/>
    <w:p>
      <w:pPr>
        <w:pStyle w:val="Heading2"/>
      </w:pPr>
      <w:r>
        <w:t xml:space="preserve">Months 1–2</w:t>
      </w:r>
    </w:p>
    <w:p>
      <w:pPr>
        <w:pStyle w:val="FirstParagraph"/>
      </w:pPr>
      <w:r>
        <w:t xml:space="preserve">Approvals, SOP finalization, infrastructure setup.</w:t>
      </w:r>
    </w:p>
    <w:bookmarkEnd w:id="60"/>
    <w:bookmarkStart w:id="61" w:name="months-38"/>
    <w:p>
      <w:pPr>
        <w:pStyle w:val="Heading2"/>
      </w:pPr>
      <w:r>
        <w:t xml:space="preserve">Months 3–8</w:t>
      </w:r>
    </w:p>
    <w:p>
      <w:pPr>
        <w:pStyle w:val="FirstParagraph"/>
      </w:pPr>
      <w:r>
        <w:t xml:space="preserve">Sample recruitment and repository creation.</w:t>
      </w:r>
    </w:p>
    <w:bookmarkEnd w:id="61"/>
    <w:bookmarkStart w:id="62" w:name="months-49"/>
    <w:p>
      <w:pPr>
        <w:pStyle w:val="Heading2"/>
      </w:pPr>
      <w:r>
        <w:t xml:space="preserve">Months 4–9</w:t>
      </w:r>
    </w:p>
    <w:p>
      <w:pPr>
        <w:pStyle w:val="FirstParagraph"/>
      </w:pPr>
      <w:r>
        <w:t xml:space="preserve">Parallel substrate development and pilot testing.</w:t>
      </w:r>
    </w:p>
    <w:bookmarkEnd w:id="62"/>
    <w:bookmarkStart w:id="63" w:name="months-812"/>
    <w:p>
      <w:pPr>
        <w:pStyle w:val="Heading2"/>
      </w:pPr>
      <w:r>
        <w:t xml:space="preserve">Months 8–12</w:t>
      </w:r>
    </w:p>
    <w:p>
      <w:pPr>
        <w:pStyle w:val="FirstParagraph"/>
      </w:pPr>
      <w:r>
        <w:t xml:space="preserve">Data analysis, validation, manuscript drafting.</w:t>
      </w:r>
    </w:p>
    <w:p>
      <w:r>
        <w:pict>
          <v:rect style="width:0;height:1.5pt" o:hralign="center" o:hrstd="t" o:hr="t"/>
        </w:pict>
      </w:r>
    </w:p>
    <w:bookmarkEnd w:id="63"/>
    <w:bookmarkEnd w:id="64"/>
    <w:bookmarkStart w:id="65" w:name="resource-requirements"/>
    <w:p>
      <w:pPr>
        <w:pStyle w:val="Heading1"/>
      </w:pPr>
      <w:r>
        <w:t xml:space="preserve">16. Resource Requirements</w:t>
      </w:r>
    </w:p>
    <w:p>
      <w:pPr>
        <w:pStyle w:val="Compact"/>
        <w:numPr>
          <w:ilvl w:val="0"/>
          <w:numId w:val="1016"/>
        </w:numPr>
      </w:pPr>
      <w:r>
        <w:t xml:space="preserve">Clinical collaborator access</w:t>
      </w:r>
    </w:p>
    <w:p>
      <w:pPr>
        <w:pStyle w:val="Compact"/>
        <w:numPr>
          <w:ilvl w:val="0"/>
          <w:numId w:val="1016"/>
        </w:numPr>
      </w:pPr>
      <w:r>
        <w:t xml:space="preserve">Centrifuge</w:t>
      </w:r>
    </w:p>
    <w:p>
      <w:pPr>
        <w:pStyle w:val="Compact"/>
        <w:numPr>
          <w:ilvl w:val="0"/>
          <w:numId w:val="1016"/>
        </w:numPr>
      </w:pPr>
      <w:r>
        <w:t xml:space="preserve">Pipettes</w:t>
      </w:r>
    </w:p>
    <w:p>
      <w:pPr>
        <w:pStyle w:val="Compact"/>
        <w:numPr>
          <w:ilvl w:val="0"/>
          <w:numId w:val="1016"/>
        </w:numPr>
      </w:pPr>
      <w:r>
        <w:t xml:space="preserve">Cryovials</w:t>
      </w:r>
    </w:p>
    <w:p>
      <w:pPr>
        <w:pStyle w:val="Compact"/>
        <w:numPr>
          <w:ilvl w:val="0"/>
          <w:numId w:val="1016"/>
        </w:numPr>
      </w:pPr>
      <w:r>
        <w:t xml:space="preserve">Freezer storage</w:t>
      </w:r>
    </w:p>
    <w:p>
      <w:pPr>
        <w:pStyle w:val="Compact"/>
        <w:numPr>
          <w:ilvl w:val="0"/>
          <w:numId w:val="1016"/>
        </w:numPr>
      </w:pPr>
      <w:r>
        <w:t xml:space="preserve">Raman/SERS instrumentation</w:t>
      </w:r>
    </w:p>
    <w:p>
      <w:pPr>
        <w:pStyle w:val="Compact"/>
        <w:numPr>
          <w:ilvl w:val="0"/>
          <w:numId w:val="1016"/>
        </w:numPr>
      </w:pPr>
      <w:r>
        <w:t xml:space="preserve">Data analysis workstation</w:t>
      </w:r>
    </w:p>
    <w:p>
      <w:pPr>
        <w:pStyle w:val="Compact"/>
        <w:numPr>
          <w:ilvl w:val="0"/>
          <w:numId w:val="1016"/>
        </w:numPr>
      </w:pPr>
      <w:r>
        <w:t xml:space="preserve">Consumables budget</w:t>
      </w:r>
    </w:p>
    <w:p>
      <w:r>
        <w:pict>
          <v:rect style="width:0;height:1.5pt" o:hralign="center" o:hrstd="t" o:hr="t"/>
        </w:pict>
      </w:r>
    </w:p>
    <w:bookmarkEnd w:id="65"/>
    <w:bookmarkStart w:id="66" w:name="potential-impact"/>
    <w:p>
      <w:pPr>
        <w:pStyle w:val="Heading1"/>
      </w:pPr>
      <w:r>
        <w:t xml:space="preserve">17. Potential Impact</w:t>
      </w:r>
    </w:p>
    <w:p>
      <w:pPr>
        <w:pStyle w:val="FirstParagraph"/>
      </w:pPr>
      <w:r>
        <w:t xml:space="preserve">This project can shorten the pathway from sample acquisition to clinically relevant rapid sepsis diagnostics, while simultaneously building a reusable institutional resource for future biomarker and AI research.</w:t>
      </w:r>
    </w:p>
    <w:p>
      <w:r>
        <w:pict>
          <v:rect style="width:0;height:1.5pt" o:hralign="center" o:hrstd="t" o:hr="t"/>
        </w:pict>
      </w:r>
    </w:p>
    <w:bookmarkEnd w:id="66"/>
    <w:bookmarkStart w:id="67" w:name="request-for-guidance"/>
    <w:p>
      <w:pPr>
        <w:pStyle w:val="Heading1"/>
      </w:pPr>
      <w:r>
        <w:t xml:space="preserve">18. Request for Guidance</w:t>
      </w:r>
    </w:p>
    <w:p>
      <w:pPr>
        <w:pStyle w:val="FirstParagraph"/>
      </w:pPr>
      <w:r>
        <w:t xml:space="preserve">We seek faculty guidance on clinical integration, study refinement, laboratory access, statistical design, and translational direction for converting this concept into a high-impact research program.</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2026-04-23T22:12:18Z</dcterms:created>
  <dcterms:modified xsi:type="dcterms:W3CDTF">2026-04-23T22:12:18Z</dcterms:modified>
</cp:coreProperties>
</file>

<file path=docProps/custom.xml><?xml version="1.0" encoding="utf-8"?>
<Properties xmlns="http://schemas.openxmlformats.org/officeDocument/2006/custom-properties" xmlns:vt="http://schemas.openxmlformats.org/officeDocument/2006/docPropsVTypes"/>
</file>