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cdf44e030d7002f3a5030d55aec584f3d6e66f"/>
    <w:p>
      <w:pPr>
        <w:pStyle w:val="Heading1"/>
      </w:pPr>
      <w:r>
        <w:t xml:space="preserve">Technical SOP: Step-by-Step Blood Sample Collection, Processing &amp; Storage for Future Sepsis Research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technical document describes the complete operational workflow for collecting blood samples from clinically evaluated patients, processing them into research-grade aliquots, storing them under controlled conditions, and maintaining traceable records for future biomarker, SERS, ELISA, molecular, and AI/ML studies.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cope"/>
    <w:p>
      <w:pPr>
        <w:pStyle w:val="Heading1"/>
      </w:pPr>
      <w:r>
        <w:t xml:space="preserve">1. Scope</w:t>
      </w:r>
    </w:p>
    <w:p>
      <w:pPr>
        <w:pStyle w:val="FirstParagraph"/>
      </w:pPr>
      <w:r>
        <w:t xml:space="preserve">Applies to all approved personnel involved in:</w:t>
      </w:r>
    </w:p>
    <w:p>
      <w:pPr>
        <w:pStyle w:val="Compact"/>
        <w:numPr>
          <w:ilvl w:val="0"/>
          <w:numId w:val="1001"/>
        </w:numPr>
      </w:pPr>
      <w:r>
        <w:t xml:space="preserve">Patient screening</w:t>
      </w:r>
    </w:p>
    <w:p>
      <w:pPr>
        <w:pStyle w:val="Compact"/>
        <w:numPr>
          <w:ilvl w:val="0"/>
          <w:numId w:val="1001"/>
        </w:numPr>
      </w:pPr>
      <w:r>
        <w:t xml:space="preserve">Blood collection</w:t>
      </w:r>
    </w:p>
    <w:p>
      <w:pPr>
        <w:pStyle w:val="Compact"/>
        <w:numPr>
          <w:ilvl w:val="0"/>
          <w:numId w:val="1001"/>
        </w:numPr>
      </w:pPr>
      <w:r>
        <w:t xml:space="preserve">Sample transport</w:t>
      </w:r>
    </w:p>
    <w:p>
      <w:pPr>
        <w:pStyle w:val="Compact"/>
        <w:numPr>
          <w:ilvl w:val="0"/>
          <w:numId w:val="1001"/>
        </w:numPr>
      </w:pPr>
      <w:r>
        <w:t xml:space="preserve">Laboratory processing</w:t>
      </w:r>
    </w:p>
    <w:p>
      <w:pPr>
        <w:pStyle w:val="Compact"/>
        <w:numPr>
          <w:ilvl w:val="0"/>
          <w:numId w:val="1001"/>
        </w:numPr>
      </w:pPr>
      <w:r>
        <w:t xml:space="preserve">Cryostorage</w:t>
      </w:r>
    </w:p>
    <w:p>
      <w:pPr>
        <w:pStyle w:val="Compact"/>
        <w:numPr>
          <w:ilvl w:val="0"/>
          <w:numId w:val="1001"/>
        </w:numPr>
      </w:pPr>
      <w:r>
        <w:t xml:space="preserve">Data entry</w:t>
      </w:r>
    </w:p>
    <w:p>
      <w:pPr>
        <w:pStyle w:val="Compact"/>
        <w:numPr>
          <w:ilvl w:val="0"/>
          <w:numId w:val="1001"/>
        </w:numPr>
      </w:pPr>
      <w:r>
        <w:t xml:space="preserve">Sample retrieval</w:t>
      </w:r>
    </w:p>
    <w:p>
      <w:pPr>
        <w:pStyle w:val="Compact"/>
        <w:numPr>
          <w:ilvl w:val="0"/>
          <w:numId w:val="1001"/>
        </w:numPr>
      </w:pPr>
      <w:r>
        <w:t xml:space="preserve">Quality assurance</w:t>
      </w:r>
    </w:p>
    <w:p>
      <w:r>
        <w:pict>
          <v:rect style="width:0;height:1.5pt" o:hralign="center" o:hrstd="t" o:hr="t"/>
        </w:pict>
      </w:r>
    </w:p>
    <w:bookmarkEnd w:id="22"/>
    <w:bookmarkStart w:id="28" w:name="roles-and-responsibilities"/>
    <w:p>
      <w:pPr>
        <w:pStyle w:val="Heading1"/>
      </w:pPr>
      <w:r>
        <w:t xml:space="preserve">2. Roles and Responsibilities</w:t>
      </w:r>
    </w:p>
    <w:bookmarkStart w:id="23" w:name="clinical-team"/>
    <w:p>
      <w:pPr>
        <w:pStyle w:val="Heading2"/>
      </w:pPr>
      <w:r>
        <w:t xml:space="preserve">Clinical Team</w:t>
      </w:r>
    </w:p>
    <w:p>
      <w:pPr>
        <w:pStyle w:val="FirstParagraph"/>
      </w:pPr>
      <w:r>
        <w:t xml:space="preserve">Identify eligible patients and confirm diagnostic workflow.</w:t>
      </w:r>
    </w:p>
    <w:bookmarkEnd w:id="23"/>
    <w:bookmarkStart w:id="24" w:name="phlebotomist-nurse"/>
    <w:p>
      <w:pPr>
        <w:pStyle w:val="Heading2"/>
      </w:pPr>
      <w:r>
        <w:t xml:space="preserve">Phlebotomist / Nurse</w:t>
      </w:r>
    </w:p>
    <w:p>
      <w:pPr>
        <w:pStyle w:val="FirstParagraph"/>
      </w:pPr>
      <w:r>
        <w:t xml:space="preserve">Perform safe blood draw using aseptic technique.</w:t>
      </w:r>
    </w:p>
    <w:bookmarkEnd w:id="24"/>
    <w:bookmarkStart w:id="25" w:name="laboratory-technician"/>
    <w:p>
      <w:pPr>
        <w:pStyle w:val="Heading2"/>
      </w:pPr>
      <w:r>
        <w:t xml:space="preserve">Laboratory Technician</w:t>
      </w:r>
    </w:p>
    <w:p>
      <w:pPr>
        <w:pStyle w:val="FirstParagraph"/>
      </w:pPr>
      <w:r>
        <w:t xml:space="preserve">Process, aliquot, label, and store samples.</w:t>
      </w:r>
    </w:p>
    <w:bookmarkEnd w:id="25"/>
    <w:bookmarkStart w:id="26" w:name="data-manager"/>
    <w:p>
      <w:pPr>
        <w:pStyle w:val="Heading2"/>
      </w:pPr>
      <w:r>
        <w:t xml:space="preserve">Data Manager</w:t>
      </w:r>
    </w:p>
    <w:p>
      <w:pPr>
        <w:pStyle w:val="FirstParagraph"/>
      </w:pPr>
      <w:r>
        <w:t xml:space="preserve">Maintain tracker, metadata, and secure files.</w:t>
      </w:r>
    </w:p>
    <w:bookmarkEnd w:id="26"/>
    <w:bookmarkStart w:id="27" w:name="principal-investigator"/>
    <w:p>
      <w:pPr>
        <w:pStyle w:val="Heading2"/>
      </w:pPr>
      <w:r>
        <w:t xml:space="preserve">Principal Investigator</w:t>
      </w:r>
    </w:p>
    <w:p>
      <w:pPr>
        <w:pStyle w:val="FirstParagraph"/>
      </w:pPr>
      <w:r>
        <w:t xml:space="preserve">Oversee compliance, quality, and approvals.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quired-approvals-before-starting"/>
    <w:p>
      <w:pPr>
        <w:pStyle w:val="Heading1"/>
      </w:pPr>
      <w:r>
        <w:t xml:space="preserve">3. Required Approvals Before Starting</w:t>
      </w:r>
    </w:p>
    <w:p>
      <w:pPr>
        <w:pStyle w:val="Compact"/>
        <w:numPr>
          <w:ilvl w:val="0"/>
          <w:numId w:val="1002"/>
        </w:numPr>
      </w:pPr>
      <w:r>
        <w:t xml:space="preserve">Ethics committee approval</w:t>
      </w:r>
    </w:p>
    <w:p>
      <w:pPr>
        <w:pStyle w:val="Compact"/>
        <w:numPr>
          <w:ilvl w:val="0"/>
          <w:numId w:val="1002"/>
        </w:numPr>
      </w:pPr>
      <w:r>
        <w:t xml:space="preserve">Hospital/department permission</w:t>
      </w:r>
    </w:p>
    <w:p>
      <w:pPr>
        <w:pStyle w:val="Compact"/>
        <w:numPr>
          <w:ilvl w:val="0"/>
          <w:numId w:val="1002"/>
        </w:numPr>
      </w:pPr>
      <w:r>
        <w:t xml:space="preserve">Biosafety clearance if required</w:t>
      </w:r>
    </w:p>
    <w:p>
      <w:pPr>
        <w:pStyle w:val="Compact"/>
        <w:numPr>
          <w:ilvl w:val="0"/>
          <w:numId w:val="1002"/>
        </w:numPr>
      </w:pPr>
      <w:r>
        <w:t xml:space="preserve">Consent process approval or waiver</w:t>
      </w:r>
    </w:p>
    <w:p>
      <w:pPr>
        <w:pStyle w:val="Compact"/>
        <w:numPr>
          <w:ilvl w:val="0"/>
          <w:numId w:val="1002"/>
        </w:numPr>
      </w:pPr>
      <w:r>
        <w:t xml:space="preserve">Data privacy approval</w:t>
      </w:r>
    </w:p>
    <w:p>
      <w:pPr>
        <w:pStyle w:val="FirstParagraph"/>
      </w:pPr>
      <w:r>
        <w:t xml:space="preserve">No sample collection should begin before approvals are active.</w:t>
      </w:r>
    </w:p>
    <w:p>
      <w:r>
        <w:pict>
          <v:rect style="width:0;height:1.5pt" o:hralign="center" o:hrstd="t" o:hr="t"/>
        </w:pict>
      </w:r>
    </w:p>
    <w:bookmarkEnd w:id="29"/>
    <w:bookmarkStart w:id="32" w:name="materials-and-equipment"/>
    <w:p>
      <w:pPr>
        <w:pStyle w:val="Heading1"/>
      </w:pPr>
      <w:r>
        <w:t xml:space="preserve">4. Materials and Equipment</w:t>
      </w:r>
    </w:p>
    <w:bookmarkStart w:id="30" w:name="consumables"/>
    <w:p>
      <w:pPr>
        <w:pStyle w:val="Heading2"/>
      </w:pPr>
      <w:r>
        <w:t xml:space="preserve">Consumables</w:t>
      </w:r>
    </w:p>
    <w:p>
      <w:pPr>
        <w:pStyle w:val="Compact"/>
        <w:numPr>
          <w:ilvl w:val="0"/>
          <w:numId w:val="1003"/>
        </w:numPr>
      </w:pPr>
      <w:r>
        <w:t xml:space="preserve">EDTA tubes (purple)</w:t>
      </w:r>
    </w:p>
    <w:p>
      <w:pPr>
        <w:pStyle w:val="Compact"/>
        <w:numPr>
          <w:ilvl w:val="0"/>
          <w:numId w:val="1003"/>
        </w:numPr>
      </w:pPr>
      <w:r>
        <w:t xml:space="preserve">Serum tubes (red/yellow)</w:t>
      </w:r>
    </w:p>
    <w:p>
      <w:pPr>
        <w:pStyle w:val="Compact"/>
        <w:numPr>
          <w:ilvl w:val="0"/>
          <w:numId w:val="1003"/>
        </w:numPr>
      </w:pPr>
      <w:r>
        <w:t xml:space="preserve">Needles / vacutainer sets</w:t>
      </w:r>
    </w:p>
    <w:p>
      <w:pPr>
        <w:pStyle w:val="Compact"/>
        <w:numPr>
          <w:ilvl w:val="0"/>
          <w:numId w:val="1003"/>
        </w:numPr>
      </w:pPr>
      <w:r>
        <w:t xml:space="preserve">Alcohol swabs</w:t>
      </w:r>
    </w:p>
    <w:p>
      <w:pPr>
        <w:pStyle w:val="Compact"/>
        <w:numPr>
          <w:ilvl w:val="0"/>
          <w:numId w:val="1003"/>
        </w:numPr>
      </w:pPr>
      <w:r>
        <w:t xml:space="preserve">Gauze</w:t>
      </w:r>
    </w:p>
    <w:p>
      <w:pPr>
        <w:pStyle w:val="Compact"/>
        <w:numPr>
          <w:ilvl w:val="0"/>
          <w:numId w:val="1003"/>
        </w:numPr>
      </w:pPr>
      <w:r>
        <w:t xml:space="preserve">Gloves</w:t>
      </w:r>
    </w:p>
    <w:p>
      <w:pPr>
        <w:pStyle w:val="Compact"/>
        <w:numPr>
          <w:ilvl w:val="0"/>
          <w:numId w:val="1003"/>
        </w:numPr>
      </w:pPr>
      <w:r>
        <w:t xml:space="preserve">Labels / barcode stickers</w:t>
      </w:r>
    </w:p>
    <w:p>
      <w:pPr>
        <w:pStyle w:val="Compact"/>
        <w:numPr>
          <w:ilvl w:val="0"/>
          <w:numId w:val="1003"/>
        </w:numPr>
      </w:pPr>
      <w:r>
        <w:t xml:space="preserve">Cryovials (0.5, 1, 2 mL)</w:t>
      </w:r>
    </w:p>
    <w:p>
      <w:pPr>
        <w:pStyle w:val="Compact"/>
        <w:numPr>
          <w:ilvl w:val="0"/>
          <w:numId w:val="1003"/>
        </w:numPr>
      </w:pPr>
      <w:r>
        <w:t xml:space="preserve">Pipette tips (filtered preferred)</w:t>
      </w:r>
    </w:p>
    <w:bookmarkEnd w:id="30"/>
    <w:bookmarkStart w:id="31" w:name="equipment"/>
    <w:p>
      <w:pPr>
        <w:pStyle w:val="Heading2"/>
      </w:pPr>
      <w:r>
        <w:t xml:space="preserve">Equipment</w:t>
      </w:r>
    </w:p>
    <w:p>
      <w:pPr>
        <w:pStyle w:val="Compact"/>
        <w:numPr>
          <w:ilvl w:val="0"/>
          <w:numId w:val="1004"/>
        </w:numPr>
      </w:pPr>
      <w:r>
        <w:t xml:space="preserve">Refrigerated or standard centrifuge</w:t>
      </w:r>
    </w:p>
    <w:p>
      <w:pPr>
        <w:pStyle w:val="Compact"/>
        <w:numPr>
          <w:ilvl w:val="0"/>
          <w:numId w:val="1004"/>
        </w:numPr>
      </w:pPr>
      <w:r>
        <w:t xml:space="preserve">Micropipettes</w:t>
      </w:r>
    </w:p>
    <w:p>
      <w:pPr>
        <w:pStyle w:val="Compact"/>
        <w:numPr>
          <w:ilvl w:val="0"/>
          <w:numId w:val="1004"/>
        </w:numPr>
      </w:pPr>
      <w:r>
        <w:t xml:space="preserve">Refrigerator (2–8°C)</w:t>
      </w:r>
    </w:p>
    <w:p>
      <w:pPr>
        <w:pStyle w:val="Compact"/>
        <w:numPr>
          <w:ilvl w:val="0"/>
          <w:numId w:val="1004"/>
        </w:numPr>
      </w:pPr>
      <w:r>
        <w:t xml:space="preserve">Freezer (-20°C)</w:t>
      </w:r>
    </w:p>
    <w:p>
      <w:pPr>
        <w:pStyle w:val="Compact"/>
        <w:numPr>
          <w:ilvl w:val="0"/>
          <w:numId w:val="1004"/>
        </w:numPr>
      </w:pPr>
      <w:r>
        <w:t xml:space="preserve">Ultra-low freezer (-80°C preferred)</w:t>
      </w:r>
    </w:p>
    <w:p>
      <w:pPr>
        <w:pStyle w:val="Compact"/>
        <w:numPr>
          <w:ilvl w:val="0"/>
          <w:numId w:val="1004"/>
        </w:numPr>
      </w:pPr>
      <w:r>
        <w:t xml:space="preserve">Biosafety cabinet (recommended for higher-risk handling)</w:t>
      </w:r>
    </w:p>
    <w:p>
      <w:pPr>
        <w:pStyle w:val="Compact"/>
        <w:numPr>
          <w:ilvl w:val="0"/>
          <w:numId w:val="1004"/>
        </w:numPr>
      </w:pPr>
      <w:r>
        <w:t xml:space="preserve">Computer with tracker file</w:t>
      </w:r>
    </w:p>
    <w:p>
      <w:pPr>
        <w:pStyle w:val="Compact"/>
        <w:numPr>
          <w:ilvl w:val="0"/>
          <w:numId w:val="1004"/>
        </w:numPr>
      </w:pPr>
      <w:r>
        <w:t xml:space="preserve">Temperature logger (preferred)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ample-classification-plan"/>
    <w:p>
      <w:pPr>
        <w:pStyle w:val="Heading1"/>
      </w:pPr>
      <w:r>
        <w:t xml:space="preserve">5. Sample Classification Plan</w:t>
      </w:r>
    </w:p>
    <w:bookmarkStart w:id="33" w:name="group-a"/>
    <w:p>
      <w:pPr>
        <w:pStyle w:val="Heading2"/>
      </w:pPr>
      <w:r>
        <w:t xml:space="preserve">Group A</w:t>
      </w:r>
    </w:p>
    <w:p>
      <w:pPr>
        <w:pStyle w:val="FirstParagraph"/>
      </w:pPr>
      <w:r>
        <w:t xml:space="preserve">Confirmed sepsis positive.</w:t>
      </w:r>
    </w:p>
    <w:bookmarkEnd w:id="33"/>
    <w:bookmarkStart w:id="34" w:name="group-b"/>
    <w:p>
      <w:pPr>
        <w:pStyle w:val="Heading2"/>
      </w:pPr>
      <w:r>
        <w:t xml:space="preserve">Group B</w:t>
      </w:r>
    </w:p>
    <w:p>
      <w:pPr>
        <w:pStyle w:val="FirstParagraph"/>
      </w:pPr>
      <w:r>
        <w:t xml:space="preserve">Suspected infection but final sepsis negative.</w:t>
      </w:r>
    </w:p>
    <w:bookmarkEnd w:id="34"/>
    <w:bookmarkStart w:id="35" w:name="group-c"/>
    <w:p>
      <w:pPr>
        <w:pStyle w:val="Heading2"/>
      </w:pPr>
      <w:r>
        <w:t xml:space="preserve">Group C</w:t>
      </w:r>
    </w:p>
    <w:p>
      <w:pPr>
        <w:pStyle w:val="FirstParagraph"/>
      </w:pPr>
      <w:r>
        <w:t xml:space="preserve">Controls if ethically approved.</w:t>
      </w:r>
    </w:p>
    <w:p>
      <w:pPr>
        <w:pStyle w:val="BodyText"/>
      </w:pPr>
      <w:r>
        <w:t xml:space="preserve">All groups should be stored because controls are required for future comparison.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ample-id-generation"/>
    <w:p>
      <w:pPr>
        <w:pStyle w:val="Heading1"/>
      </w:pPr>
      <w:r>
        <w:t xml:space="preserve">6. Sample ID Generation</w:t>
      </w:r>
    </w:p>
    <w:p>
      <w:pPr>
        <w:pStyle w:val="FirstParagraph"/>
      </w:pPr>
      <w:r>
        <w:t xml:space="preserve">Use coded identifiers only.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SEP-0001</w:t>
      </w:r>
    </w:p>
    <w:p>
      <w:pPr>
        <w:pStyle w:val="Compact"/>
        <w:numPr>
          <w:ilvl w:val="0"/>
          <w:numId w:val="1005"/>
        </w:numPr>
      </w:pPr>
      <w:r>
        <w:t xml:space="preserve">NEG-0001</w:t>
      </w:r>
    </w:p>
    <w:p>
      <w:pPr>
        <w:pStyle w:val="Compact"/>
        <w:numPr>
          <w:ilvl w:val="0"/>
          <w:numId w:val="1005"/>
        </w:numPr>
      </w:pPr>
      <w:r>
        <w:t xml:space="preserve">CTRL-0001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6"/>
        </w:numPr>
      </w:pPr>
      <w:r>
        <w:t xml:space="preserve">One patient encounter = one unique ID unless protocol defines serial sampling.</w:t>
      </w:r>
    </w:p>
    <w:p>
      <w:pPr>
        <w:pStyle w:val="Compact"/>
        <w:numPr>
          <w:ilvl w:val="0"/>
          <w:numId w:val="1006"/>
        </w:numPr>
      </w:pPr>
      <w:r>
        <w:t xml:space="preserve">Never use patient name on research vials.</w:t>
      </w:r>
    </w:p>
    <w:p>
      <w:r>
        <w:pict>
          <v:rect style="width:0;height:1.5pt" o:hralign="center" o:hrstd="t" o:hr="t"/>
        </w:pict>
      </w:r>
    </w:p>
    <w:bookmarkEnd w:id="37"/>
    <w:bookmarkStart w:id="42" w:name="pre-collection-workflow"/>
    <w:p>
      <w:pPr>
        <w:pStyle w:val="Heading1"/>
      </w:pPr>
      <w:r>
        <w:t xml:space="preserve">7. Pre-Collection Workflow</w:t>
      </w:r>
    </w:p>
    <w:bookmarkStart w:id="38" w:name="step-7.1-verify-eligibility"/>
    <w:p>
      <w:pPr>
        <w:pStyle w:val="Heading2"/>
      </w:pPr>
      <w:r>
        <w:t xml:space="preserve">Step 7.1 Verify Eligibility</w:t>
      </w:r>
    </w:p>
    <w:p>
      <w:pPr>
        <w:pStyle w:val="FirstParagraph"/>
      </w:pPr>
      <w:r>
        <w:t xml:space="preserve">Confirm patient meets inclusion criteria.</w:t>
      </w:r>
    </w:p>
    <w:bookmarkEnd w:id="38"/>
    <w:bookmarkStart w:id="39" w:name="step-7.2-confirm-documentation"/>
    <w:p>
      <w:pPr>
        <w:pStyle w:val="Heading2"/>
      </w:pPr>
      <w:r>
        <w:t xml:space="preserve">Step 7.2 Confirm Documentation</w:t>
      </w:r>
    </w:p>
    <w:p>
      <w:pPr>
        <w:pStyle w:val="Compact"/>
        <w:numPr>
          <w:ilvl w:val="0"/>
          <w:numId w:val="1007"/>
        </w:numPr>
      </w:pPr>
      <w:r>
        <w:t xml:space="preserve">Consent complete if required</w:t>
      </w:r>
    </w:p>
    <w:p>
      <w:pPr>
        <w:pStyle w:val="Compact"/>
        <w:numPr>
          <w:ilvl w:val="0"/>
          <w:numId w:val="1007"/>
        </w:numPr>
      </w:pPr>
      <w:r>
        <w:t xml:space="preserve">Case entry created in tracker</w:t>
      </w:r>
    </w:p>
    <w:p>
      <w:pPr>
        <w:pStyle w:val="Compact"/>
        <w:numPr>
          <w:ilvl w:val="0"/>
          <w:numId w:val="1007"/>
        </w:numPr>
      </w:pPr>
      <w:r>
        <w:t xml:space="preserve">Sample ID assigned</w:t>
      </w:r>
    </w:p>
    <w:bookmarkEnd w:id="39"/>
    <w:bookmarkStart w:id="40" w:name="step-7.3-prepare-tubes-and-labels"/>
    <w:p>
      <w:pPr>
        <w:pStyle w:val="Heading2"/>
      </w:pPr>
      <w:r>
        <w:t xml:space="preserve">Step 7.3 Prepare Tubes and Labels</w:t>
      </w:r>
    </w:p>
    <w:p>
      <w:pPr>
        <w:pStyle w:val="FirstParagraph"/>
      </w:pPr>
      <w:r>
        <w:t xml:space="preserve">Prepare required tubes before draw.</w:t>
      </w:r>
    </w:p>
    <w:p>
      <w:pPr>
        <w:pStyle w:val="BodyText"/>
      </w:pPr>
      <w:r>
        <w:t xml:space="preserve">Tube label must include:</w:t>
      </w:r>
    </w:p>
    <w:p>
      <w:pPr>
        <w:pStyle w:val="Compact"/>
        <w:numPr>
          <w:ilvl w:val="0"/>
          <w:numId w:val="1008"/>
        </w:numPr>
      </w:pPr>
      <w:r>
        <w:t xml:space="preserve">Sample ID</w:t>
      </w:r>
    </w:p>
    <w:p>
      <w:pPr>
        <w:pStyle w:val="Compact"/>
        <w:numPr>
          <w:ilvl w:val="0"/>
          <w:numId w:val="1008"/>
        </w:numPr>
      </w:pPr>
      <w:r>
        <w:t xml:space="preserve">Date</w:t>
      </w:r>
    </w:p>
    <w:p>
      <w:pPr>
        <w:pStyle w:val="Compact"/>
        <w:numPr>
          <w:ilvl w:val="0"/>
          <w:numId w:val="1008"/>
        </w:numPr>
      </w:pPr>
      <w:r>
        <w:t xml:space="preserve">Time</w:t>
      </w:r>
    </w:p>
    <w:p>
      <w:pPr>
        <w:pStyle w:val="Compact"/>
        <w:numPr>
          <w:ilvl w:val="0"/>
          <w:numId w:val="1008"/>
        </w:numPr>
      </w:pPr>
      <w:r>
        <w:t xml:space="preserve">Tube type / fraction</w:t>
      </w:r>
    </w:p>
    <w:p>
      <w:pPr>
        <w:pStyle w:val="Compact"/>
        <w:numPr>
          <w:ilvl w:val="0"/>
          <w:numId w:val="1008"/>
        </w:numPr>
      </w:pPr>
      <w:r>
        <w:t xml:space="preserve">Initials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SEP-0007 | 24-Apr-26 | 09:40 | EDTA</w:t>
      </w:r>
    </w:p>
    <w:bookmarkEnd w:id="40"/>
    <w:bookmarkStart w:id="41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Pre-labeling reduces identification errors.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blood-collection-procedure-venipuncture"/>
    <w:p>
      <w:pPr>
        <w:pStyle w:val="Heading1"/>
      </w:pPr>
      <w:r>
        <w:t xml:space="preserve">8. Blood Collection Procedure (Venipuncture)</w:t>
      </w:r>
    </w:p>
    <w:bookmarkStart w:id="43" w:name="step-8.1-ppe-and-hygiene"/>
    <w:p>
      <w:pPr>
        <w:pStyle w:val="Heading2"/>
      </w:pPr>
      <w:r>
        <w:t xml:space="preserve">Step 8.1 PPE and Hygiene</w:t>
      </w:r>
    </w:p>
    <w:p>
      <w:pPr>
        <w:pStyle w:val="Compact"/>
        <w:numPr>
          <w:ilvl w:val="0"/>
          <w:numId w:val="1009"/>
        </w:numPr>
      </w:pPr>
      <w:r>
        <w:t xml:space="preserve">Perform hand hygiene</w:t>
      </w:r>
    </w:p>
    <w:p>
      <w:pPr>
        <w:pStyle w:val="Compact"/>
        <w:numPr>
          <w:ilvl w:val="0"/>
          <w:numId w:val="1009"/>
        </w:numPr>
      </w:pPr>
      <w:r>
        <w:t xml:space="preserve">Wear gloves</w:t>
      </w:r>
    </w:p>
    <w:p>
      <w:pPr>
        <w:pStyle w:val="Compact"/>
        <w:numPr>
          <w:ilvl w:val="0"/>
          <w:numId w:val="1009"/>
        </w:numPr>
      </w:pPr>
      <w:r>
        <w:t xml:space="preserve">Use additional PPE as needed</w:t>
      </w:r>
    </w:p>
    <w:bookmarkEnd w:id="43"/>
    <w:bookmarkStart w:id="44" w:name="step-8.2-site-preparation"/>
    <w:p>
      <w:pPr>
        <w:pStyle w:val="Heading2"/>
      </w:pPr>
      <w:r>
        <w:t xml:space="preserve">Step 8.2 Site Preparation</w:t>
      </w:r>
    </w:p>
    <w:p>
      <w:pPr>
        <w:pStyle w:val="Compact"/>
        <w:numPr>
          <w:ilvl w:val="0"/>
          <w:numId w:val="1010"/>
        </w:numPr>
      </w:pPr>
      <w:r>
        <w:t xml:space="preserve">Apply tourniquet</w:t>
      </w:r>
    </w:p>
    <w:p>
      <w:pPr>
        <w:pStyle w:val="Compact"/>
        <w:numPr>
          <w:ilvl w:val="0"/>
          <w:numId w:val="1010"/>
        </w:numPr>
      </w:pPr>
      <w:r>
        <w:t xml:space="preserve">Select vein</w:t>
      </w:r>
    </w:p>
    <w:p>
      <w:pPr>
        <w:pStyle w:val="Compact"/>
        <w:numPr>
          <w:ilvl w:val="0"/>
          <w:numId w:val="1010"/>
        </w:numPr>
      </w:pPr>
      <w:r>
        <w:t xml:space="preserve">Clean site with 70% alcohol</w:t>
      </w:r>
    </w:p>
    <w:p>
      <w:pPr>
        <w:pStyle w:val="Compact"/>
        <w:numPr>
          <w:ilvl w:val="0"/>
          <w:numId w:val="1010"/>
        </w:numPr>
      </w:pPr>
      <w:r>
        <w:t xml:space="preserve">Allow to air dry fully</w:t>
      </w:r>
    </w:p>
    <w:bookmarkEnd w:id="44"/>
    <w:bookmarkStart w:id="45" w:name="step-8.3-blood-draw"/>
    <w:p>
      <w:pPr>
        <w:pStyle w:val="Heading2"/>
      </w:pPr>
      <w:r>
        <w:t xml:space="preserve">Step 8.3 Blood Draw</w:t>
      </w:r>
    </w:p>
    <w:p>
      <w:pPr>
        <w:pStyle w:val="FirstParagraph"/>
      </w:pPr>
      <w:r>
        <w:t xml:space="preserve">Using sterile vacutainer system:</w:t>
      </w:r>
      <w:r>
        <w:t xml:space="preserve"> </w:t>
      </w:r>
      <w:r>
        <w:t xml:space="preserve">1. Insert needle</w:t>
      </w:r>
      <w:r>
        <w:t xml:space="preserve"> </w:t>
      </w:r>
      <w:r>
        <w:t xml:space="preserve">2. Fill required tube volumes</w:t>
      </w:r>
      <w:r>
        <w:t xml:space="preserve"> </w:t>
      </w:r>
      <w:r>
        <w:t xml:space="preserve">3. Release tourniquet</w:t>
      </w:r>
      <w:r>
        <w:t xml:space="preserve"> </w:t>
      </w:r>
      <w:r>
        <w:t xml:space="preserve">4. Remove needle</w:t>
      </w:r>
      <w:r>
        <w:t xml:space="preserve"> </w:t>
      </w:r>
      <w:r>
        <w:t xml:space="preserve">5. Apply pressure with gauze</w:t>
      </w:r>
      <w:r>
        <w:t xml:space="preserve"> </w:t>
      </w:r>
      <w:r>
        <w:t xml:space="preserve">6. Bandage patient if needed</w:t>
      </w:r>
      <w:r>
        <w:t xml:space="preserve"> </w:t>
      </w:r>
      <w:r>
        <w:t xml:space="preserve">7. Dispose needle in sharps container immediately</w:t>
      </w:r>
    </w:p>
    <w:bookmarkEnd w:id="45"/>
    <w:bookmarkStart w:id="46" w:name="suggested-volumes-adjust-by-protocol"/>
    <w:p>
      <w:pPr>
        <w:pStyle w:val="Heading2"/>
      </w:pPr>
      <w:r>
        <w:t xml:space="preserve">Suggested Volumes (adjust by protocol)</w:t>
      </w:r>
    </w:p>
    <w:p>
      <w:pPr>
        <w:pStyle w:val="Compact"/>
        <w:numPr>
          <w:ilvl w:val="0"/>
          <w:numId w:val="1011"/>
        </w:numPr>
      </w:pPr>
      <w:r>
        <w:t xml:space="preserve">EDTA tube: 3–5 mL</w:t>
      </w:r>
    </w:p>
    <w:p>
      <w:pPr>
        <w:pStyle w:val="Compact"/>
        <w:numPr>
          <w:ilvl w:val="0"/>
          <w:numId w:val="1011"/>
        </w:numPr>
      </w:pPr>
      <w:r>
        <w:t xml:space="preserve">Serum tube: 3–5 mL</w:t>
      </w:r>
    </w:p>
    <w:bookmarkEnd w:id="46"/>
    <w:bookmarkStart w:id="47" w:name="critical-notes"/>
    <w:p>
      <w:pPr>
        <w:pStyle w:val="Heading2"/>
      </w:pPr>
      <w:r>
        <w:t xml:space="preserve">Critical Notes</w:t>
      </w:r>
    </w:p>
    <w:p>
      <w:pPr>
        <w:pStyle w:val="Compact"/>
        <w:numPr>
          <w:ilvl w:val="0"/>
          <w:numId w:val="1012"/>
        </w:numPr>
      </w:pPr>
      <w:r>
        <w:t xml:space="preserve">Avoid vigorous shaking</w:t>
      </w:r>
    </w:p>
    <w:p>
      <w:pPr>
        <w:pStyle w:val="Compact"/>
        <w:numPr>
          <w:ilvl w:val="0"/>
          <w:numId w:val="1012"/>
        </w:numPr>
      </w:pPr>
      <w:r>
        <w:t xml:space="preserve">Avoid prolonged tourniquet time</w:t>
      </w:r>
    </w:p>
    <w:p>
      <w:pPr>
        <w:pStyle w:val="Compact"/>
        <w:numPr>
          <w:ilvl w:val="0"/>
          <w:numId w:val="1012"/>
        </w:numPr>
      </w:pPr>
      <w:r>
        <w:t xml:space="preserve">Avoid underfilling anticoagulant tubes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immediate-post-collection-handling"/>
    <w:p>
      <w:pPr>
        <w:pStyle w:val="Heading1"/>
      </w:pPr>
      <w:r>
        <w:t xml:space="preserve">9. Immediate Post-Collection Handling</w:t>
      </w:r>
    </w:p>
    <w:bookmarkStart w:id="49" w:name="edta-tube"/>
    <w:p>
      <w:pPr>
        <w:pStyle w:val="Heading2"/>
      </w:pPr>
      <w:r>
        <w:t xml:space="preserve">EDTA Tube</w:t>
      </w:r>
    </w:p>
    <w:p>
      <w:pPr>
        <w:pStyle w:val="FirstParagraph"/>
      </w:pPr>
      <w:r>
        <w:t xml:space="preserve">Gently invert 8–10 times.</w:t>
      </w:r>
      <w:r>
        <w:t xml:space="preserve"> </w:t>
      </w:r>
      <w:r>
        <w:t xml:space="preserve">Do not shake.</w:t>
      </w:r>
    </w:p>
    <w:bookmarkEnd w:id="49"/>
    <w:bookmarkStart w:id="50" w:name="serum-tube"/>
    <w:p>
      <w:pPr>
        <w:pStyle w:val="Heading2"/>
      </w:pPr>
      <w:r>
        <w:t xml:space="preserve">Serum Tube</w:t>
      </w:r>
    </w:p>
    <w:p>
      <w:pPr>
        <w:pStyle w:val="FirstParagraph"/>
      </w:pPr>
      <w:r>
        <w:t xml:space="preserve">Keep upright and allow clotting for 20–30 minutes.</w:t>
      </w:r>
    </w:p>
    <w:bookmarkEnd w:id="50"/>
    <w:bookmarkStart w:id="51" w:name="record-in-tracker"/>
    <w:p>
      <w:pPr>
        <w:pStyle w:val="Heading2"/>
      </w:pPr>
      <w:r>
        <w:t xml:space="preserve">Record in Tracker</w:t>
      </w:r>
    </w:p>
    <w:p>
      <w:pPr>
        <w:pStyle w:val="Compact"/>
        <w:numPr>
          <w:ilvl w:val="0"/>
          <w:numId w:val="1013"/>
        </w:numPr>
      </w:pPr>
      <w:r>
        <w:t xml:space="preserve">Exact collection time</w:t>
      </w:r>
    </w:p>
    <w:p>
      <w:pPr>
        <w:pStyle w:val="Compact"/>
        <w:numPr>
          <w:ilvl w:val="0"/>
          <w:numId w:val="1013"/>
        </w:numPr>
      </w:pPr>
      <w:r>
        <w:t xml:space="preserve">Collector name/initials</w:t>
      </w:r>
    </w:p>
    <w:p>
      <w:pPr>
        <w:pStyle w:val="Compact"/>
        <w:numPr>
          <w:ilvl w:val="0"/>
          <w:numId w:val="1013"/>
        </w:numPr>
      </w:pPr>
      <w:r>
        <w:t xml:space="preserve">Tube received status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transport-to-processing-laboratory"/>
    <w:p>
      <w:pPr>
        <w:pStyle w:val="Heading1"/>
      </w:pPr>
      <w:r>
        <w:t xml:space="preserve">10. Transport to Processing Laboratory</w:t>
      </w:r>
    </w:p>
    <w:bookmarkStart w:id="53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14"/>
        </w:numPr>
      </w:pPr>
      <w:r>
        <w:t xml:space="preserve">Upright rack</w:t>
      </w:r>
    </w:p>
    <w:p>
      <w:pPr>
        <w:pStyle w:val="Compact"/>
        <w:numPr>
          <w:ilvl w:val="0"/>
          <w:numId w:val="1014"/>
        </w:numPr>
      </w:pPr>
      <w:r>
        <w:t xml:space="preserve">Leak-proof secondary container</w:t>
      </w:r>
    </w:p>
    <w:p>
      <w:pPr>
        <w:pStyle w:val="Compact"/>
        <w:numPr>
          <w:ilvl w:val="0"/>
          <w:numId w:val="1014"/>
        </w:numPr>
      </w:pPr>
      <w:r>
        <w:t xml:space="preserve">Minimal delay</w:t>
      </w:r>
    </w:p>
    <w:bookmarkEnd w:id="53"/>
    <w:bookmarkStart w:id="54" w:name="target-time"/>
    <w:p>
      <w:pPr>
        <w:pStyle w:val="Heading2"/>
      </w:pPr>
      <w:r>
        <w:t xml:space="preserve">Target Time</w:t>
      </w:r>
    </w:p>
    <w:p>
      <w:pPr>
        <w:pStyle w:val="FirstParagraph"/>
      </w:pPr>
      <w:r>
        <w:t xml:space="preserve">Begin processing within 2 hours whenever possible.</w:t>
      </w:r>
    </w:p>
    <w:bookmarkEnd w:id="54"/>
    <w:bookmarkStart w:id="55" w:name="temporary-holding"/>
    <w:p>
      <w:pPr>
        <w:pStyle w:val="Heading2"/>
      </w:pPr>
      <w:r>
        <w:t xml:space="preserve">Temporary Holding</w:t>
      </w:r>
    </w:p>
    <w:p>
      <w:pPr>
        <w:pStyle w:val="FirstParagraph"/>
      </w:pPr>
      <w:r>
        <w:t xml:space="preserve">2–8°C short delay if needed (do not freeze whole blood for this workflow).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ample-reception-in-lab"/>
    <w:p>
      <w:pPr>
        <w:pStyle w:val="Heading1"/>
      </w:pPr>
      <w:r>
        <w:t xml:space="preserve">11. Sample Reception in Lab</w:t>
      </w:r>
    </w:p>
    <w:p>
      <w:pPr>
        <w:pStyle w:val="FirstParagraph"/>
      </w:pPr>
      <w:r>
        <w:t xml:space="preserve">On arrival:</w:t>
      </w:r>
      <w:r>
        <w:t xml:space="preserve"> </w:t>
      </w:r>
      <w:r>
        <w:t xml:space="preserve">1. Verify label matches tracker</w:t>
      </w:r>
      <w:r>
        <w:t xml:space="preserve"> </w:t>
      </w:r>
      <w:r>
        <w:t xml:space="preserve">2. Inspect for leakage</w:t>
      </w:r>
      <w:r>
        <w:t xml:space="preserve"> </w:t>
      </w:r>
      <w:r>
        <w:t xml:space="preserve">3. Inspect for clotting (if EDTA unexpectedly clotted, flag)</w:t>
      </w:r>
      <w:r>
        <w:t xml:space="preserve"> </w:t>
      </w:r>
      <w:r>
        <w:t xml:space="preserve">4. Inspect for severe hemolysis</w:t>
      </w:r>
      <w:r>
        <w:t xml:space="preserve"> </w:t>
      </w:r>
      <w:r>
        <w:t xml:space="preserve">5. Record receipt time</w:t>
      </w:r>
    </w:p>
    <w:p>
      <w:pPr>
        <w:pStyle w:val="BodyText"/>
      </w:pPr>
      <w:r>
        <w:t xml:space="preserve">If non-conforming, quarantine and flag.</w:t>
      </w:r>
    </w:p>
    <w:p>
      <w:r>
        <w:pict>
          <v:rect style="width:0;height:1.5pt" o:hralign="center" o:hrstd="t" o:hr="t"/>
        </w:pict>
      </w:r>
    </w:p>
    <w:bookmarkEnd w:id="57"/>
    <w:bookmarkStart w:id="62" w:name="plasma-processing-from-edta-blood"/>
    <w:p>
      <w:pPr>
        <w:pStyle w:val="Heading1"/>
      </w:pPr>
      <w:r>
        <w:t xml:space="preserve">12. Plasma Processing from EDTA Blood</w:t>
      </w:r>
    </w:p>
    <w:bookmarkStart w:id="58" w:name="step-12.1-balance-centrifuge"/>
    <w:p>
      <w:pPr>
        <w:pStyle w:val="Heading2"/>
      </w:pPr>
      <w:r>
        <w:t xml:space="preserve">Step 12.1 Balance Centrifuge</w:t>
      </w:r>
    </w:p>
    <w:p>
      <w:pPr>
        <w:pStyle w:val="FirstParagraph"/>
      </w:pPr>
      <w:r>
        <w:t xml:space="preserve">Match opposite tube weights.</w:t>
      </w:r>
    </w:p>
    <w:bookmarkEnd w:id="58"/>
    <w:bookmarkStart w:id="59" w:name="step-12.2-centrifugation"/>
    <w:p>
      <w:pPr>
        <w:pStyle w:val="Heading2"/>
      </w:pPr>
      <w:r>
        <w:t xml:space="preserve">Step 12.2 Centrifugation</w:t>
      </w:r>
    </w:p>
    <w:p>
      <w:pPr>
        <w:pStyle w:val="FirstParagraph"/>
      </w:pPr>
      <w:r>
        <w:t xml:space="preserve">Recommended starting condition:</w:t>
      </w:r>
    </w:p>
    <w:p>
      <w:pPr>
        <w:pStyle w:val="Compact"/>
        <w:numPr>
          <w:ilvl w:val="0"/>
          <w:numId w:val="1015"/>
        </w:numPr>
      </w:pPr>
      <w:r>
        <w:t xml:space="preserve">1500–2000 g</w:t>
      </w:r>
    </w:p>
    <w:p>
      <w:pPr>
        <w:pStyle w:val="Compact"/>
        <w:numPr>
          <w:ilvl w:val="0"/>
          <w:numId w:val="1015"/>
        </w:numPr>
      </w:pPr>
      <w:r>
        <w:t xml:space="preserve">10 minutes</w:t>
      </w:r>
    </w:p>
    <w:p>
      <w:pPr>
        <w:pStyle w:val="FirstParagraph"/>
      </w:pPr>
      <w:r>
        <w:t xml:space="preserve">(Adapt to instrument SOP.)</w:t>
      </w:r>
    </w:p>
    <w:bookmarkEnd w:id="59"/>
    <w:bookmarkStart w:id="60" w:name="step-12.3-layer-identification"/>
    <w:p>
      <w:pPr>
        <w:pStyle w:val="Heading2"/>
      </w:pPr>
      <w:r>
        <w:t xml:space="preserve">Step 12.3 Layer Identification</w:t>
      </w:r>
    </w:p>
    <w:p>
      <w:pPr>
        <w:pStyle w:val="FirstParagraph"/>
      </w:pPr>
      <w:r>
        <w:t xml:space="preserve">After spin:</w:t>
      </w:r>
    </w:p>
    <w:p>
      <w:pPr>
        <w:pStyle w:val="Compact"/>
        <w:numPr>
          <w:ilvl w:val="0"/>
          <w:numId w:val="1016"/>
        </w:numPr>
      </w:pPr>
      <w:r>
        <w:t xml:space="preserve">Top: Plasma</w:t>
      </w:r>
    </w:p>
    <w:p>
      <w:pPr>
        <w:pStyle w:val="Compact"/>
        <w:numPr>
          <w:ilvl w:val="0"/>
          <w:numId w:val="1016"/>
        </w:numPr>
      </w:pPr>
      <w:r>
        <w:t xml:space="preserve">Middle: Buffy coat</w:t>
      </w:r>
    </w:p>
    <w:p>
      <w:pPr>
        <w:pStyle w:val="Compact"/>
        <w:numPr>
          <w:ilvl w:val="0"/>
          <w:numId w:val="1016"/>
        </w:numPr>
      </w:pPr>
      <w:r>
        <w:t xml:space="preserve">Bottom: RBCs</w:t>
      </w:r>
    </w:p>
    <w:bookmarkEnd w:id="60"/>
    <w:bookmarkStart w:id="61" w:name="step-12.4-plasma-transfer"/>
    <w:p>
      <w:pPr>
        <w:pStyle w:val="Heading2"/>
      </w:pPr>
      <w:r>
        <w:t xml:space="preserve">Step 12.4 Plasma Transfer</w:t>
      </w:r>
    </w:p>
    <w:p>
      <w:pPr>
        <w:pStyle w:val="FirstParagraph"/>
      </w:pPr>
      <w:r>
        <w:t xml:space="preserve">Using clean pipette tip:</w:t>
      </w:r>
    </w:p>
    <w:p>
      <w:pPr>
        <w:pStyle w:val="Compact"/>
        <w:numPr>
          <w:ilvl w:val="0"/>
          <w:numId w:val="1017"/>
        </w:numPr>
      </w:pPr>
      <w:r>
        <w:t xml:space="preserve">Aspirate top plasma layer carefully</w:t>
      </w:r>
    </w:p>
    <w:p>
      <w:pPr>
        <w:pStyle w:val="Compact"/>
        <w:numPr>
          <w:ilvl w:val="0"/>
          <w:numId w:val="1017"/>
        </w:numPr>
      </w:pPr>
      <w:r>
        <w:t xml:space="preserve">Avoid disturbing buffy coat</w:t>
      </w:r>
    </w:p>
    <w:p>
      <w:pPr>
        <w:pStyle w:val="Compact"/>
        <w:numPr>
          <w:ilvl w:val="0"/>
          <w:numId w:val="1017"/>
        </w:numPr>
      </w:pPr>
      <w:r>
        <w:t xml:space="preserve">Dispense into labeled cryovials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serum-processing"/>
    <w:p>
      <w:pPr>
        <w:pStyle w:val="Heading1"/>
      </w:pPr>
      <w:r>
        <w:t xml:space="preserve">13. Serum Processing</w:t>
      </w:r>
    </w:p>
    <w:bookmarkStart w:id="63" w:name="step-13.1-confirm-clot-formation"/>
    <w:p>
      <w:pPr>
        <w:pStyle w:val="Heading2"/>
      </w:pPr>
      <w:r>
        <w:t xml:space="preserve">Step 13.1 Confirm Clot Formation</w:t>
      </w:r>
    </w:p>
    <w:p>
      <w:pPr>
        <w:pStyle w:val="FirstParagraph"/>
      </w:pPr>
      <w:r>
        <w:t xml:space="preserve">Allow full clotting before spin.</w:t>
      </w:r>
    </w:p>
    <w:bookmarkEnd w:id="63"/>
    <w:bookmarkStart w:id="64" w:name="step-13.2-centrifuge"/>
    <w:p>
      <w:pPr>
        <w:pStyle w:val="Heading2"/>
      </w:pPr>
      <w:r>
        <w:t xml:space="preserve">Step 13.2 Centrifuge</w:t>
      </w:r>
    </w:p>
    <w:p>
      <w:pPr>
        <w:pStyle w:val="Compact"/>
        <w:numPr>
          <w:ilvl w:val="0"/>
          <w:numId w:val="1018"/>
        </w:numPr>
      </w:pPr>
      <w:r>
        <w:t xml:space="preserve">1500–2000 g</w:t>
      </w:r>
    </w:p>
    <w:p>
      <w:pPr>
        <w:pStyle w:val="Compact"/>
        <w:numPr>
          <w:ilvl w:val="0"/>
          <w:numId w:val="1018"/>
        </w:numPr>
      </w:pPr>
      <w:r>
        <w:t xml:space="preserve">10 minutes</w:t>
      </w:r>
    </w:p>
    <w:bookmarkEnd w:id="64"/>
    <w:bookmarkStart w:id="65" w:name="step-13.3-serum-transfer"/>
    <w:p>
      <w:pPr>
        <w:pStyle w:val="Heading2"/>
      </w:pPr>
      <w:r>
        <w:t xml:space="preserve">Step 13.3 Serum Transfer</w:t>
      </w:r>
    </w:p>
    <w:p>
      <w:pPr>
        <w:pStyle w:val="FirstParagraph"/>
      </w:pPr>
      <w:r>
        <w:t xml:space="preserve">Transfer clear supernatant to cryovials without disturbing clot.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aliquot-strategy"/>
    <w:p>
      <w:pPr>
        <w:pStyle w:val="Heading1"/>
      </w:pPr>
      <w:r>
        <w:t xml:space="preserve">14. Aliquot Strategy</w:t>
      </w:r>
    </w:p>
    <w:bookmarkStart w:id="67" w:name="recommended-format"/>
    <w:p>
      <w:pPr>
        <w:pStyle w:val="Heading2"/>
      </w:pPr>
      <w:r>
        <w:t xml:space="preserve">Recommended Format</w:t>
      </w:r>
    </w:p>
    <w:p>
      <w:pPr>
        <w:pStyle w:val="FirstParagraph"/>
      </w:pPr>
      <w:r>
        <w:t xml:space="preserve">Example for 2 mL recovered plasma:</w:t>
      </w:r>
    </w:p>
    <w:p>
      <w:pPr>
        <w:numPr>
          <w:ilvl w:val="0"/>
          <w:numId w:val="1019"/>
        </w:numPr>
      </w:pPr>
      <w:r>
        <w:t xml:space="preserve">500 µL x 4 aliquots</w:t>
      </w:r>
      <w:r>
        <w:t xml:space="preserve"> </w:t>
      </w:r>
      <w:r>
        <w:t xml:space="preserve">or</w:t>
      </w:r>
    </w:p>
    <w:p>
      <w:pPr>
        <w:numPr>
          <w:ilvl w:val="0"/>
          <w:numId w:val="1019"/>
        </w:numPr>
      </w:pPr>
      <w:r>
        <w:t xml:space="preserve">1 mL x 2 aliquots + reserve</w:t>
      </w:r>
    </w:p>
    <w:bookmarkEnd w:id="67"/>
    <w:bookmarkStart w:id="68" w:name="why-aliquoting-matters"/>
    <w:p>
      <w:pPr>
        <w:pStyle w:val="Heading2"/>
      </w:pPr>
      <w:r>
        <w:t xml:space="preserve">Why Aliquoting Matters</w:t>
      </w:r>
    </w:p>
    <w:p>
      <w:pPr>
        <w:pStyle w:val="Compact"/>
        <w:numPr>
          <w:ilvl w:val="0"/>
          <w:numId w:val="1020"/>
        </w:numPr>
      </w:pPr>
      <w:r>
        <w:t xml:space="preserve">Prevents repeat freeze-thaw cycles</w:t>
      </w:r>
    </w:p>
    <w:p>
      <w:pPr>
        <w:pStyle w:val="Compact"/>
        <w:numPr>
          <w:ilvl w:val="0"/>
          <w:numId w:val="1020"/>
        </w:numPr>
      </w:pPr>
      <w:r>
        <w:t xml:space="preserve">Enables multiple future assays</w:t>
      </w:r>
    </w:p>
    <w:p>
      <w:pPr>
        <w:pStyle w:val="Compact"/>
        <w:numPr>
          <w:ilvl w:val="0"/>
          <w:numId w:val="1020"/>
        </w:numPr>
      </w:pPr>
      <w:r>
        <w:t xml:space="preserve">Keeps backup stock available</w:t>
      </w:r>
    </w:p>
    <w:bookmarkEnd w:id="68"/>
    <w:bookmarkStart w:id="69" w:name="label-each-aliquot"/>
    <w:p>
      <w:pPr>
        <w:pStyle w:val="Heading2"/>
      </w:pPr>
      <w:r>
        <w:t xml:space="preserve">Label Each Aliquot</w:t>
      </w:r>
    </w:p>
    <w:p>
      <w:pPr>
        <w:pStyle w:val="FirstParagraph"/>
      </w:pPr>
      <w:r>
        <w:t xml:space="preserve">SEP-0007-P1</w:t>
      </w:r>
      <w:r>
        <w:t xml:space="preserve"> </w:t>
      </w:r>
      <w:r>
        <w:t xml:space="preserve">SEP-0007-P2</w:t>
      </w:r>
      <w:r>
        <w:t xml:space="preserve"> </w:t>
      </w:r>
      <w:r>
        <w:t xml:space="preserve">SEP-0007-P3</w:t>
      </w:r>
      <w:r>
        <w:t xml:space="preserve"> </w:t>
      </w:r>
      <w:r>
        <w:t xml:space="preserve">SEP-0007-P4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storage-conditions"/>
    <w:p>
      <w:pPr>
        <w:pStyle w:val="Heading1"/>
      </w:pPr>
      <w:r>
        <w:t xml:space="preserve">15. Storage Conditions</w:t>
      </w:r>
    </w:p>
    <w:bookmarkStart w:id="71" w:name="immediate-storage"/>
    <w:p>
      <w:pPr>
        <w:pStyle w:val="Heading2"/>
      </w:pPr>
      <w:r>
        <w:t xml:space="preserve">Immediate Storage</w:t>
      </w:r>
    </w:p>
    <w:p>
      <w:pPr>
        <w:pStyle w:val="FirstParagraph"/>
      </w:pPr>
      <w:r>
        <w:t xml:space="preserve">Place aliquots on ice / cold rack during processing.</w:t>
      </w:r>
    </w:p>
    <w:bookmarkEnd w:id="71"/>
    <w:bookmarkStart w:id="72" w:name="final-storage"/>
    <w:p>
      <w:pPr>
        <w:pStyle w:val="Heading2"/>
      </w:pPr>
      <w:r>
        <w:t xml:space="preserve">Final Storage</w:t>
      </w:r>
    </w:p>
    <w:p>
      <w:pPr>
        <w:pStyle w:val="Compact"/>
        <w:numPr>
          <w:ilvl w:val="0"/>
          <w:numId w:val="1021"/>
        </w:numPr>
      </w:pPr>
      <w:r>
        <w:t xml:space="preserve">Short-term: -20°C</w:t>
      </w:r>
    </w:p>
    <w:p>
      <w:pPr>
        <w:pStyle w:val="Compact"/>
        <w:numPr>
          <w:ilvl w:val="0"/>
          <w:numId w:val="1021"/>
        </w:numPr>
      </w:pPr>
      <w:r>
        <w:t xml:space="preserve">Long-term: -80°C preferred</w:t>
      </w:r>
    </w:p>
    <w:bookmarkEnd w:id="72"/>
    <w:bookmarkStart w:id="73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22"/>
        </w:numPr>
      </w:pPr>
      <w:r>
        <w:t xml:space="preserve">Freeze promptly after aliquoting</w:t>
      </w:r>
    </w:p>
    <w:p>
      <w:pPr>
        <w:pStyle w:val="Compact"/>
        <w:numPr>
          <w:ilvl w:val="0"/>
          <w:numId w:val="1022"/>
        </w:numPr>
      </w:pPr>
      <w:r>
        <w:t xml:space="preserve">Keep freezer open time minimal</w:t>
      </w:r>
    </w:p>
    <w:p>
      <w:pPr>
        <w:pStyle w:val="Compact"/>
        <w:numPr>
          <w:ilvl w:val="0"/>
          <w:numId w:val="1022"/>
        </w:numPr>
      </w:pPr>
      <w:r>
        <w:t xml:space="preserve">Return boxes quickly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freezer-inventory-management"/>
    <w:p>
      <w:pPr>
        <w:pStyle w:val="Heading1"/>
      </w:pPr>
      <w:r>
        <w:t xml:space="preserve">16. Freezer Inventory Management</w:t>
      </w:r>
    </w:p>
    <w:bookmarkStart w:id="75" w:name="define-map"/>
    <w:p>
      <w:pPr>
        <w:pStyle w:val="Heading2"/>
      </w:pPr>
      <w:r>
        <w:t xml:space="preserve">Define Map</w:t>
      </w:r>
    </w:p>
    <w:p>
      <w:pPr>
        <w:pStyle w:val="FirstParagraph"/>
      </w:pPr>
      <w:r>
        <w:t xml:space="preserve">Freezer &gt; Rack &gt; Shelf &gt; Box &gt; Position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F1 &gt; Rack B &gt; Box 03 &gt; C5</w:t>
      </w:r>
    </w:p>
    <w:bookmarkEnd w:id="75"/>
    <w:bookmarkStart w:id="76" w:name="tracker-fields"/>
    <w:p>
      <w:pPr>
        <w:pStyle w:val="Heading2"/>
      </w:pPr>
      <w:r>
        <w:t xml:space="preserve">Tracker Fields</w:t>
      </w:r>
    </w:p>
    <w:p>
      <w:pPr>
        <w:pStyle w:val="Compact"/>
        <w:numPr>
          <w:ilvl w:val="0"/>
          <w:numId w:val="1023"/>
        </w:numPr>
      </w:pPr>
      <w:r>
        <w:t xml:space="preserve">Aliquot ID</w:t>
      </w:r>
    </w:p>
    <w:p>
      <w:pPr>
        <w:pStyle w:val="Compact"/>
        <w:numPr>
          <w:ilvl w:val="0"/>
          <w:numId w:val="1023"/>
        </w:numPr>
      </w:pPr>
      <w:r>
        <w:t xml:space="preserve">Sample ID</w:t>
      </w:r>
    </w:p>
    <w:p>
      <w:pPr>
        <w:pStyle w:val="Compact"/>
        <w:numPr>
          <w:ilvl w:val="0"/>
          <w:numId w:val="1023"/>
        </w:numPr>
      </w:pPr>
      <w:r>
        <w:t xml:space="preserve">Fraction type</w:t>
      </w:r>
    </w:p>
    <w:p>
      <w:pPr>
        <w:pStyle w:val="Compact"/>
        <w:numPr>
          <w:ilvl w:val="0"/>
          <w:numId w:val="1023"/>
        </w:numPr>
      </w:pPr>
      <w:r>
        <w:t xml:space="preserve">Volume</w:t>
      </w:r>
    </w:p>
    <w:p>
      <w:pPr>
        <w:pStyle w:val="Compact"/>
        <w:numPr>
          <w:ilvl w:val="0"/>
          <w:numId w:val="1023"/>
        </w:numPr>
      </w:pPr>
      <w:r>
        <w:t xml:space="preserve">Location</w:t>
      </w:r>
    </w:p>
    <w:p>
      <w:pPr>
        <w:pStyle w:val="Compact"/>
        <w:numPr>
          <w:ilvl w:val="0"/>
          <w:numId w:val="1023"/>
        </w:numPr>
      </w:pPr>
      <w:r>
        <w:t xml:space="preserve">Freeze date</w:t>
      </w:r>
    </w:p>
    <w:p>
      <w:pPr>
        <w:pStyle w:val="Compact"/>
        <w:numPr>
          <w:ilvl w:val="0"/>
          <w:numId w:val="1023"/>
        </w:numPr>
      </w:pPr>
      <w:r>
        <w:t xml:space="preserve">Freeze-thaw count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digital-data-management"/>
    <w:p>
      <w:pPr>
        <w:pStyle w:val="Heading1"/>
      </w:pPr>
      <w:r>
        <w:t xml:space="preserve">17. Digital Data Management</w:t>
      </w:r>
    </w:p>
    <w:bookmarkStart w:id="78" w:name="folder-structure"/>
    <w:p>
      <w:pPr>
        <w:pStyle w:val="Heading2"/>
      </w:pPr>
      <w:r>
        <w:t xml:space="preserve">Folder Structure</w:t>
      </w:r>
    </w:p>
    <w:p>
      <w:pPr>
        <w:pStyle w:val="FirstParagraph"/>
      </w:pPr>
      <w:r>
        <w:t xml:space="preserve">/Sepsis_Project/</w:t>
      </w:r>
      <w:r>
        <w:t xml:space="preserve"> </w:t>
      </w:r>
      <w:r>
        <w:t xml:space="preserve">/Clinical_Data/</w:t>
      </w:r>
      <w:r>
        <w:t xml:space="preserve"> </w:t>
      </w:r>
      <w:r>
        <w:t xml:space="preserve">/Reports/</w:t>
      </w:r>
      <w:r>
        <w:t xml:space="preserve"> </w:t>
      </w:r>
      <w:r>
        <w:t xml:space="preserve">/Inventory/</w:t>
      </w:r>
      <w:r>
        <w:t xml:space="preserve"> </w:t>
      </w:r>
      <w:r>
        <w:t xml:space="preserve">/Spectra/</w:t>
      </w:r>
      <w:r>
        <w:t xml:space="preserve"> </w:t>
      </w:r>
      <w:r>
        <w:t xml:space="preserve">/Analysis/</w:t>
      </w:r>
      <w:r>
        <w:t xml:space="preserve"> </w:t>
      </w:r>
      <w:r>
        <w:t xml:space="preserve">/Backup/</w:t>
      </w:r>
    </w:p>
    <w:bookmarkEnd w:id="78"/>
    <w:bookmarkStart w:id="79" w:name="file-naming"/>
    <w:p>
      <w:pPr>
        <w:pStyle w:val="Heading2"/>
      </w:pPr>
      <w:r>
        <w:t xml:space="preserve">File Naming</w:t>
      </w:r>
    </w:p>
    <w:p>
      <w:pPr>
        <w:pStyle w:val="FirstParagraph"/>
      </w:pPr>
      <w:r>
        <w:t xml:space="preserve">SEP-0007_report.pdf</w:t>
      </w:r>
      <w:r>
        <w:t xml:space="preserve"> </w:t>
      </w:r>
      <w:r>
        <w:t xml:space="preserve">SEP-0007_metadata.xlsx</w:t>
      </w:r>
      <w:r>
        <w:t xml:space="preserve"> </w:t>
      </w:r>
      <w:r>
        <w:t xml:space="preserve">SEP-0007_spectrum_01.csv</w:t>
      </w:r>
    </w:p>
    <w:bookmarkEnd w:id="79"/>
    <w:bookmarkStart w:id="80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24"/>
        </w:numPr>
      </w:pPr>
      <w:r>
        <w:t xml:space="preserve">Password protect sensitive files</w:t>
      </w:r>
    </w:p>
    <w:p>
      <w:pPr>
        <w:pStyle w:val="Compact"/>
        <w:numPr>
          <w:ilvl w:val="0"/>
          <w:numId w:val="1024"/>
        </w:numPr>
      </w:pPr>
      <w:r>
        <w:t xml:space="preserve">Limit access</w:t>
      </w:r>
    </w:p>
    <w:p>
      <w:pPr>
        <w:pStyle w:val="Compact"/>
        <w:numPr>
          <w:ilvl w:val="0"/>
          <w:numId w:val="1024"/>
        </w:numPr>
      </w:pPr>
      <w:r>
        <w:t xml:space="preserve">Backup weekly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mandatory-metadata-to-capture"/>
    <w:p>
      <w:pPr>
        <w:pStyle w:val="Heading1"/>
      </w:pPr>
      <w:r>
        <w:t xml:space="preserve">18. Mandatory Metadata to Capture</w:t>
      </w:r>
    </w:p>
    <w:bookmarkStart w:id="82" w:name="demographics"/>
    <w:p>
      <w:pPr>
        <w:pStyle w:val="Heading2"/>
      </w:pPr>
      <w:r>
        <w:t xml:space="preserve">Demographics</w:t>
      </w:r>
    </w:p>
    <w:p>
      <w:pPr>
        <w:pStyle w:val="Compact"/>
        <w:numPr>
          <w:ilvl w:val="0"/>
          <w:numId w:val="1025"/>
        </w:numPr>
      </w:pPr>
      <w:r>
        <w:t xml:space="preserve">Age</w:t>
      </w:r>
    </w:p>
    <w:p>
      <w:pPr>
        <w:pStyle w:val="Compact"/>
        <w:numPr>
          <w:ilvl w:val="0"/>
          <w:numId w:val="1025"/>
        </w:numPr>
      </w:pPr>
      <w:r>
        <w:t xml:space="preserve">Sex</w:t>
      </w:r>
    </w:p>
    <w:bookmarkEnd w:id="82"/>
    <w:bookmarkStart w:id="83" w:name="clinical-context"/>
    <w:p>
      <w:pPr>
        <w:pStyle w:val="Heading2"/>
      </w:pPr>
      <w:r>
        <w:t xml:space="preserve">Clinical Context</w:t>
      </w:r>
    </w:p>
    <w:p>
      <w:pPr>
        <w:pStyle w:val="Compact"/>
        <w:numPr>
          <w:ilvl w:val="0"/>
          <w:numId w:val="1026"/>
        </w:numPr>
      </w:pPr>
      <w:r>
        <w:t xml:space="preserve">ICU/Ward</w:t>
      </w:r>
    </w:p>
    <w:p>
      <w:pPr>
        <w:pStyle w:val="Compact"/>
        <w:numPr>
          <w:ilvl w:val="0"/>
          <w:numId w:val="1026"/>
        </w:numPr>
      </w:pPr>
      <w:r>
        <w:t xml:space="preserve">Symptoms</w:t>
      </w:r>
    </w:p>
    <w:p>
      <w:pPr>
        <w:pStyle w:val="Compact"/>
        <w:numPr>
          <w:ilvl w:val="0"/>
          <w:numId w:val="1026"/>
        </w:numPr>
      </w:pPr>
      <w:r>
        <w:t xml:space="preserve">Suspected source of infection</w:t>
      </w:r>
    </w:p>
    <w:p>
      <w:pPr>
        <w:pStyle w:val="Compact"/>
        <w:numPr>
          <w:ilvl w:val="0"/>
          <w:numId w:val="1026"/>
        </w:numPr>
      </w:pPr>
      <w:r>
        <w:t xml:space="preserve">Antibiotics started (Y/N)</w:t>
      </w:r>
    </w:p>
    <w:bookmarkEnd w:id="83"/>
    <w:bookmarkStart w:id="84" w:name="lab-parameters"/>
    <w:p>
      <w:pPr>
        <w:pStyle w:val="Heading2"/>
      </w:pPr>
      <w:r>
        <w:t xml:space="preserve">Lab Parameters</w:t>
      </w:r>
    </w:p>
    <w:p>
      <w:pPr>
        <w:pStyle w:val="Compact"/>
        <w:numPr>
          <w:ilvl w:val="0"/>
          <w:numId w:val="1027"/>
        </w:numPr>
      </w:pPr>
      <w:r>
        <w:t xml:space="preserve">CRP</w:t>
      </w:r>
    </w:p>
    <w:p>
      <w:pPr>
        <w:pStyle w:val="Compact"/>
        <w:numPr>
          <w:ilvl w:val="0"/>
          <w:numId w:val="1027"/>
        </w:numPr>
      </w:pPr>
      <w:r>
        <w:t xml:space="preserve">PCT</w:t>
      </w:r>
    </w:p>
    <w:p>
      <w:pPr>
        <w:pStyle w:val="Compact"/>
        <w:numPr>
          <w:ilvl w:val="0"/>
          <w:numId w:val="1027"/>
        </w:numPr>
      </w:pPr>
      <w:r>
        <w:t xml:space="preserve">Lactate</w:t>
      </w:r>
    </w:p>
    <w:p>
      <w:pPr>
        <w:pStyle w:val="Compact"/>
        <w:numPr>
          <w:ilvl w:val="0"/>
          <w:numId w:val="1027"/>
        </w:numPr>
      </w:pPr>
      <w:r>
        <w:t xml:space="preserve">WBC</w:t>
      </w:r>
    </w:p>
    <w:p>
      <w:pPr>
        <w:pStyle w:val="Compact"/>
        <w:numPr>
          <w:ilvl w:val="0"/>
          <w:numId w:val="1027"/>
        </w:numPr>
      </w:pPr>
      <w:r>
        <w:t xml:space="preserve">Culture result</w:t>
      </w:r>
    </w:p>
    <w:bookmarkEnd w:id="84"/>
    <w:bookmarkStart w:id="85" w:name="outcome"/>
    <w:p>
      <w:pPr>
        <w:pStyle w:val="Heading2"/>
      </w:pPr>
      <w:r>
        <w:t xml:space="preserve">Outcome</w:t>
      </w:r>
    </w:p>
    <w:p>
      <w:pPr>
        <w:pStyle w:val="Compact"/>
        <w:numPr>
          <w:ilvl w:val="0"/>
          <w:numId w:val="1028"/>
        </w:numPr>
      </w:pPr>
      <w:r>
        <w:t xml:space="preserve">Final diagnosis</w:t>
      </w:r>
    </w:p>
    <w:p>
      <w:pPr>
        <w:pStyle w:val="Compact"/>
        <w:numPr>
          <w:ilvl w:val="0"/>
          <w:numId w:val="1028"/>
        </w:numPr>
      </w:pPr>
      <w:r>
        <w:t xml:space="preserve">Recovery / mortality / discharge if approved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quality-control-program"/>
    <w:p>
      <w:pPr>
        <w:pStyle w:val="Heading1"/>
      </w:pPr>
      <w:r>
        <w:t xml:space="preserve">19. Quality Control Program</w:t>
      </w:r>
    </w:p>
    <w:bookmarkStart w:id="87" w:name="daily"/>
    <w:p>
      <w:pPr>
        <w:pStyle w:val="Heading2"/>
      </w:pPr>
      <w:r>
        <w:t xml:space="preserve">Daily</w:t>
      </w:r>
    </w:p>
    <w:p>
      <w:pPr>
        <w:pStyle w:val="Compact"/>
        <w:numPr>
          <w:ilvl w:val="0"/>
          <w:numId w:val="1029"/>
        </w:numPr>
      </w:pPr>
      <w:r>
        <w:t xml:space="preserve">Check freezer temperature</w:t>
      </w:r>
    </w:p>
    <w:p>
      <w:pPr>
        <w:pStyle w:val="Compact"/>
        <w:numPr>
          <w:ilvl w:val="0"/>
          <w:numId w:val="1029"/>
        </w:numPr>
      </w:pPr>
      <w:r>
        <w:t xml:space="preserve">Check alarms/power status</w:t>
      </w:r>
    </w:p>
    <w:bookmarkEnd w:id="87"/>
    <w:bookmarkStart w:id="88" w:name="weekly"/>
    <w:p>
      <w:pPr>
        <w:pStyle w:val="Heading2"/>
      </w:pPr>
      <w:r>
        <w:t xml:space="preserve">Weekly</w:t>
      </w:r>
    </w:p>
    <w:p>
      <w:pPr>
        <w:pStyle w:val="Compact"/>
        <w:numPr>
          <w:ilvl w:val="0"/>
          <w:numId w:val="1030"/>
        </w:numPr>
      </w:pPr>
      <w:r>
        <w:t xml:space="preserve">New entries reconciled</w:t>
      </w:r>
    </w:p>
    <w:p>
      <w:pPr>
        <w:pStyle w:val="Compact"/>
        <w:numPr>
          <w:ilvl w:val="0"/>
          <w:numId w:val="1030"/>
        </w:numPr>
      </w:pPr>
      <w:r>
        <w:t xml:space="preserve">Labels readable</w:t>
      </w:r>
    </w:p>
    <w:p>
      <w:pPr>
        <w:pStyle w:val="Compact"/>
        <w:numPr>
          <w:ilvl w:val="0"/>
          <w:numId w:val="1030"/>
        </w:numPr>
      </w:pPr>
      <w:r>
        <w:t xml:space="preserve">Boxes organized</w:t>
      </w:r>
    </w:p>
    <w:bookmarkEnd w:id="88"/>
    <w:bookmarkStart w:id="89" w:name="monthly"/>
    <w:p>
      <w:pPr>
        <w:pStyle w:val="Heading2"/>
      </w:pPr>
      <w:r>
        <w:t xml:space="preserve">Monthly</w:t>
      </w:r>
    </w:p>
    <w:p>
      <w:pPr>
        <w:pStyle w:val="Compact"/>
        <w:numPr>
          <w:ilvl w:val="0"/>
          <w:numId w:val="1031"/>
        </w:numPr>
      </w:pPr>
      <w:r>
        <w:t xml:space="preserve">Random vial audit</w:t>
      </w:r>
    </w:p>
    <w:p>
      <w:pPr>
        <w:pStyle w:val="Compact"/>
        <w:numPr>
          <w:ilvl w:val="0"/>
          <w:numId w:val="1031"/>
        </w:numPr>
      </w:pPr>
      <w:r>
        <w:t xml:space="preserve">Missing metadata review</w:t>
      </w:r>
    </w:p>
    <w:p>
      <w:pPr>
        <w:pStyle w:val="Compact"/>
        <w:numPr>
          <w:ilvl w:val="0"/>
          <w:numId w:val="1031"/>
        </w:numPr>
      </w:pPr>
      <w:r>
        <w:t xml:space="preserve">Temperature log review</w:t>
      </w:r>
    </w:p>
    <w:p>
      <w:pPr>
        <w:pStyle w:val="Compact"/>
        <w:numPr>
          <w:ilvl w:val="0"/>
          <w:numId w:val="1031"/>
        </w:numPr>
      </w:pPr>
      <w:r>
        <w:t xml:space="preserve">Capacity planning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rejection-deviation-criteria"/>
    <w:p>
      <w:pPr>
        <w:pStyle w:val="Heading1"/>
      </w:pPr>
      <w:r>
        <w:t xml:space="preserve">20. Rejection / Deviation Criteria</w:t>
      </w:r>
    </w:p>
    <w:p>
      <w:pPr>
        <w:pStyle w:val="FirstParagraph"/>
      </w:pPr>
      <w:r>
        <w:t xml:space="preserve">Reject or flag if:</w:t>
      </w:r>
    </w:p>
    <w:p>
      <w:pPr>
        <w:pStyle w:val="Compact"/>
        <w:numPr>
          <w:ilvl w:val="0"/>
          <w:numId w:val="1032"/>
        </w:numPr>
      </w:pPr>
      <w:r>
        <w:t xml:space="preserve">Wrong label</w:t>
      </w:r>
    </w:p>
    <w:p>
      <w:pPr>
        <w:pStyle w:val="Compact"/>
        <w:numPr>
          <w:ilvl w:val="0"/>
          <w:numId w:val="1032"/>
        </w:numPr>
      </w:pPr>
      <w:r>
        <w:t xml:space="preserve">Missing ID</w:t>
      </w:r>
    </w:p>
    <w:p>
      <w:pPr>
        <w:pStyle w:val="Compact"/>
        <w:numPr>
          <w:ilvl w:val="0"/>
          <w:numId w:val="1032"/>
        </w:numPr>
      </w:pPr>
      <w:r>
        <w:t xml:space="preserve">Leaking tube</w:t>
      </w:r>
    </w:p>
    <w:p>
      <w:pPr>
        <w:pStyle w:val="Compact"/>
        <w:numPr>
          <w:ilvl w:val="0"/>
          <w:numId w:val="1032"/>
        </w:numPr>
      </w:pPr>
      <w:r>
        <w:t xml:space="preserve">Severe hemolysis</w:t>
      </w:r>
    </w:p>
    <w:p>
      <w:pPr>
        <w:pStyle w:val="Compact"/>
        <w:numPr>
          <w:ilvl w:val="0"/>
          <w:numId w:val="1032"/>
        </w:numPr>
      </w:pPr>
      <w:r>
        <w:t xml:space="preserve">Unknown storage excursion</w:t>
      </w:r>
    </w:p>
    <w:p>
      <w:pPr>
        <w:pStyle w:val="Compact"/>
        <w:numPr>
          <w:ilvl w:val="0"/>
          <w:numId w:val="1032"/>
        </w:numPr>
      </w:pPr>
      <w:r>
        <w:t xml:space="preserve">Repeated thawing not recorded</w:t>
      </w:r>
    </w:p>
    <w:p>
      <w:pPr>
        <w:pStyle w:val="Compact"/>
        <w:numPr>
          <w:ilvl w:val="0"/>
          <w:numId w:val="1032"/>
        </w:numPr>
      </w:pPr>
      <w:r>
        <w:t xml:space="preserve">Incomplete critical metadata</w:t>
      </w:r>
    </w:p>
    <w:p>
      <w:pPr>
        <w:pStyle w:val="FirstParagraph"/>
      </w:pPr>
      <w:r>
        <w:t xml:space="preserve">Document every deviation.</w:t>
      </w:r>
    </w:p>
    <w:p>
      <w:r>
        <w:pict>
          <v:rect style="width:0;height:1.5pt" o:hralign="center" o:hrstd="t" o:hr="t"/>
        </w:pict>
      </w:r>
    </w:p>
    <w:bookmarkEnd w:id="91"/>
    <w:bookmarkStart w:id="93" w:name="retrieval-for-future-experiments"/>
    <w:p>
      <w:pPr>
        <w:pStyle w:val="Heading1"/>
      </w:pPr>
      <w:r>
        <w:t xml:space="preserve">21. Retrieval for Future Experiments</w:t>
      </w:r>
    </w:p>
    <w:bookmarkStart w:id="92" w:name="procedure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33"/>
        </w:numPr>
      </w:pPr>
      <w:r>
        <w:t xml:space="preserve">Select required IDs from tracker</w:t>
      </w:r>
    </w:p>
    <w:p>
      <w:pPr>
        <w:pStyle w:val="Compact"/>
        <w:numPr>
          <w:ilvl w:val="0"/>
          <w:numId w:val="1033"/>
        </w:numPr>
      </w:pPr>
      <w:r>
        <w:t xml:space="preserve">Retrieve only needed aliquots</w:t>
      </w:r>
    </w:p>
    <w:p>
      <w:pPr>
        <w:pStyle w:val="Compact"/>
        <w:numPr>
          <w:ilvl w:val="0"/>
          <w:numId w:val="1033"/>
        </w:numPr>
      </w:pPr>
      <w:r>
        <w:t xml:space="preserve">Record checkout time</w:t>
      </w:r>
    </w:p>
    <w:p>
      <w:pPr>
        <w:pStyle w:val="Compact"/>
        <w:numPr>
          <w:ilvl w:val="0"/>
          <w:numId w:val="1033"/>
        </w:numPr>
      </w:pPr>
      <w:r>
        <w:t xml:space="preserve">Thaw one aliquot only</w:t>
      </w:r>
    </w:p>
    <w:p>
      <w:pPr>
        <w:pStyle w:val="Compact"/>
        <w:numPr>
          <w:ilvl w:val="0"/>
          <w:numId w:val="1033"/>
        </w:numPr>
      </w:pPr>
      <w:r>
        <w:t xml:space="preserve">Update freeze-thaw count</w:t>
      </w:r>
    </w:p>
    <w:p>
      <w:pPr>
        <w:pStyle w:val="Compact"/>
        <w:numPr>
          <w:ilvl w:val="0"/>
          <w:numId w:val="1033"/>
        </w:numPr>
      </w:pPr>
      <w:r>
        <w:t xml:space="preserve">Return unused stock immediately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future-use-cases"/>
    <w:p>
      <w:pPr>
        <w:pStyle w:val="Heading1"/>
      </w:pPr>
      <w:r>
        <w:t xml:space="preserve">22. Future Use Cases</w:t>
      </w:r>
    </w:p>
    <w:p>
      <w:pPr>
        <w:pStyle w:val="FirstParagraph"/>
      </w:pPr>
      <w:r>
        <w:t xml:space="preserve">Stored samples may support:</w:t>
      </w:r>
    </w:p>
    <w:p>
      <w:pPr>
        <w:pStyle w:val="Compact"/>
        <w:numPr>
          <w:ilvl w:val="0"/>
          <w:numId w:val="1034"/>
        </w:numPr>
      </w:pPr>
      <w:r>
        <w:t xml:space="preserve">SERS chip validation</w:t>
      </w:r>
    </w:p>
    <w:p>
      <w:pPr>
        <w:pStyle w:val="Compact"/>
        <w:numPr>
          <w:ilvl w:val="0"/>
          <w:numId w:val="1034"/>
        </w:numPr>
      </w:pPr>
      <w:r>
        <w:t xml:space="preserve">ELISA comparison</w:t>
      </w:r>
    </w:p>
    <w:p>
      <w:pPr>
        <w:pStyle w:val="Compact"/>
        <w:numPr>
          <w:ilvl w:val="0"/>
          <w:numId w:val="1034"/>
        </w:numPr>
      </w:pPr>
      <w:r>
        <w:t xml:space="preserve">Multiplex biomarker testing</w:t>
      </w:r>
    </w:p>
    <w:p>
      <w:pPr>
        <w:pStyle w:val="Compact"/>
        <w:numPr>
          <w:ilvl w:val="0"/>
          <w:numId w:val="1034"/>
        </w:numPr>
      </w:pPr>
      <w:r>
        <w:t xml:space="preserve">Raman spectral libraries</w:t>
      </w:r>
    </w:p>
    <w:p>
      <w:pPr>
        <w:pStyle w:val="Compact"/>
        <w:numPr>
          <w:ilvl w:val="0"/>
          <w:numId w:val="1034"/>
        </w:numPr>
      </w:pPr>
      <w:r>
        <w:t xml:space="preserve">AI/ML classifiers</w:t>
      </w:r>
    </w:p>
    <w:p>
      <w:pPr>
        <w:pStyle w:val="Compact"/>
        <w:numPr>
          <w:ilvl w:val="0"/>
          <w:numId w:val="1034"/>
        </w:numPr>
      </w:pPr>
      <w:r>
        <w:t xml:space="preserve">Longitudinal analysis (if serial samples collected)</w:t>
      </w:r>
    </w:p>
    <w:p>
      <w:r>
        <w:pict>
          <v:rect style="width:0;height:1.5pt" o:hralign="center" o:hrstd="t" o:hr="t"/>
        </w:pict>
      </w:r>
    </w:p>
    <w:bookmarkEnd w:id="94"/>
    <w:bookmarkStart w:id="100" w:name="common-failure-modes-and-prevention"/>
    <w:p>
      <w:pPr>
        <w:pStyle w:val="Heading1"/>
      </w:pPr>
      <w:r>
        <w:t xml:space="preserve">23. Common Failure Modes and Prevention</w:t>
      </w:r>
    </w:p>
    <w:bookmarkStart w:id="95" w:name="hemolysis"/>
    <w:p>
      <w:pPr>
        <w:pStyle w:val="Heading2"/>
      </w:pPr>
      <w:r>
        <w:t xml:space="preserve">Hemolysis</w:t>
      </w:r>
    </w:p>
    <w:p>
      <w:pPr>
        <w:pStyle w:val="FirstParagraph"/>
      </w:pPr>
      <w:r>
        <w:t xml:space="preserve">Cause: rough draw / shaking</w:t>
      </w:r>
      <w:r>
        <w:t xml:space="preserve"> </w:t>
      </w:r>
      <w:r>
        <w:t xml:space="preserve">Prevention: gentle handling</w:t>
      </w:r>
    </w:p>
    <w:bookmarkEnd w:id="95"/>
    <w:bookmarkStart w:id="96" w:name="mislabeling"/>
    <w:p>
      <w:pPr>
        <w:pStyle w:val="Heading2"/>
      </w:pPr>
      <w:r>
        <w:t xml:space="preserve">Mislabeling</w:t>
      </w:r>
    </w:p>
    <w:p>
      <w:pPr>
        <w:pStyle w:val="FirstParagraph"/>
      </w:pPr>
      <w:r>
        <w:t xml:space="preserve">Cause: manual error</w:t>
      </w:r>
      <w:r>
        <w:t xml:space="preserve"> </w:t>
      </w:r>
      <w:r>
        <w:t xml:space="preserve">Prevention: pre-printed labels + double check</w:t>
      </w:r>
    </w:p>
    <w:bookmarkEnd w:id="96"/>
    <w:bookmarkStart w:id="97" w:name="biomarker-degradation"/>
    <w:p>
      <w:pPr>
        <w:pStyle w:val="Heading2"/>
      </w:pPr>
      <w:r>
        <w:t xml:space="preserve">Biomarker Degradation</w:t>
      </w:r>
    </w:p>
    <w:p>
      <w:pPr>
        <w:pStyle w:val="FirstParagraph"/>
      </w:pPr>
      <w:r>
        <w:t xml:space="preserve">Cause: delay/warm storage</w:t>
      </w:r>
      <w:r>
        <w:t xml:space="preserve"> </w:t>
      </w:r>
      <w:r>
        <w:t xml:space="preserve">Prevention: rapid processing + freezing</w:t>
      </w:r>
    </w:p>
    <w:bookmarkEnd w:id="97"/>
    <w:bookmarkStart w:id="98" w:name="lost-samples"/>
    <w:p>
      <w:pPr>
        <w:pStyle w:val="Heading2"/>
      </w:pPr>
      <w:r>
        <w:t xml:space="preserve">Lost Samples</w:t>
      </w:r>
    </w:p>
    <w:p>
      <w:pPr>
        <w:pStyle w:val="FirstParagraph"/>
      </w:pPr>
      <w:r>
        <w:t xml:space="preserve">Cause: poor inventory</w:t>
      </w:r>
      <w:r>
        <w:t xml:space="preserve"> </w:t>
      </w:r>
      <w:r>
        <w:t xml:space="preserve">Prevention: freezer mapping</w:t>
      </w:r>
    </w:p>
    <w:bookmarkEnd w:id="98"/>
    <w:bookmarkStart w:id="99" w:name="data-uselessness"/>
    <w:p>
      <w:pPr>
        <w:pStyle w:val="Heading2"/>
      </w:pPr>
      <w:r>
        <w:t xml:space="preserve">Data Uselessness</w:t>
      </w:r>
    </w:p>
    <w:p>
      <w:pPr>
        <w:pStyle w:val="FirstParagraph"/>
      </w:pPr>
      <w:r>
        <w:t xml:space="preserve">Cause: no diagnosis labels</w:t>
      </w:r>
      <w:r>
        <w:t xml:space="preserve"> </w:t>
      </w:r>
      <w:r>
        <w:t xml:space="preserve">Prevention: mandatory metadata fields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Xa0bdf7e0cd206b8a2099e580f6532e401da16ba"/>
    <w:p>
      <w:pPr>
        <w:pStyle w:val="Heading1"/>
      </w:pPr>
      <w:r>
        <w:t xml:space="preserve">24. Initial Operational Targets (First 6 Months)</w:t>
      </w:r>
    </w:p>
    <w:p>
      <w:pPr>
        <w:pStyle w:val="Compact"/>
        <w:numPr>
          <w:ilvl w:val="0"/>
          <w:numId w:val="1035"/>
        </w:numPr>
      </w:pPr>
      <w:r>
        <w:t xml:space="preserve">50 sepsis positive cases</w:t>
      </w:r>
    </w:p>
    <w:p>
      <w:pPr>
        <w:pStyle w:val="Compact"/>
        <w:numPr>
          <w:ilvl w:val="0"/>
          <w:numId w:val="1035"/>
        </w:numPr>
      </w:pPr>
      <w:r>
        <w:t xml:space="preserve">50 negative suspected cases</w:t>
      </w:r>
    </w:p>
    <w:p>
      <w:pPr>
        <w:pStyle w:val="Compact"/>
        <w:numPr>
          <w:ilvl w:val="0"/>
          <w:numId w:val="1035"/>
        </w:numPr>
      </w:pPr>
      <w:r>
        <w:t xml:space="preserve">30 controls</w:t>
      </w:r>
    </w:p>
    <w:p>
      <w:pPr>
        <w:pStyle w:val="BlockText"/>
        <w:numPr>
          <w:ilvl w:val="0"/>
          <w:numId w:val="1035"/>
        </w:numPr>
      </w:pPr>
      <w:r>
        <w:t xml:space="preserve">90% complete metadata</w:t>
      </w:r>
    </w:p>
    <w:p>
      <w:pPr>
        <w:pStyle w:val="Compact"/>
        <w:numPr>
          <w:ilvl w:val="0"/>
          <w:numId w:val="1035"/>
        </w:numPr>
      </w:pPr>
      <w:r>
        <w:t xml:space="preserve">&lt;5% rejected samples</w:t>
      </w:r>
    </w:p>
    <w:p>
      <w:r>
        <w:pict>
          <v:rect style="width:0;height:1.5pt" o:hralign="center" o:hrstd="t" o:hr="t"/>
        </w:pict>
      </w:r>
    </w:p>
    <w:bookmarkEnd w:id="101"/>
    <w:bookmarkStart w:id="102" w:name="final-outcome"/>
    <w:p>
      <w:pPr>
        <w:pStyle w:val="Heading1"/>
      </w:pPr>
      <w:r>
        <w:t xml:space="preserve">25. Final Outcome</w:t>
      </w:r>
    </w:p>
    <w:p>
      <w:pPr>
        <w:pStyle w:val="FirstParagraph"/>
      </w:pPr>
      <w:r>
        <w:t xml:space="preserve">A robust, reusable, research-grade sepsis sample repository enabling rapid future experiments without restarting sample collection from zero.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2026-04-23T22:14:54Z</dcterms:created>
  <dcterms:modified xsi:type="dcterms:W3CDTF">2026-04-23T22:14:54Z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