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sz w:val="30"/>
        </w:rPr>
        <w:t>Experimental Progress Report</w:t>
      </w:r>
    </w:p>
    <w:p>
      <w:pPr>
        <w:spacing w:after="40"/>
        <w:jc w:val="center"/>
      </w:pPr>
      <w:r>
        <w:rPr>
          <w:b w:val="0"/>
          <w:i/>
          <w:sz w:val="19"/>
        </w:rPr>
        <w:t>SERS Biosensor Development — Ag/Black-Silicon Substrates for Bacterial Cell-Wall Biomarker Detection</w:t>
      </w:r>
    </w:p>
    <w:p>
      <w:pPr>
        <w:spacing w:after="40"/>
        <w:jc w:val="center"/>
      </w:pPr>
      <w:r>
        <w:rPr>
          <w:color w:val="1B3A6B"/>
          <w:sz w:val="16"/>
        </w:rPr>
        <w:t>________________________________________________________________________________________</w:t>
      </w:r>
    </w:p>
    <w:p>
      <w:pPr>
        <w:spacing w:after="120"/>
        <w:jc w:val="center"/>
      </w:pPr>
      <w:r>
        <w:rPr>
          <w:b w:val="0"/>
          <w:i w:val="0"/>
          <w:sz w:val="16"/>
        </w:rPr>
        <w:t>Sukesh P (M24IM1007)  |  M.Tech, Joint IDRP, IIT Jodhpur &amp; AIIMS Jodhpur  |  Supervisor: Prof. Ajay Agarwal  |  Reporting period: 12–16 August 2026</w:t>
      </w:r>
    </w:p>
    <w:p>
      <w:pPr>
        <w:pStyle w:val="Heading1"/>
      </w:pPr>
      <w:r>
        <w:t>1. Objective</w:t>
      </w:r>
    </w:p>
    <w:p>
      <w:pPr>
        <w:spacing w:after="80"/>
      </w:pPr>
      <w:r>
        <w:rPr>
          <w:b w:val="0"/>
          <w:i w:val="0"/>
        </w:rPr>
        <w:t>To fabricate and validate silver-decorated black-silicon SERS substrates by one-step metal-assisted chemical etching (MACE), and to evaluate their capability for label-free detection of bacterial cell-wall biomarkers relevant to sepsis diagnostics — N-acetylmuramic acid (NAM), lipoteichoic acid (LTA) and lipopolysaccharide (LPS).</w:t>
      </w:r>
    </w:p>
    <w:p>
      <w:pPr>
        <w:pStyle w:val="Heading1"/>
      </w:pPr>
      <w:r>
        <w:t>2. Experiments Performed</w:t>
      </w:r>
    </w:p>
    <w:tbl>
      <w:tblPr>
        <w:tblStyle w:val="TableGrid"/>
        <w:tblW w:type="auto" w:w="0"/>
        <w:jc w:val="center"/>
        <w:tblLook w:firstColumn="1" w:firstRow="1" w:lastColumn="0" w:lastRow="0" w:noHBand="0" w:noVBand="1" w:val="04A0"/>
      </w:tblPr>
      <w:tblGrid>
        <w:gridCol w:w="2036"/>
        <w:gridCol w:w="2036"/>
        <w:gridCol w:w="2036"/>
        <w:gridCol w:w="2036"/>
        <w:gridCol w:w="2036"/>
      </w:tblGrid>
      <w:tr>
        <w:tc>
          <w:tcPr>
            <w:tcW w:type="dxa" w:w="792"/>
            <w:shd w:val="clear" w:fill="1B3A6B"/>
          </w:tcPr>
          <w:p>
            <w:pPr>
              <w:spacing w:after="20"/>
            </w:pPr>
            <w:r/>
            <w:r>
              <w:rPr>
                <w:b/>
                <w:color w:val="FFFFFF"/>
                <w:sz w:val="15"/>
              </w:rPr>
              <w:t>Date</w:t>
            </w:r>
          </w:p>
        </w:tc>
        <w:tc>
          <w:tcPr>
            <w:tcW w:type="dxa" w:w="2520"/>
            <w:shd w:val="clear" w:fill="1B3A6B"/>
          </w:tcPr>
          <w:p>
            <w:pPr>
              <w:spacing w:after="20"/>
            </w:pPr>
            <w:r/>
            <w:r>
              <w:rPr>
                <w:b/>
                <w:color w:val="FFFFFF"/>
                <w:sz w:val="15"/>
              </w:rPr>
              <w:t>Experiment</w:t>
            </w:r>
          </w:p>
        </w:tc>
        <w:tc>
          <w:tcPr>
            <w:tcW w:type="dxa" w:w="3816"/>
            <w:shd w:val="clear" w:fill="1B3A6B"/>
          </w:tcPr>
          <w:p>
            <w:pPr>
              <w:spacing w:after="20"/>
            </w:pPr>
            <w:r/>
            <w:r>
              <w:rPr>
                <w:b/>
                <w:color w:val="FFFFFF"/>
                <w:sz w:val="15"/>
              </w:rPr>
              <w:t>Conditions</w:t>
            </w:r>
          </w:p>
        </w:tc>
        <w:tc>
          <w:tcPr>
            <w:tcW w:type="dxa" w:w="648"/>
            <w:shd w:val="clear" w:fill="1B3A6B"/>
          </w:tcPr>
          <w:p>
            <w:pPr>
              <w:spacing w:after="20"/>
            </w:pPr>
            <w:r/>
            <w:r>
              <w:rPr>
                <w:b/>
                <w:color w:val="FFFFFF"/>
                <w:sz w:val="15"/>
              </w:rPr>
              <w:t>Spectra</w:t>
            </w:r>
          </w:p>
        </w:tc>
        <w:tc>
          <w:tcPr>
            <w:tcW w:type="dxa" w:w="2376"/>
            <w:shd w:val="clear" w:fill="1B3A6B"/>
          </w:tcPr>
          <w:p>
            <w:pPr>
              <w:spacing w:after="20"/>
            </w:pPr>
            <w:r/>
            <w:r>
              <w:rPr>
                <w:b/>
                <w:color w:val="FFFFFF"/>
                <w:sz w:val="15"/>
              </w:rPr>
              <w:t>Outcome</w:t>
            </w:r>
          </w:p>
        </w:tc>
      </w:tr>
      <w:tr>
        <w:tc>
          <w:tcPr>
            <w:tcW w:type="dxa" w:w="792"/>
          </w:tcPr>
          <w:p>
            <w:pPr>
              <w:spacing w:after="20"/>
            </w:pPr>
            <w:r/>
            <w:r>
              <w:rPr>
                <w:sz w:val="15"/>
              </w:rPr>
              <w:t>12 Aug</w:t>
            </w:r>
          </w:p>
        </w:tc>
        <w:tc>
          <w:tcPr>
            <w:tcW w:type="dxa" w:w="2520"/>
          </w:tcPr>
          <w:p>
            <w:pPr>
              <w:spacing w:after="20"/>
            </w:pPr>
            <w:r/>
            <w:r>
              <w:rPr>
                <w:sz w:val="15"/>
              </w:rPr>
              <w:t>MACE fabrication + R6G validation + NAM detection</w:t>
            </w:r>
          </w:p>
        </w:tc>
        <w:tc>
          <w:tcPr>
            <w:tcW w:type="dxa" w:w="3816"/>
          </w:tcPr>
          <w:p>
            <w:pPr>
              <w:spacing w:after="20"/>
            </w:pPr>
            <w:r/>
            <w:r>
              <w:rPr>
                <w:sz w:val="15"/>
              </w:rPr>
              <w:t>20 mM AgNO₃ (0.170 g) + 4.8 M HF (8.6 mL) in 50 mL; etch 2 / 5 / 10 min; 785 nm, 5 s, 3 acc., power 5 &amp; 10</w:t>
            </w:r>
          </w:p>
        </w:tc>
        <w:tc>
          <w:tcPr>
            <w:tcW w:type="dxa" w:w="648"/>
          </w:tcPr>
          <w:p>
            <w:pPr>
              <w:spacing w:after="20"/>
            </w:pPr>
            <w:r/>
            <w:r>
              <w:rPr>
                <w:sz w:val="15"/>
              </w:rPr>
              <w:t>177</w:t>
            </w:r>
          </w:p>
        </w:tc>
        <w:tc>
          <w:tcPr>
            <w:tcW w:type="dxa" w:w="2376"/>
          </w:tcPr>
          <w:p>
            <w:pPr>
              <w:spacing w:after="20"/>
            </w:pPr>
            <w:r/>
            <w:r>
              <w:rPr>
                <w:sz w:val="15"/>
              </w:rPr>
              <w:t>R6G detected on all substrates; NAM not detected</w:t>
            </w:r>
          </w:p>
        </w:tc>
      </w:tr>
      <w:tr>
        <w:tc>
          <w:tcPr>
            <w:tcW w:type="dxa" w:w="792"/>
            <w:shd w:val="clear" w:fill="E7ECF4"/>
          </w:tcPr>
          <w:p>
            <w:pPr>
              <w:spacing w:after="20"/>
            </w:pPr>
            <w:r/>
            <w:r>
              <w:rPr>
                <w:sz w:val="15"/>
              </w:rPr>
              <w:t>13 Aug</w:t>
            </w:r>
          </w:p>
        </w:tc>
        <w:tc>
          <w:tcPr>
            <w:tcW w:type="dxa" w:w="2520"/>
            <w:shd w:val="clear" w:fill="E7ECF4"/>
          </w:tcPr>
          <w:p>
            <w:pPr>
              <w:spacing w:after="20"/>
            </w:pPr>
            <w:r/>
            <w:r>
              <w:rPr>
                <w:sz w:val="15"/>
              </w:rPr>
              <w:t>Raw-Si reference / instrument calibration</w:t>
            </w:r>
          </w:p>
        </w:tc>
        <w:tc>
          <w:tcPr>
            <w:tcW w:type="dxa" w:w="3816"/>
            <w:shd w:val="clear" w:fill="E7ECF4"/>
          </w:tcPr>
          <w:p>
            <w:pPr>
              <w:spacing w:after="20"/>
            </w:pPr>
            <w:r/>
            <w:r>
              <w:rPr>
                <w:sz w:val="15"/>
              </w:rPr>
              <w:t>Unetched Si; power levels 1, 5, 10 × integration 1–25 s; 3–5 spots per condition</w:t>
            </w:r>
          </w:p>
        </w:tc>
        <w:tc>
          <w:tcPr>
            <w:tcW w:type="dxa" w:w="648"/>
            <w:shd w:val="clear" w:fill="E7ECF4"/>
          </w:tcPr>
          <w:p>
            <w:pPr>
              <w:spacing w:after="20"/>
            </w:pPr>
            <w:r/>
            <w:r>
              <w:rPr>
                <w:sz w:val="15"/>
              </w:rPr>
              <w:t>45</w:t>
            </w:r>
          </w:p>
        </w:tc>
        <w:tc>
          <w:tcPr>
            <w:tcW w:type="dxa" w:w="2376"/>
            <w:shd w:val="clear" w:fill="E7ECF4"/>
          </w:tcPr>
          <w:p>
            <w:pPr>
              <w:spacing w:after="20"/>
            </w:pPr>
            <w:r/>
            <w:r>
              <w:rPr>
                <w:sz w:val="15"/>
              </w:rPr>
              <w:t>Si baseline established; calibration offset identified</w:t>
            </w:r>
          </w:p>
        </w:tc>
      </w:tr>
      <w:tr>
        <w:tc>
          <w:tcPr>
            <w:tcW w:type="dxa" w:w="792"/>
          </w:tcPr>
          <w:p>
            <w:pPr>
              <w:spacing w:after="20"/>
            </w:pPr>
            <w:r/>
            <w:r>
              <w:rPr>
                <w:sz w:val="15"/>
              </w:rPr>
              <w:t>14 Aug</w:t>
            </w:r>
          </w:p>
        </w:tc>
        <w:tc>
          <w:tcPr>
            <w:tcW w:type="dxa" w:w="2520"/>
          </w:tcPr>
          <w:p>
            <w:pPr>
              <w:spacing w:after="20"/>
            </w:pPr>
            <w:r/>
            <w:r>
              <w:rPr>
                <w:sz w:val="15"/>
              </w:rPr>
              <w:t>LTA detection on 2-min substrate</w:t>
            </w:r>
          </w:p>
        </w:tc>
        <w:tc>
          <w:tcPr>
            <w:tcW w:type="dxa" w:w="3816"/>
          </w:tcPr>
          <w:p>
            <w:pPr>
              <w:spacing w:after="20"/>
            </w:pPr>
            <w:r/>
            <w:r>
              <w:rPr>
                <w:sz w:val="15"/>
              </w:rPr>
              <w:t>2-min etched Ag/black-Si; LTA deposited; 785 nm, 5 s, 3 acc., power 5; 15 spots</w:t>
            </w:r>
          </w:p>
        </w:tc>
        <w:tc>
          <w:tcPr>
            <w:tcW w:type="dxa" w:w="648"/>
          </w:tcPr>
          <w:p>
            <w:pPr>
              <w:spacing w:after="20"/>
            </w:pPr>
            <w:r/>
            <w:r>
              <w:rPr>
                <w:sz w:val="15"/>
              </w:rPr>
              <w:t>15</w:t>
            </w:r>
          </w:p>
        </w:tc>
        <w:tc>
          <w:tcPr>
            <w:tcW w:type="dxa" w:w="2376"/>
          </w:tcPr>
          <w:p>
            <w:pPr>
              <w:spacing w:after="20"/>
            </w:pPr>
            <w:r/>
            <w:r>
              <w:rPr>
                <w:sz w:val="15"/>
              </w:rPr>
              <w:t>Not detected (initial positive proved to be an artifact)</w:t>
            </w:r>
          </w:p>
        </w:tc>
      </w:tr>
    </w:tbl>
    <w:p>
      <w:pPr>
        <w:spacing w:after="20"/>
      </w:pPr>
    </w:p>
    <w:p>
      <w:pPr>
        <w:spacing w:after="80"/>
      </w:pPr>
      <w:r>
        <w:rPr>
          <w:b w:val="0"/>
          <w:i/>
          <w:sz w:val="16"/>
        </w:rPr>
        <w:t>Total: 237 spectra across 3 experimental sessions.</w:t>
      </w:r>
    </w:p>
    <w:p>
      <w:pPr>
        <w:pStyle w:val="Heading1"/>
      </w:pPr>
      <w:r>
        <w:t>3. Results</w:t>
      </w:r>
    </w:p>
    <w:p>
      <w:pPr>
        <w:pStyle w:val="Heading2"/>
      </w:pPr>
      <w:r>
        <w:t>3.1  Substrate validation with Rhodamine 6G — successful</w:t>
      </w:r>
    </w:p>
    <w:p>
      <w:pPr>
        <w:spacing w:after="60"/>
      </w:pPr>
      <w:r>
        <w:rPr>
          <w:b w:val="0"/>
          <w:i w:val="0"/>
        </w:rPr>
        <w:t>All eight standard R6G SERS bands (612, 774, 1183, 1310, 1362, 1509, 1575, 1650 cm⁻¹) were detected on all three substrates, confirming that both the MACE fabrication process and the Raman acquisition chain are functioning correctly. Etch time had a large effect on enhancement:</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440"/>
            <w:shd w:val="clear" w:fill="1B3A6B"/>
          </w:tcPr>
          <w:p>
            <w:pPr>
              <w:spacing w:after="20"/>
            </w:pPr>
            <w:r/>
            <w:r>
              <w:rPr>
                <w:b/>
                <w:color w:val="FFFFFF"/>
                <w:sz w:val="15"/>
              </w:rPr>
              <w:t>Etch time</w:t>
            </w:r>
          </w:p>
        </w:tc>
        <w:tc>
          <w:tcPr>
            <w:tcW w:type="dxa" w:w="3168"/>
            <w:shd w:val="clear" w:fill="1B3A6B"/>
          </w:tcPr>
          <w:p>
            <w:pPr>
              <w:spacing w:after="20"/>
            </w:pPr>
            <w:r/>
            <w:r>
              <w:rPr>
                <w:b/>
                <w:color w:val="FFFFFF"/>
                <w:sz w:val="15"/>
              </w:rPr>
              <w:t>Peak height at 1509 cm⁻¹ (counts)</w:t>
            </w:r>
          </w:p>
        </w:tc>
        <w:tc>
          <w:tcPr>
            <w:tcW w:type="dxa" w:w="1152"/>
            <w:shd w:val="clear" w:fill="1B3A6B"/>
          </w:tcPr>
          <w:p>
            <w:pPr>
              <w:spacing w:after="20"/>
            </w:pPr>
            <w:r/>
            <w:r>
              <w:rPr>
                <w:b/>
                <w:color w:val="FFFFFF"/>
                <w:sz w:val="15"/>
              </w:rPr>
              <w:t>SNR</w:t>
            </w:r>
          </w:p>
        </w:tc>
        <w:tc>
          <w:tcPr>
            <w:tcW w:type="dxa" w:w="2016"/>
            <w:shd w:val="clear" w:fill="1B3A6B"/>
          </w:tcPr>
          <w:p>
            <w:pPr>
              <w:spacing w:after="20"/>
            </w:pPr>
            <w:r/>
            <w:r>
              <w:rPr>
                <w:b/>
                <w:color w:val="FFFFFF"/>
                <w:sz w:val="15"/>
              </w:rPr>
              <w:t>Relative to 5-min</w:t>
            </w:r>
          </w:p>
        </w:tc>
      </w:tr>
      <w:tr>
        <w:tc>
          <w:tcPr>
            <w:tcW w:type="dxa" w:w="1440"/>
          </w:tcPr>
          <w:p>
            <w:pPr>
              <w:spacing w:after="20"/>
            </w:pPr>
            <w:r/>
            <w:r>
              <w:rPr>
                <w:sz w:val="15"/>
              </w:rPr>
              <w:t>2 min</w:t>
            </w:r>
          </w:p>
        </w:tc>
        <w:tc>
          <w:tcPr>
            <w:tcW w:type="dxa" w:w="3168"/>
          </w:tcPr>
          <w:p>
            <w:pPr>
              <w:spacing w:after="20"/>
            </w:pPr>
            <w:r/>
            <w:r>
              <w:rPr>
                <w:sz w:val="15"/>
              </w:rPr>
              <w:t>21,118</w:t>
            </w:r>
          </w:p>
        </w:tc>
        <w:tc>
          <w:tcPr>
            <w:tcW w:type="dxa" w:w="1152"/>
          </w:tcPr>
          <w:p>
            <w:pPr>
              <w:spacing w:after="20"/>
            </w:pPr>
            <w:r/>
            <w:r>
              <w:rPr>
                <w:sz w:val="15"/>
              </w:rPr>
              <w:t>450</w:t>
            </w:r>
          </w:p>
        </w:tc>
        <w:tc>
          <w:tcPr>
            <w:tcW w:type="dxa" w:w="2016"/>
          </w:tcPr>
          <w:p>
            <w:pPr>
              <w:spacing w:after="20"/>
            </w:pPr>
            <w:r/>
            <w:r>
              <w:rPr>
                <w:sz w:val="15"/>
              </w:rPr>
              <w:t>48×</w:t>
            </w:r>
          </w:p>
        </w:tc>
      </w:tr>
      <w:tr>
        <w:tc>
          <w:tcPr>
            <w:tcW w:type="dxa" w:w="1440"/>
            <w:shd w:val="clear" w:fill="E7ECF4"/>
          </w:tcPr>
          <w:p>
            <w:pPr>
              <w:spacing w:after="20"/>
            </w:pPr>
            <w:r/>
            <w:r>
              <w:rPr>
                <w:sz w:val="15"/>
              </w:rPr>
              <w:t>5 min</w:t>
            </w:r>
          </w:p>
        </w:tc>
        <w:tc>
          <w:tcPr>
            <w:tcW w:type="dxa" w:w="3168"/>
            <w:shd w:val="clear" w:fill="E7ECF4"/>
          </w:tcPr>
          <w:p>
            <w:pPr>
              <w:spacing w:after="20"/>
            </w:pPr>
            <w:r/>
            <w:r>
              <w:rPr>
                <w:sz w:val="15"/>
              </w:rPr>
              <w:t>436</w:t>
            </w:r>
          </w:p>
        </w:tc>
        <w:tc>
          <w:tcPr>
            <w:tcW w:type="dxa" w:w="1152"/>
            <w:shd w:val="clear" w:fill="E7ECF4"/>
          </w:tcPr>
          <w:p>
            <w:pPr>
              <w:spacing w:after="20"/>
            </w:pPr>
            <w:r/>
            <w:r>
              <w:rPr>
                <w:sz w:val="15"/>
              </w:rPr>
              <w:t>31</w:t>
            </w:r>
          </w:p>
        </w:tc>
        <w:tc>
          <w:tcPr>
            <w:tcW w:type="dxa" w:w="2016"/>
            <w:shd w:val="clear" w:fill="E7ECF4"/>
          </w:tcPr>
          <w:p>
            <w:pPr>
              <w:spacing w:after="20"/>
            </w:pPr>
            <w:r/>
            <w:r>
              <w:rPr>
                <w:sz w:val="15"/>
              </w:rPr>
              <w:t>1× (reference)</w:t>
            </w:r>
          </w:p>
        </w:tc>
      </w:tr>
      <w:tr>
        <w:tc>
          <w:tcPr>
            <w:tcW w:type="dxa" w:w="1440"/>
          </w:tcPr>
          <w:p>
            <w:pPr>
              <w:spacing w:after="20"/>
            </w:pPr>
            <w:r/>
            <w:r>
              <w:rPr>
                <w:sz w:val="15"/>
              </w:rPr>
              <w:t>10 min</w:t>
            </w:r>
          </w:p>
        </w:tc>
        <w:tc>
          <w:tcPr>
            <w:tcW w:type="dxa" w:w="3168"/>
          </w:tcPr>
          <w:p>
            <w:pPr>
              <w:spacing w:after="20"/>
            </w:pPr>
            <w:r/>
            <w:r>
              <w:rPr>
                <w:sz w:val="15"/>
              </w:rPr>
              <w:t>3,679</w:t>
            </w:r>
          </w:p>
        </w:tc>
        <w:tc>
          <w:tcPr>
            <w:tcW w:type="dxa" w:w="1152"/>
          </w:tcPr>
          <w:p>
            <w:pPr>
              <w:spacing w:after="20"/>
            </w:pPr>
            <w:r/>
            <w:r>
              <w:rPr>
                <w:sz w:val="15"/>
              </w:rPr>
              <w:t>220</w:t>
            </w:r>
          </w:p>
        </w:tc>
        <w:tc>
          <w:tcPr>
            <w:tcW w:type="dxa" w:w="2016"/>
          </w:tcPr>
          <w:p>
            <w:pPr>
              <w:spacing w:after="20"/>
            </w:pPr>
            <w:r/>
            <w:r>
              <w:rPr>
                <w:sz w:val="15"/>
              </w:rPr>
              <w:t>8×</w:t>
            </w:r>
          </w:p>
        </w:tc>
      </w:tr>
    </w:tbl>
    <w:p>
      <w:pPr>
        <w:spacing w:after="20"/>
      </w:pPr>
    </w:p>
    <w:p>
      <w:pPr>
        <w:spacing w:after="80"/>
      </w:pPr>
      <w:r>
        <w:rPr>
          <w:b w:val="0"/>
          <w:i w:val="0"/>
        </w:rPr>
        <w:t>The 2-minute etch produced the strongest SERS response — approximately 48× the 5-minute substrate. The relationship is non-monotonic (10 min exceeded 5 min), indicating that etch time alone does not fully determine enhancement. All measurements were made at identical laser power, integration time and analyte concentration, so the comparison reflects substrate enhancement only. n = 1 substrate per condition; reproducibility not yet established.</w:t>
      </w:r>
    </w:p>
    <w:p>
      <w:pPr>
        <w:pStyle w:val="Heading2"/>
      </w:pPr>
      <w:r>
        <w:t>3.2  NAM detection — negative</w:t>
      </w:r>
    </w:p>
    <w:p>
      <w:pPr>
        <w:spacing w:after="80"/>
      </w:pPr>
      <w:r>
        <w:rPr>
          <w:b w:val="0"/>
          <w:i w:val="0"/>
        </w:rPr>
        <w:t>No NAM band reached the SNR ≥ 3 detection threshold reproducibly on any substrate at either laser power, in raw or blank-subtracted spectra. Two isolated peaks touched the threshold (930 cm⁻¹, SNR 3.3 on the 10-min substrate; 1023 cm⁻¹, SNR 3.0 on the 2-min substrate) but did not repeat across spots or conditions and were therefore not counted as detections. Target bands were taken from our own reference NAM Raman spectrum (930, 871, 541, 1023, 1347, 1394 cm⁻¹).</w:t>
      </w:r>
    </w:p>
    <w:p>
      <w:pPr>
        <w:pStyle w:val="Heading2"/>
      </w:pPr>
      <w:r>
        <w:t>3.3  Raw-silicon reference dataset — instrument baseline established</w:t>
      </w:r>
    </w:p>
    <w:p>
      <w:pPr>
        <w:spacing w:after="60"/>
      </w:pPr>
      <w:r>
        <w:rPr>
          <w:b w:val="0"/>
          <w:i w:val="0"/>
        </w:rPr>
        <w:t>A systematic sweep of 13 power/integration conditions on unetched silicon produced a consistent crystalline Si transverse-optical phonon peak at 517.8 cm⁻¹ in every condition, with SNR rising monotonically from 2.9 (power 1, 1 s) to 152 (power 10, 25 s). Two findings of ongoing analytical value:</w:t>
      </w:r>
    </w:p>
    <w:p>
      <w:pPr>
        <w:pStyle w:val="ListBullet"/>
        <w:spacing w:after="30"/>
      </w:pPr>
      <w:r>
        <w:rPr>
          <w:b/>
          <w:sz w:val="17"/>
        </w:rPr>
        <w:t xml:space="preserve">Systematic calibration offset — </w:t>
      </w:r>
      <w:r>
        <w:rPr>
          <w:sz w:val="17"/>
        </w:rPr>
        <w:t>the Si phonon appears at 517.8 cm⁻¹ against a textbook value of 520–521 cm⁻¹. The offset is consistent across all conditions, indicating a fixed wavelength-calibration shift. A ±5 cm⁻¹ tolerance is therefore applied when matching analyte peaks to literature positions.</w:t>
      </w:r>
    </w:p>
    <w:p>
      <w:pPr>
        <w:pStyle w:val="ListBullet"/>
        <w:spacing w:after="30"/>
      </w:pPr>
      <w:r>
        <w:rPr>
          <w:b/>
          <w:sz w:val="17"/>
        </w:rPr>
        <w:t xml:space="preserve">Favourable SNR scaling — </w:t>
      </w:r>
      <w:r>
        <w:rPr>
          <w:sz w:val="17"/>
        </w:rPr>
        <w:t>signal-to-noise improves faster than the √t shot-noise law predicts (5 s → 25 s gave a 5.9× SNR gain versus the 2.2× expected), indicating a fixed noise floor rather than photon-limited noise. Longer integration is therefore an efficient lever for weak analytes on this instrument.</w:t>
      </w:r>
    </w:p>
    <w:p>
      <w:pPr>
        <w:pStyle w:val="Heading2"/>
      </w:pPr>
      <w:r>
        <w:t>3.4  LTA detection — negative after artifact correction</w:t>
      </w:r>
    </w:p>
    <w:p>
      <w:pPr>
        <w:spacing w:after="80"/>
      </w:pPr>
      <w:r>
        <w:rPr>
          <w:b w:val="0"/>
          <w:i w:val="0"/>
        </w:rPr>
        <w:t>Initial analysis of the 14 August dataset indicated a signal at 1095 cm⁻¹ — the literature-reported LTA phosphate band — with SNR 7–9 in three spots. Pixel-level inspection showed the feature was confined to a single detector pixel (pixel 640) at the identical position in all three spectra, with neighbouring pixels at normal noise levels. A genuine Raman band on this instrument spans 4–5 pixels, as the Si phonon does. The feature was therefore identified as a fixed-pattern detector artifact and the result reclassified as not detected. A minimum peak-width criterion (≥3 pixels) has been added to the standard analysis pipeline.</w:t>
      </w:r>
    </w:p>
    <w:p>
      <w:pPr>
        <w:pStyle w:val="Heading1"/>
      </w:pPr>
      <w:r>
        <w:t>4. Supporting Analytical Work</w:t>
      </w:r>
    </w:p>
    <w:p>
      <w:pPr>
        <w:pStyle w:val="ListBullet"/>
        <w:spacing w:after="30"/>
      </w:pPr>
      <w:r>
        <w:rPr>
          <w:b/>
          <w:sz w:val="17"/>
        </w:rPr>
        <w:t xml:space="preserve">Reagent verification — </w:t>
      </w:r>
      <w:r>
        <w:rPr>
          <w:sz w:val="17"/>
        </w:rPr>
        <w:t>the NAM molecular weight used in earlier calculations (275.25 g/mol) was found to be incorrect; the verified value is 293.27 g/mol (PubChem CID 5462244; Sigma-Aldrich A3007, CAS 10597-89-4). The discrepancy corresponds to one water molecule. All NAM concentrations have been recalculated: the 1 mg/mL working stock is 3.41 mM, not 3.63 mM.</w:t>
      </w:r>
    </w:p>
    <w:p>
      <w:pPr>
        <w:pStyle w:val="ListBullet"/>
        <w:spacing w:after="30"/>
      </w:pPr>
      <w:r>
        <w:rPr>
          <w:b/>
          <w:sz w:val="17"/>
        </w:rPr>
        <w:t xml:space="preserve">Data organisation — </w:t>
      </w:r>
      <w:r>
        <w:rPr>
          <w:sz w:val="17"/>
        </w:rPr>
        <w:t>all 45 raw-Si spectra were renamed from sequential instrument filenames to a self-describing convention (raw-si-p{power}-t{integration}-acc{accumulations}-spot{n}) with a full traceability log, addressing a file-identification problem encountered when analysing the 12 August dataset.</w:t>
      </w:r>
    </w:p>
    <w:p>
      <w:pPr>
        <w:pStyle w:val="ListBullet"/>
        <w:spacing w:after="30"/>
      </w:pPr>
      <w:r>
        <w:rPr>
          <w:b/>
          <w:sz w:val="17"/>
        </w:rPr>
        <w:t xml:space="preserve">Analysis pipeline — </w:t>
      </w:r>
      <w:r>
        <w:rPr>
          <w:sz w:val="17"/>
        </w:rPr>
        <w:t>standardised as despike → baseline correction (asymmetric least squares) → per-spot evaluation → averaging, with explicit detection criteria (SNR ≥ 3, ≥3 pixel width, ±5 cm⁻¹ position tolerance, reproducibility across multiple spots).</w:t>
      </w:r>
    </w:p>
    <w:p>
      <w:pPr>
        <w:pStyle w:val="Heading1"/>
      </w:pPr>
      <w:r>
        <w:t>5. Discussion</w:t>
      </w:r>
    </w:p>
    <w:p>
      <w:pPr>
        <w:spacing w:after="60"/>
      </w:pPr>
      <w:r>
        <w:rPr>
          <w:b w:val="0"/>
          <w:i w:val="0"/>
        </w:rPr>
        <w:t>The substrate platform is demonstrably SERS-active, but neither NAM nor LTA was detected on bare silver. This outcome is consistent with the physical chemistry of the analytes rather than with a fabrication failure. R6G is a resonant dye that adsorbs strongly to silver; NAM possesses no thiol, no aromatic ring and an amide-blocked nitrogen, giving it neither a strong Raman cross-section nor an affinity for the metal surface. LTA is amphipathic and better placed than NAM, but shares the same absence of a specific silver-binding group. Since SERS enhancement decays steeply with distance from the metal, analytes that do not adsorb contribute little signal regardless of substrate quality.</w:t>
      </w:r>
    </w:p>
    <w:p>
      <w:pPr>
        <w:spacing w:after="80"/>
      </w:pPr>
      <w:r>
        <w:rPr>
          <w:b w:val="0"/>
          <w:i w:val="0"/>
        </w:rPr>
        <w:t>A literature survey conducted in parallel found no published Raman or SERS spectrum of isolated NAM, and no complete label-free SERS protocol for purified LTA — both appear in the SERS literature only indirectly. Lipopolysaccharide (LPS), by contrast, has well-established label-free SERS precedent on silver substrates, including full peak assignment tables and reported detection at the picogram level. LPS also carries lipid A, whose phosphate groups and long acyl chains provide both strong Raman scatterers and a genuine physisorption mechanism onto silver.</w:t>
      </w:r>
    </w:p>
    <w:p>
      <w:pPr>
        <w:pStyle w:val="Heading1"/>
      </w:pPr>
      <w:r>
        <w:t>6. Conclusions</w:t>
      </w:r>
    </w:p>
    <w:p>
      <w:pPr>
        <w:pStyle w:val="ListBullet"/>
        <w:spacing w:after="30"/>
      </w:pPr>
      <w:r>
        <w:rPr>
          <w:sz w:val="17"/>
        </w:rPr>
        <w:t>One-step MACE fabrication of Ag/black-silicon substrates was successfully established and validated by R6G SERS.</w:t>
      </w:r>
    </w:p>
    <w:p>
      <w:pPr>
        <w:pStyle w:val="ListBullet"/>
        <w:spacing w:after="30"/>
      </w:pPr>
      <w:r>
        <w:rPr>
          <w:sz w:val="17"/>
        </w:rPr>
        <w:t>A 2-minute etch gave the strongest enhancement of the three conditions tested (≈48× the 5-minute substrate); reproducibility remains to be confirmed.</w:t>
      </w:r>
    </w:p>
    <w:p>
      <w:pPr>
        <w:pStyle w:val="ListBullet"/>
        <w:spacing w:after="30"/>
      </w:pPr>
      <w:r>
        <w:rPr>
          <w:sz w:val="17"/>
        </w:rPr>
        <w:t>NAM and LTA were not detected on bare silver under the conditions tested; both results are attributed to poor analyte adsorption rather than substrate failure.</w:t>
      </w:r>
    </w:p>
    <w:p>
      <w:pPr>
        <w:pStyle w:val="ListBullet"/>
        <w:spacing w:after="30"/>
      </w:pPr>
      <w:r>
        <w:rPr>
          <w:sz w:val="17"/>
        </w:rPr>
        <w:t>A raw-silicon reference dataset and a corrected analysis pipeline, including artifact rejection, are now in place for all future measurements.</w:t>
      </w:r>
    </w:p>
    <w:p>
      <w:pPr>
        <w:pStyle w:val="Heading1"/>
      </w:pPr>
      <w:r>
        <w:t>7. Planned Next Work</w:t>
      </w:r>
    </w:p>
    <w:tbl>
      <w:tblPr>
        <w:tblStyle w:val="TableGrid"/>
        <w:tblW w:type="auto" w:w="0"/>
        <w:jc w:val="center"/>
        <w:tblLook w:firstColumn="1" w:firstRow="1" w:lastColumn="0" w:lastRow="0" w:noHBand="0" w:noVBand="1" w:val="04A0"/>
      </w:tblPr>
      <w:tblGrid>
        <w:gridCol w:w="3394"/>
        <w:gridCol w:w="3394"/>
        <w:gridCol w:w="3394"/>
      </w:tblGrid>
      <w:tr>
        <w:tc>
          <w:tcPr>
            <w:tcW w:type="dxa" w:w="864"/>
            <w:shd w:val="clear" w:fill="1B3A6B"/>
          </w:tcPr>
          <w:p>
            <w:pPr>
              <w:spacing w:after="20"/>
            </w:pPr>
            <w:r/>
            <w:r>
              <w:rPr>
                <w:b/>
                <w:color w:val="FFFFFF"/>
                <w:sz w:val="15"/>
              </w:rPr>
              <w:t>Priority</w:t>
            </w:r>
          </w:p>
        </w:tc>
        <w:tc>
          <w:tcPr>
            <w:tcW w:type="dxa" w:w="3888"/>
            <w:shd w:val="clear" w:fill="1B3A6B"/>
          </w:tcPr>
          <w:p>
            <w:pPr>
              <w:spacing w:after="20"/>
            </w:pPr>
            <w:r/>
            <w:r>
              <w:rPr>
                <w:b/>
                <w:color w:val="FFFFFF"/>
                <w:sz w:val="15"/>
              </w:rPr>
              <w:t>Action</w:t>
            </w:r>
          </w:p>
        </w:tc>
        <w:tc>
          <w:tcPr>
            <w:tcW w:type="dxa" w:w="5328"/>
            <w:shd w:val="clear" w:fill="1B3A6B"/>
          </w:tcPr>
          <w:p>
            <w:pPr>
              <w:spacing w:after="20"/>
            </w:pPr>
            <w:r/>
            <w:r>
              <w:rPr>
                <w:b/>
                <w:color w:val="FFFFFF"/>
                <w:sz w:val="15"/>
              </w:rPr>
              <w:t>Rationale</w:t>
            </w:r>
          </w:p>
        </w:tc>
      </w:tr>
      <w:tr>
        <w:tc>
          <w:tcPr>
            <w:tcW w:type="dxa" w:w="864"/>
          </w:tcPr>
          <w:p>
            <w:pPr>
              <w:spacing w:after="20"/>
            </w:pPr>
            <w:r/>
            <w:r>
              <w:rPr>
                <w:sz w:val="15"/>
              </w:rPr>
              <w:t>1</w:t>
            </w:r>
          </w:p>
        </w:tc>
        <w:tc>
          <w:tcPr>
            <w:tcW w:type="dxa" w:w="3888"/>
          </w:tcPr>
          <w:p>
            <w:pPr>
              <w:spacing w:after="20"/>
            </w:pPr>
            <w:r/>
            <w:r>
              <w:rPr>
                <w:sz w:val="15"/>
              </w:rPr>
              <w:t>LPS (E. coli O111:B4, Sigma L2630) as the primary target analyte</w:t>
            </w:r>
          </w:p>
        </w:tc>
        <w:tc>
          <w:tcPr>
            <w:tcW w:type="dxa" w:w="5328"/>
          </w:tcPr>
          <w:p>
            <w:pPr>
              <w:spacing w:after="20"/>
            </w:pPr>
            <w:r/>
            <w:r>
              <w:rPr>
                <w:sz w:val="15"/>
              </w:rPr>
              <w:t>Only one of the three biomarkers with established label-free SERS precedent on silver; strong published peak assignments available for comparison</w:t>
            </w:r>
          </w:p>
        </w:tc>
      </w:tr>
      <w:tr>
        <w:tc>
          <w:tcPr>
            <w:tcW w:type="dxa" w:w="864"/>
            <w:shd w:val="clear" w:fill="E7ECF4"/>
          </w:tcPr>
          <w:p>
            <w:pPr>
              <w:spacing w:after="20"/>
            </w:pPr>
            <w:r/>
            <w:r>
              <w:rPr>
                <w:sz w:val="15"/>
              </w:rPr>
              <w:t>2</w:t>
            </w:r>
          </w:p>
        </w:tc>
        <w:tc>
          <w:tcPr>
            <w:tcW w:type="dxa" w:w="3888"/>
            <w:shd w:val="clear" w:fill="E7ECF4"/>
          </w:tcPr>
          <w:p>
            <w:pPr>
              <w:spacing w:after="20"/>
            </w:pPr>
            <w:r/>
            <w:r>
              <w:rPr>
                <w:sz w:val="15"/>
              </w:rPr>
              <w:t>Two-step MACE substrate: etch → HNO₃ silver removal → controlled silver re-deposition</w:t>
            </w:r>
          </w:p>
        </w:tc>
        <w:tc>
          <w:tcPr>
            <w:tcW w:type="dxa" w:w="5328"/>
            <w:shd w:val="clear" w:fill="E7ECF4"/>
          </w:tcPr>
          <w:p>
            <w:pPr>
              <w:spacing w:after="20"/>
            </w:pPr>
            <w:r/>
            <w:r>
              <w:rPr>
                <w:sz w:val="15"/>
              </w:rPr>
              <w:t>Decouples silver morphology from silicon etching; the literature reports a five-order-of-magnitude improvement in R6G detection limit for this approach over silver-retained substrates</w:t>
            </w:r>
          </w:p>
        </w:tc>
      </w:tr>
      <w:tr>
        <w:tc>
          <w:tcPr>
            <w:tcW w:type="dxa" w:w="864"/>
          </w:tcPr>
          <w:p>
            <w:pPr>
              <w:spacing w:after="20"/>
            </w:pPr>
            <w:r/>
            <w:r>
              <w:rPr>
                <w:sz w:val="15"/>
              </w:rPr>
              <w:t>3</w:t>
            </w:r>
          </w:p>
        </w:tc>
        <w:tc>
          <w:tcPr>
            <w:tcW w:type="dxa" w:w="3888"/>
          </w:tcPr>
          <w:p>
            <w:pPr>
              <w:spacing w:after="20"/>
            </w:pPr>
            <w:r/>
            <w:r>
              <w:rPr>
                <w:sz w:val="15"/>
              </w:rPr>
              <w:t>Same-session blanks and independent substrate replicates for every condition</w:t>
            </w:r>
          </w:p>
        </w:tc>
        <w:tc>
          <w:tcPr>
            <w:tcW w:type="dxa" w:w="5328"/>
          </w:tcPr>
          <w:p>
            <w:pPr>
              <w:spacing w:after="20"/>
            </w:pPr>
            <w:r/>
            <w:r>
              <w:rPr>
                <w:sz w:val="15"/>
              </w:rPr>
              <w:t>Addresses the two methodological gaps identified in the 12 August dataset</w:t>
            </w:r>
          </w:p>
        </w:tc>
      </w:tr>
      <w:tr>
        <w:tc>
          <w:tcPr>
            <w:tcW w:type="dxa" w:w="864"/>
            <w:shd w:val="clear" w:fill="E7ECF4"/>
          </w:tcPr>
          <w:p>
            <w:pPr>
              <w:spacing w:after="20"/>
            </w:pPr>
            <w:r/>
            <w:r>
              <w:rPr>
                <w:sz w:val="15"/>
              </w:rPr>
              <w:t>4</w:t>
            </w:r>
          </w:p>
        </w:tc>
        <w:tc>
          <w:tcPr>
            <w:tcW w:type="dxa" w:w="3888"/>
            <w:shd w:val="clear" w:fill="E7ECF4"/>
          </w:tcPr>
          <w:p>
            <w:pPr>
              <w:spacing w:after="20"/>
            </w:pPr>
            <w:r/>
            <w:r>
              <w:rPr>
                <w:sz w:val="15"/>
              </w:rPr>
              <w:t>Capture chemistry (4-mercaptophenylboronic acid) for NAM, once available</w:t>
            </w:r>
          </w:p>
        </w:tc>
        <w:tc>
          <w:tcPr>
            <w:tcW w:type="dxa" w:w="5328"/>
            <w:shd w:val="clear" w:fill="E7ECF4"/>
          </w:tcPr>
          <w:p>
            <w:pPr>
              <w:spacing w:after="20"/>
            </w:pPr>
            <w:r/>
            <w:r>
              <w:rPr>
                <w:sz w:val="15"/>
              </w:rPr>
              <w:t>Boronic acid binds cis-diols covalently; addresses the adsorption limitation identified as the probable cause of the NAM null result</w:t>
            </w:r>
          </w:p>
        </w:tc>
      </w:tr>
    </w:tbl>
    <w:p>
      <w:pPr>
        <w:spacing w:after="20"/>
      </w:pPr>
    </w:p>
    <w:sectPr w:rsidR="00FC693F" w:rsidRPr="0006063C" w:rsidSect="00034616">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1B3A6B"/>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B3A6B"/>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