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41C0E" w14:textId="77777777" w:rsidR="00991B08" w:rsidRDefault="00000000">
      <w:pPr>
        <w:spacing w:after="120"/>
        <w:jc w:val="center"/>
      </w:pPr>
      <w:r>
        <w:rPr>
          <w:b/>
          <w:sz w:val="40"/>
        </w:rPr>
        <w:t>SERS Substrate Development and NAM Detection</w:t>
      </w:r>
    </w:p>
    <w:p w14:paraId="30398E60" w14:textId="7AA73515" w:rsidR="00991B08" w:rsidRDefault="00000000" w:rsidP="00333DB2">
      <w:pPr>
        <w:spacing w:after="120"/>
        <w:jc w:val="center"/>
      </w:pPr>
      <w:r>
        <w:rPr>
          <w:i/>
          <w:sz w:val="25"/>
        </w:rPr>
        <w:t>Progress Report</w:t>
      </w:r>
    </w:p>
    <w:p w14:paraId="2B17C41B" w14:textId="77777777" w:rsidR="00991B08" w:rsidRDefault="00000000">
      <w:pPr>
        <w:pStyle w:val="Heading1"/>
      </w:pPr>
      <w:r>
        <w:t>1. Project Objective</w:t>
      </w:r>
    </w:p>
    <w:p w14:paraId="49CB015F" w14:textId="77777777" w:rsidR="00991B08" w:rsidRDefault="00000000">
      <w:pPr>
        <w:spacing w:after="100"/>
      </w:pPr>
      <w:r>
        <w:t>To develop and validate a silver-decorated black-silicon SERS substrate for label-free detection of bacterial cell-wall biomarkers, with N-acetylmuramic acid (NAM) as the primary target.</w:t>
      </w:r>
    </w:p>
    <w:p w14:paraId="0C0070E2" w14:textId="77777777" w:rsidR="00991B08" w:rsidRDefault="00000000">
      <w:pPr>
        <w:pStyle w:val="Heading1"/>
      </w:pPr>
      <w:r>
        <w:t>2. Substrate Fabrication and Optimisation</w:t>
      </w:r>
    </w:p>
    <w:p w14:paraId="07F739A3" w14:textId="77777777" w:rsidR="00991B08" w:rsidRDefault="00000000">
      <w:r>
        <w:t>Silver-decorated black-silicon substrates were fabricated using metal-assisted chemical etching (MACE). Different etching conditions were evaluated to optimise the SERS activity of the substrate. Rhodamine 6G (R6G) was used as the reference analyte for substrate validation.</w:t>
      </w:r>
    </w:p>
    <w:p w14:paraId="326AEA26" w14:textId="77777777" w:rsidR="00991B08" w:rsidRDefault="00000000">
      <w:pPr>
        <w:pStyle w:val="ListBullet"/>
        <w:spacing w:after="60"/>
      </w:pPr>
      <w:r>
        <w:t>Etching conditions of 2, 5 and 10 minutes were evaluated.</w:t>
      </w:r>
    </w:p>
    <w:p w14:paraId="4AA575AB" w14:textId="77777777" w:rsidR="00991B08" w:rsidRDefault="00000000">
      <w:pPr>
        <w:pStyle w:val="ListBullet"/>
        <w:spacing w:after="60"/>
      </w:pPr>
      <w:r>
        <w:t>All substrates showed the characteristic R6G Raman peaks (612, 774, 1183, 1310, 1362, 1509, 1575 and 1650 cm⁻¹), confirming SERS activity.</w:t>
      </w:r>
    </w:p>
    <w:p w14:paraId="489FEDFF" w14:textId="77777777" w:rsidR="00991B08" w:rsidRDefault="00000000">
      <w:pPr>
        <w:pStyle w:val="ListBullet"/>
        <w:spacing w:after="60"/>
      </w:pPr>
      <w:r>
        <w:t>The 2-minute substrate showed the highest response among the initial conditions.</w:t>
      </w:r>
    </w:p>
    <w:p w14:paraId="3A7A376A" w14:textId="77777777" w:rsidR="00991B08" w:rsidRDefault="00000000">
      <w:pPr>
        <w:pStyle w:val="ListBullet"/>
        <w:spacing w:after="60"/>
      </w:pPr>
      <w:r>
        <w:t>A further optimised condition using 8.6 mL HF and 0.170 g AgNO₃ produced a strong R6G response of approximately 35,000 intensity, confirming good SERS enhancement.</w:t>
      </w:r>
    </w:p>
    <w:p w14:paraId="7DACA6EF" w14:textId="77777777" w:rsidR="00991B08" w:rsidRDefault="00000000">
      <w:pPr>
        <w:spacing w:after="60"/>
      </w:pPr>
      <w:r>
        <w:t>Comparison of the initial etching conditions, using the strongest R6G band at 1509 cm⁻¹ as the metric:</w:t>
      </w:r>
    </w:p>
    <w:tbl>
      <w:tblPr>
        <w:tblStyle w:val="TableGrid"/>
        <w:tblW w:w="0" w:type="auto"/>
        <w:jc w:val="center"/>
        <w:tblLook w:val="04A0" w:firstRow="1" w:lastRow="0" w:firstColumn="1" w:lastColumn="0" w:noHBand="0" w:noVBand="1"/>
      </w:tblPr>
      <w:tblGrid>
        <w:gridCol w:w="1872"/>
        <w:gridCol w:w="3168"/>
        <w:gridCol w:w="2160"/>
        <w:gridCol w:w="2304"/>
      </w:tblGrid>
      <w:tr w:rsidR="00991B08" w14:paraId="58362217" w14:textId="77777777">
        <w:trPr>
          <w:jc w:val="center"/>
        </w:trPr>
        <w:tc>
          <w:tcPr>
            <w:tcW w:w="1872" w:type="dxa"/>
            <w:shd w:val="clear" w:color="auto" w:fill="000000"/>
          </w:tcPr>
          <w:p w14:paraId="638D1F53" w14:textId="77777777" w:rsidR="00991B08" w:rsidRDefault="00000000">
            <w:r>
              <w:rPr>
                <w:b/>
                <w:color w:val="FFFFFF"/>
                <w:sz w:val="18"/>
              </w:rPr>
              <w:t>Etching time</w:t>
            </w:r>
          </w:p>
        </w:tc>
        <w:tc>
          <w:tcPr>
            <w:tcW w:w="3168" w:type="dxa"/>
            <w:shd w:val="clear" w:color="auto" w:fill="000000"/>
          </w:tcPr>
          <w:p w14:paraId="37F7A0C6" w14:textId="77777777" w:rsidR="00991B08" w:rsidRDefault="00000000">
            <w:r>
              <w:rPr>
                <w:b/>
                <w:color w:val="FFFFFF"/>
                <w:sz w:val="18"/>
              </w:rPr>
              <w:t>Peak intensity at 1509 cm⁻¹</w:t>
            </w:r>
          </w:p>
        </w:tc>
        <w:tc>
          <w:tcPr>
            <w:tcW w:w="2160" w:type="dxa"/>
            <w:shd w:val="clear" w:color="auto" w:fill="000000"/>
          </w:tcPr>
          <w:p w14:paraId="31DF9BCE" w14:textId="77777777" w:rsidR="00991B08" w:rsidRDefault="00000000">
            <w:r>
              <w:rPr>
                <w:b/>
                <w:color w:val="FFFFFF"/>
                <w:sz w:val="18"/>
              </w:rPr>
              <w:t>Signal-to-noise ratio</w:t>
            </w:r>
          </w:p>
        </w:tc>
        <w:tc>
          <w:tcPr>
            <w:tcW w:w="2304" w:type="dxa"/>
            <w:shd w:val="clear" w:color="auto" w:fill="000000"/>
          </w:tcPr>
          <w:p w14:paraId="6A68F970" w14:textId="77777777" w:rsidR="00991B08" w:rsidRDefault="00000000">
            <w:r>
              <w:rPr>
                <w:b/>
                <w:color w:val="FFFFFF"/>
                <w:sz w:val="18"/>
              </w:rPr>
              <w:t>Relative response</w:t>
            </w:r>
          </w:p>
        </w:tc>
      </w:tr>
      <w:tr w:rsidR="00991B08" w14:paraId="65CE9AA9" w14:textId="77777777">
        <w:trPr>
          <w:jc w:val="center"/>
        </w:trPr>
        <w:tc>
          <w:tcPr>
            <w:tcW w:w="1872" w:type="dxa"/>
          </w:tcPr>
          <w:p w14:paraId="2FC6B57B" w14:textId="77777777" w:rsidR="00991B08" w:rsidRDefault="00000000">
            <w:r>
              <w:rPr>
                <w:sz w:val="17"/>
              </w:rPr>
              <w:t>2 min</w:t>
            </w:r>
          </w:p>
        </w:tc>
        <w:tc>
          <w:tcPr>
            <w:tcW w:w="3168" w:type="dxa"/>
          </w:tcPr>
          <w:p w14:paraId="752D0373" w14:textId="77777777" w:rsidR="00991B08" w:rsidRDefault="00000000">
            <w:r>
              <w:rPr>
                <w:sz w:val="17"/>
              </w:rPr>
              <w:t>21,118 counts</w:t>
            </w:r>
          </w:p>
        </w:tc>
        <w:tc>
          <w:tcPr>
            <w:tcW w:w="2160" w:type="dxa"/>
          </w:tcPr>
          <w:p w14:paraId="5AEA55D3" w14:textId="77777777" w:rsidR="00991B08" w:rsidRDefault="00000000">
            <w:r>
              <w:rPr>
                <w:sz w:val="17"/>
              </w:rPr>
              <w:t>450</w:t>
            </w:r>
          </w:p>
        </w:tc>
        <w:tc>
          <w:tcPr>
            <w:tcW w:w="2304" w:type="dxa"/>
          </w:tcPr>
          <w:p w14:paraId="6AEB7404" w14:textId="77777777" w:rsidR="00991B08" w:rsidRDefault="00000000">
            <w:r>
              <w:rPr>
                <w:sz w:val="17"/>
              </w:rPr>
              <w:t>≈48×</w:t>
            </w:r>
          </w:p>
        </w:tc>
      </w:tr>
      <w:tr w:rsidR="00991B08" w14:paraId="6EACDC3A" w14:textId="77777777">
        <w:trPr>
          <w:jc w:val="center"/>
        </w:trPr>
        <w:tc>
          <w:tcPr>
            <w:tcW w:w="1872" w:type="dxa"/>
            <w:shd w:val="clear" w:color="auto" w:fill="EDEDED"/>
          </w:tcPr>
          <w:p w14:paraId="42104419" w14:textId="77777777" w:rsidR="00991B08" w:rsidRDefault="00000000">
            <w:r>
              <w:rPr>
                <w:sz w:val="17"/>
              </w:rPr>
              <w:t>5 min</w:t>
            </w:r>
          </w:p>
        </w:tc>
        <w:tc>
          <w:tcPr>
            <w:tcW w:w="3168" w:type="dxa"/>
            <w:shd w:val="clear" w:color="auto" w:fill="EDEDED"/>
          </w:tcPr>
          <w:p w14:paraId="051152D8" w14:textId="77777777" w:rsidR="00991B08" w:rsidRDefault="00000000">
            <w:r>
              <w:rPr>
                <w:sz w:val="17"/>
              </w:rPr>
              <w:t>436 counts</w:t>
            </w:r>
          </w:p>
        </w:tc>
        <w:tc>
          <w:tcPr>
            <w:tcW w:w="2160" w:type="dxa"/>
            <w:shd w:val="clear" w:color="auto" w:fill="EDEDED"/>
          </w:tcPr>
          <w:p w14:paraId="04A3E132" w14:textId="77777777" w:rsidR="00991B08" w:rsidRDefault="00000000">
            <w:r>
              <w:rPr>
                <w:sz w:val="17"/>
              </w:rPr>
              <w:t>31</w:t>
            </w:r>
          </w:p>
        </w:tc>
        <w:tc>
          <w:tcPr>
            <w:tcW w:w="2304" w:type="dxa"/>
            <w:shd w:val="clear" w:color="auto" w:fill="EDEDED"/>
          </w:tcPr>
          <w:p w14:paraId="1E02DB89" w14:textId="77777777" w:rsidR="00991B08" w:rsidRDefault="00000000">
            <w:r>
              <w:rPr>
                <w:sz w:val="17"/>
              </w:rPr>
              <w:t>1× (reference)</w:t>
            </w:r>
          </w:p>
        </w:tc>
      </w:tr>
      <w:tr w:rsidR="00991B08" w14:paraId="0269392D" w14:textId="77777777">
        <w:trPr>
          <w:jc w:val="center"/>
        </w:trPr>
        <w:tc>
          <w:tcPr>
            <w:tcW w:w="1872" w:type="dxa"/>
          </w:tcPr>
          <w:p w14:paraId="78898584" w14:textId="77777777" w:rsidR="00991B08" w:rsidRDefault="00000000">
            <w:r>
              <w:rPr>
                <w:sz w:val="17"/>
              </w:rPr>
              <w:t>10 min</w:t>
            </w:r>
          </w:p>
        </w:tc>
        <w:tc>
          <w:tcPr>
            <w:tcW w:w="3168" w:type="dxa"/>
          </w:tcPr>
          <w:p w14:paraId="4ED4213F" w14:textId="77777777" w:rsidR="00991B08" w:rsidRDefault="00000000">
            <w:r>
              <w:rPr>
                <w:sz w:val="17"/>
              </w:rPr>
              <w:t>3,679 counts</w:t>
            </w:r>
          </w:p>
        </w:tc>
        <w:tc>
          <w:tcPr>
            <w:tcW w:w="2160" w:type="dxa"/>
          </w:tcPr>
          <w:p w14:paraId="3B0C5750" w14:textId="77777777" w:rsidR="00991B08" w:rsidRDefault="00000000">
            <w:r>
              <w:rPr>
                <w:sz w:val="17"/>
              </w:rPr>
              <w:t>220</w:t>
            </w:r>
          </w:p>
        </w:tc>
        <w:tc>
          <w:tcPr>
            <w:tcW w:w="2304" w:type="dxa"/>
          </w:tcPr>
          <w:p w14:paraId="637E6157" w14:textId="77777777" w:rsidR="00991B08" w:rsidRDefault="00000000">
            <w:r>
              <w:rPr>
                <w:sz w:val="17"/>
              </w:rPr>
              <w:t>≈8×</w:t>
            </w:r>
          </w:p>
        </w:tc>
      </w:tr>
    </w:tbl>
    <w:p w14:paraId="19C31C69" w14:textId="77777777" w:rsidR="00991B08" w:rsidRDefault="00991B08">
      <w:pPr>
        <w:spacing w:after="40"/>
      </w:pPr>
    </w:p>
    <w:p w14:paraId="6D25B04D" w14:textId="77777777" w:rsidR="00991B08" w:rsidRDefault="00000000">
      <w:pPr>
        <w:spacing w:after="100"/>
      </w:pPr>
      <w:r>
        <w:t>The response did not vary monotonically with etching time, indicating that the resulting silver morphology and distribution — rather than etching duration alone — govern SERS performance.</w:t>
      </w:r>
    </w:p>
    <w:p w14:paraId="59E967BE" w14:textId="77777777" w:rsidR="00991B08" w:rsidRDefault="00000000">
      <w:pPr>
        <w:pStyle w:val="Heading1"/>
      </w:pPr>
      <w:r>
        <w:t>3. NAM Detection</w:t>
      </w:r>
    </w:p>
    <w:p w14:paraId="6A3DC1E8" w14:textId="77777777" w:rsidR="00991B08" w:rsidRDefault="00000000">
      <w:r>
        <w:t>NAM was tested on the fabricated substrates at a concentration of 1 mg/mL (3.41 mM) under different substrate and laser conditions. The reference NAM bands considered were 541, 871, 930, 1023, 1347 and 1394 cm⁻¹, with the 930 cm⁻¹ band being the strongest in the isolated NAM reference spectrum.</w:t>
      </w:r>
    </w:p>
    <w:p w14:paraId="5E44D1F9" w14:textId="77777777" w:rsidR="00991B08" w:rsidRDefault="00000000">
      <w:r>
        <w:t>Although some features appeared near the expected NAM Raman bands, none were reproducible across different measurement spots. Therefore, NAM detection has not yet been confirmed.</w:t>
      </w:r>
    </w:p>
    <w:p w14:paraId="11381E7E" w14:textId="77777777" w:rsidR="00991B08" w:rsidRDefault="00000000">
      <w:pPr>
        <w:spacing w:after="100"/>
      </w:pPr>
      <w:r>
        <w:t>The strong R6G response indicates that the substrate and Raman system are functional. The current limitation is therefore likely related to the interaction of NAM with the SERS-active silver surface and its relatively weak Raman response.</w:t>
      </w:r>
    </w:p>
    <w:p w14:paraId="30F683DE" w14:textId="77777777" w:rsidR="00991B08" w:rsidRDefault="00000000">
      <w:pPr>
        <w:pStyle w:val="Heading1"/>
      </w:pPr>
      <w:r>
        <w:t>4. Possible Reasons for NAM Non-Detection</w:t>
      </w:r>
    </w:p>
    <w:p w14:paraId="7C2DA90C" w14:textId="77777777" w:rsidR="00991B08" w:rsidRDefault="00000000">
      <w:pPr>
        <w:spacing w:after="60"/>
      </w:pPr>
      <w:r>
        <w:t>The major possibilities identified are:</w:t>
      </w:r>
    </w:p>
    <w:p w14:paraId="7EBB238C" w14:textId="77777777" w:rsidR="00991B08" w:rsidRDefault="00000000">
      <w:pPr>
        <w:pStyle w:val="ListBullet"/>
        <w:spacing w:after="60"/>
      </w:pPr>
      <w:r>
        <w:t>NAM has weak intrinsic Raman scattering compared with R6G, and receives no resonance enhancement at 785 nm.</w:t>
      </w:r>
    </w:p>
    <w:p w14:paraId="6C4FAB2A" w14:textId="77777777" w:rsidR="00991B08" w:rsidRDefault="00000000">
      <w:pPr>
        <w:pStyle w:val="ListBullet"/>
        <w:spacing w:after="60"/>
      </w:pPr>
      <w:r>
        <w:t>NAM does not have a strong silver-binding group to efficiently localise it near SERS-active regions.</w:t>
      </w:r>
    </w:p>
    <w:p w14:paraId="47666D75" w14:textId="77777777" w:rsidR="00991B08" w:rsidRDefault="00000000">
      <w:pPr>
        <w:pStyle w:val="ListBullet"/>
        <w:spacing w:after="60"/>
      </w:pPr>
      <w:r>
        <w:t>The hydrophilic black-silicon surface causes droplet spreading during drying, which may reduce NAM concentration in the measured region.</w:t>
      </w:r>
    </w:p>
    <w:p w14:paraId="3F81FD71" w14:textId="77777777" w:rsidR="00991B08" w:rsidRDefault="00000000">
      <w:pPr>
        <w:pStyle w:val="ListBullet"/>
        <w:spacing w:after="60"/>
      </w:pPr>
      <w:r>
        <w:t>The absence of an established isolated-NAM SERS detection method in the literature makes optimisation more challenging.</w:t>
      </w:r>
    </w:p>
    <w:p w14:paraId="78E4AD04" w14:textId="77777777" w:rsidR="00991B08" w:rsidRDefault="00000000">
      <w:pPr>
        <w:spacing w:after="100"/>
      </w:pPr>
      <w:r>
        <w:t>Therefore, further optimisation of the analyte–surface interaction, rather than only substrate enhancement, is required.</w:t>
      </w:r>
    </w:p>
    <w:p w14:paraId="77CE71E7" w14:textId="77777777" w:rsidR="00991B08" w:rsidRDefault="00000000">
      <w:pPr>
        <w:pStyle w:val="Heading1"/>
      </w:pPr>
      <w:r>
        <w:lastRenderedPageBreak/>
        <w:t>5. Additional Experiments</w:t>
      </w:r>
    </w:p>
    <w:p w14:paraId="45F4AA12" w14:textId="77777777" w:rsidR="00991B08" w:rsidRDefault="00000000">
      <w:r>
        <w:t>An initial LTA detection attempt was also performed. An apparent peak near 1095 cm⁻¹ was observed, but detailed analysis identified it as a detector artefact rather than a confirmed LTA signal.</w:t>
      </w:r>
    </w:p>
    <w:p w14:paraId="562D57D1" w14:textId="77777777" w:rsidR="00991B08" w:rsidRDefault="00000000">
      <w:pPr>
        <w:spacing w:after="100"/>
      </w:pPr>
      <w:r>
        <w:t>LPS is planned as an additional target because its SERS detection has a stronger existing research basis. LTA will also be investigated further using improved measurement and validation criteria.</w:t>
      </w:r>
    </w:p>
    <w:p w14:paraId="248EE09E" w14:textId="77777777" w:rsidR="00991B08" w:rsidRDefault="00000000">
      <w:pPr>
        <w:pStyle w:val="Heading1"/>
      </w:pPr>
      <w:r>
        <w:t>6. Measurement and Validation Criteria Adopted</w:t>
      </w:r>
    </w:p>
    <w:p w14:paraId="184BD243" w14:textId="77777777" w:rsidR="00991B08" w:rsidRDefault="00000000">
      <w:pPr>
        <w:spacing w:after="60"/>
      </w:pPr>
      <w:r>
        <w:t>Following the above experiments, the following criteria have been adopted for all subsequent measurements:</w:t>
      </w:r>
    </w:p>
    <w:p w14:paraId="2FCE050B" w14:textId="77777777" w:rsidR="00991B08" w:rsidRDefault="00000000">
      <w:pPr>
        <w:pStyle w:val="ListBullet"/>
        <w:spacing w:after="60"/>
      </w:pPr>
      <w:r>
        <w:t>A substrate blank is recorded in the same session, immediately before each analyte measurement, using identical acquisition parameters.</w:t>
      </w:r>
    </w:p>
    <w:p w14:paraId="0DA45363" w14:textId="77777777" w:rsidR="00991B08" w:rsidRDefault="00000000">
      <w:pPr>
        <w:pStyle w:val="ListBullet"/>
        <w:spacing w:after="60"/>
      </w:pPr>
      <w:r>
        <w:t>A spectral feature is accepted as an analyte peak only if it is reproducible across multiple independent measurement spots.</w:t>
      </w:r>
    </w:p>
    <w:p w14:paraId="741FAF04" w14:textId="77777777" w:rsidR="00991B08" w:rsidRDefault="00000000">
      <w:pPr>
        <w:pStyle w:val="ListBullet"/>
        <w:spacing w:after="60"/>
      </w:pPr>
      <w:r>
        <w:t>A minimum peak-width criterion is applied to reject single-pixel detector artefacts.</w:t>
      </w:r>
    </w:p>
    <w:p w14:paraId="7E8A132D" w14:textId="77777777" w:rsidR="00991B08" w:rsidRDefault="00000000">
      <w:pPr>
        <w:pStyle w:val="ListBullet"/>
        <w:spacing w:after="60"/>
      </w:pPr>
      <w:r>
        <w:t>Acquisition parameters, substrate condition, analyte, concentration and spot number are recorded for every spectrum.</w:t>
      </w:r>
    </w:p>
    <w:p w14:paraId="120EA6C0" w14:textId="77777777" w:rsidR="00991B08" w:rsidRDefault="00000000">
      <w:pPr>
        <w:spacing w:after="100"/>
      </w:pPr>
      <w:r>
        <w:t>A systematic instrument check using unetched silicon also identified a consistent wavenumber offset of approximately 2–3 cm⁻¹ relative to the accepted silicon Raman position. A tolerance of ±5 cm⁻¹ is therefore applied when comparing measured peak positions with reference values.</w:t>
      </w:r>
    </w:p>
    <w:p w14:paraId="571FE1E6" w14:textId="77777777" w:rsidR="00991B08" w:rsidRDefault="00000000">
      <w:pPr>
        <w:pStyle w:val="Heading1"/>
      </w:pPr>
      <w:r>
        <w:t>7. Next Approach</w:t>
      </w:r>
    </w:p>
    <w:p w14:paraId="7D2A1FB3" w14:textId="77777777" w:rsidR="00991B08" w:rsidRDefault="00000000">
      <w:r>
        <w:t>The next approach is to investigate MPBA (4-mercaptophenylboronic acid) surface functionalisation for NAM detection. The purpose of MPBA is to modify the silver surface and potentially improve the interaction and localisation of NAM near the SERS-active surface.</w:t>
      </w:r>
    </w:p>
    <w:tbl>
      <w:tblPr>
        <w:tblStyle w:val="TableGrid"/>
        <w:tblW w:w="0" w:type="auto"/>
        <w:tblLook w:val="04A0" w:firstRow="1" w:lastRow="0" w:firstColumn="1" w:lastColumn="0" w:noHBand="0" w:noVBand="1"/>
      </w:tblPr>
      <w:tblGrid>
        <w:gridCol w:w="9749"/>
      </w:tblGrid>
      <w:tr w:rsidR="00991B08" w14:paraId="605EF7FE" w14:textId="77777777">
        <w:tc>
          <w:tcPr>
            <w:tcW w:w="9749" w:type="dxa"/>
            <w:shd w:val="clear" w:color="auto" w:fill="DCDCDC"/>
          </w:tcPr>
          <w:p w14:paraId="540F0C7D" w14:textId="77777777" w:rsidR="00991B08" w:rsidRDefault="00000000">
            <w:r>
              <w:rPr>
                <w:b/>
                <w:color w:val="000000"/>
                <w:sz w:val="19"/>
              </w:rPr>
              <w:t>NOTE — MPBA has not yet been procured or tested. A vendor quotation has been requested.</w:t>
            </w:r>
          </w:p>
        </w:tc>
      </w:tr>
    </w:tbl>
    <w:p w14:paraId="365CAA49" w14:textId="77777777" w:rsidR="00991B08" w:rsidRDefault="00991B08"/>
    <w:p w14:paraId="1BFD7249" w14:textId="77777777" w:rsidR="00991B08" w:rsidRDefault="00000000">
      <w:pPr>
        <w:spacing w:after="100"/>
      </w:pPr>
      <w:r>
        <w:t>Before applying MPBA for NAM detection, the MPBA-only Raman spectrum will be recorded to determine whether its spectral features could interfere with NAM. NAM detection will then be compared with and without MPBA. It should be noted that surface functionalisation may also occupy some SERS-active sites, so MPBA must be evaluated through controlled comparison rather than assumed to improve the signal.</w:t>
      </w:r>
    </w:p>
    <w:p w14:paraId="65162419" w14:textId="77777777" w:rsidR="00991B08" w:rsidRDefault="00000000">
      <w:pPr>
        <w:pStyle w:val="Heading1"/>
      </w:pPr>
      <w:r>
        <w:t>8. Current Status</w:t>
      </w:r>
    </w:p>
    <w:tbl>
      <w:tblPr>
        <w:tblStyle w:val="TableGrid"/>
        <w:tblW w:w="0" w:type="auto"/>
        <w:jc w:val="center"/>
        <w:tblLook w:val="04A0" w:firstRow="1" w:lastRow="0" w:firstColumn="1" w:lastColumn="0" w:noHBand="0" w:noVBand="1"/>
      </w:tblPr>
      <w:tblGrid>
        <w:gridCol w:w="2304"/>
        <w:gridCol w:w="7200"/>
      </w:tblGrid>
      <w:tr w:rsidR="00991B08" w14:paraId="54A82565" w14:textId="77777777">
        <w:trPr>
          <w:jc w:val="center"/>
        </w:trPr>
        <w:tc>
          <w:tcPr>
            <w:tcW w:w="2304" w:type="dxa"/>
            <w:shd w:val="clear" w:color="auto" w:fill="000000"/>
          </w:tcPr>
          <w:p w14:paraId="1D73BB29" w14:textId="77777777" w:rsidR="00991B08" w:rsidRDefault="00000000">
            <w:r>
              <w:rPr>
                <w:b/>
                <w:color w:val="FFFFFF"/>
                <w:sz w:val="18"/>
              </w:rPr>
              <w:t>Item</w:t>
            </w:r>
          </w:p>
        </w:tc>
        <w:tc>
          <w:tcPr>
            <w:tcW w:w="7200" w:type="dxa"/>
            <w:shd w:val="clear" w:color="auto" w:fill="000000"/>
          </w:tcPr>
          <w:p w14:paraId="7BDFD2D5" w14:textId="77777777" w:rsidR="00991B08" w:rsidRDefault="00000000">
            <w:r>
              <w:rPr>
                <w:b/>
                <w:color w:val="FFFFFF"/>
                <w:sz w:val="18"/>
              </w:rPr>
              <w:t>Status</w:t>
            </w:r>
          </w:p>
        </w:tc>
      </w:tr>
      <w:tr w:rsidR="00991B08" w14:paraId="33046D9B" w14:textId="77777777">
        <w:trPr>
          <w:jc w:val="center"/>
        </w:trPr>
        <w:tc>
          <w:tcPr>
            <w:tcW w:w="2304" w:type="dxa"/>
          </w:tcPr>
          <w:p w14:paraId="51AF82CF" w14:textId="77777777" w:rsidR="00991B08" w:rsidRDefault="00000000">
            <w:r>
              <w:rPr>
                <w:sz w:val="17"/>
              </w:rPr>
              <w:t>Substrate</w:t>
            </w:r>
          </w:p>
        </w:tc>
        <w:tc>
          <w:tcPr>
            <w:tcW w:w="7200" w:type="dxa"/>
          </w:tcPr>
          <w:p w14:paraId="553A2759" w14:textId="77777777" w:rsidR="00991B08" w:rsidRDefault="00000000">
            <w:r>
              <w:rPr>
                <w:sz w:val="17"/>
              </w:rPr>
              <w:t>Successfully fabricated and SERS-active</w:t>
            </w:r>
          </w:p>
        </w:tc>
      </w:tr>
      <w:tr w:rsidR="00991B08" w14:paraId="1D167558" w14:textId="77777777">
        <w:trPr>
          <w:jc w:val="center"/>
        </w:trPr>
        <w:tc>
          <w:tcPr>
            <w:tcW w:w="2304" w:type="dxa"/>
            <w:shd w:val="clear" w:color="auto" w:fill="EDEDED"/>
          </w:tcPr>
          <w:p w14:paraId="4BED98D7" w14:textId="77777777" w:rsidR="00991B08" w:rsidRDefault="00000000">
            <w:r>
              <w:rPr>
                <w:sz w:val="17"/>
              </w:rPr>
              <w:t>R6G validation</w:t>
            </w:r>
          </w:p>
        </w:tc>
        <w:tc>
          <w:tcPr>
            <w:tcW w:w="7200" w:type="dxa"/>
            <w:shd w:val="clear" w:color="auto" w:fill="EDEDED"/>
          </w:tcPr>
          <w:p w14:paraId="750D5F85" w14:textId="77777777" w:rsidR="00991B08" w:rsidRDefault="00000000">
            <w:r>
              <w:rPr>
                <w:sz w:val="17"/>
              </w:rPr>
              <w:t>Successfully detected with strong enhancement (~35,000 intensity)</w:t>
            </w:r>
          </w:p>
        </w:tc>
      </w:tr>
      <w:tr w:rsidR="00991B08" w14:paraId="41AD2952" w14:textId="77777777">
        <w:trPr>
          <w:jc w:val="center"/>
        </w:trPr>
        <w:tc>
          <w:tcPr>
            <w:tcW w:w="2304" w:type="dxa"/>
          </w:tcPr>
          <w:p w14:paraId="01A0668C" w14:textId="77777777" w:rsidR="00991B08" w:rsidRDefault="00000000">
            <w:r>
              <w:rPr>
                <w:sz w:val="17"/>
              </w:rPr>
              <w:t>NAM</w:t>
            </w:r>
          </w:p>
        </w:tc>
        <w:tc>
          <w:tcPr>
            <w:tcW w:w="7200" w:type="dxa"/>
          </w:tcPr>
          <w:p w14:paraId="018AB778" w14:textId="77777777" w:rsidR="00991B08" w:rsidRDefault="00000000">
            <w:r>
              <w:rPr>
                <w:sz w:val="17"/>
              </w:rPr>
              <w:t>Not yet reproducibly detected</w:t>
            </w:r>
          </w:p>
        </w:tc>
      </w:tr>
      <w:tr w:rsidR="00991B08" w14:paraId="670F71C7" w14:textId="77777777">
        <w:trPr>
          <w:jc w:val="center"/>
        </w:trPr>
        <w:tc>
          <w:tcPr>
            <w:tcW w:w="2304" w:type="dxa"/>
            <w:shd w:val="clear" w:color="auto" w:fill="EDEDED"/>
          </w:tcPr>
          <w:p w14:paraId="2B171301" w14:textId="77777777" w:rsidR="00991B08" w:rsidRDefault="00000000">
            <w:r>
              <w:rPr>
                <w:sz w:val="17"/>
              </w:rPr>
              <w:t>MPBA</w:t>
            </w:r>
          </w:p>
        </w:tc>
        <w:tc>
          <w:tcPr>
            <w:tcW w:w="7200" w:type="dxa"/>
            <w:shd w:val="clear" w:color="auto" w:fill="EDEDED"/>
          </w:tcPr>
          <w:p w14:paraId="2F40E149" w14:textId="77777777" w:rsidR="00991B08" w:rsidRDefault="00000000">
            <w:r>
              <w:rPr>
                <w:sz w:val="17"/>
              </w:rPr>
              <w:t>Quotation requested; not yet procured or tested</w:t>
            </w:r>
          </w:p>
        </w:tc>
      </w:tr>
      <w:tr w:rsidR="00991B08" w14:paraId="26348601" w14:textId="77777777">
        <w:trPr>
          <w:jc w:val="center"/>
        </w:trPr>
        <w:tc>
          <w:tcPr>
            <w:tcW w:w="2304" w:type="dxa"/>
          </w:tcPr>
          <w:p w14:paraId="568CCB57" w14:textId="77777777" w:rsidR="00991B08" w:rsidRDefault="00000000">
            <w:r>
              <w:rPr>
                <w:sz w:val="17"/>
              </w:rPr>
              <w:t>LPS</w:t>
            </w:r>
          </w:p>
        </w:tc>
        <w:tc>
          <w:tcPr>
            <w:tcW w:w="7200" w:type="dxa"/>
          </w:tcPr>
          <w:p w14:paraId="72619F98" w14:textId="77777777" w:rsidR="00991B08" w:rsidRDefault="00000000">
            <w:r>
              <w:rPr>
                <w:sz w:val="17"/>
              </w:rPr>
              <w:t>Planned</w:t>
            </w:r>
          </w:p>
        </w:tc>
      </w:tr>
      <w:tr w:rsidR="00991B08" w14:paraId="05C5D3C0" w14:textId="77777777">
        <w:trPr>
          <w:jc w:val="center"/>
        </w:trPr>
        <w:tc>
          <w:tcPr>
            <w:tcW w:w="2304" w:type="dxa"/>
            <w:shd w:val="clear" w:color="auto" w:fill="EDEDED"/>
          </w:tcPr>
          <w:p w14:paraId="48058A89" w14:textId="77777777" w:rsidR="00991B08" w:rsidRDefault="00000000">
            <w:r>
              <w:rPr>
                <w:sz w:val="17"/>
              </w:rPr>
              <w:t>LTA</w:t>
            </w:r>
          </w:p>
        </w:tc>
        <w:tc>
          <w:tcPr>
            <w:tcW w:w="7200" w:type="dxa"/>
            <w:shd w:val="clear" w:color="auto" w:fill="EDEDED"/>
          </w:tcPr>
          <w:p w14:paraId="17A09020" w14:textId="77777777" w:rsidR="00991B08" w:rsidRDefault="00000000">
            <w:r>
              <w:rPr>
                <w:sz w:val="17"/>
              </w:rPr>
              <w:t>Initial attempt completed; further optimisation planned</w:t>
            </w:r>
          </w:p>
        </w:tc>
      </w:tr>
    </w:tbl>
    <w:p w14:paraId="1159221A" w14:textId="77777777" w:rsidR="00991B08" w:rsidRDefault="00991B08">
      <w:pPr>
        <w:spacing w:after="40"/>
      </w:pPr>
    </w:p>
    <w:p w14:paraId="237DFF83" w14:textId="77777777" w:rsidR="00991B08" w:rsidRDefault="00000000">
      <w:pPr>
        <w:pStyle w:val="Heading1"/>
      </w:pPr>
      <w:r>
        <w:t>9. Overall Progress</w:t>
      </w:r>
    </w:p>
    <w:p w14:paraId="33C003AE" w14:textId="77777777" w:rsidR="00991B08" w:rsidRDefault="00000000">
      <w:r>
        <w:t>The substrate development and SERS validation objectives have been achieved successfully. The current focus is to overcome the analyte–surface interaction limitation for NAM while simultaneously evaluating LPS and LTA as additional bacterial biomarkers.</w:t>
      </w:r>
    </w:p>
    <w:sectPr w:rsidR="00991B08" w:rsidSect="00034616">
      <w:pgSz w:w="11909" w:h="16834"/>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5769628">
    <w:abstractNumId w:val="8"/>
  </w:num>
  <w:num w:numId="2" w16cid:durableId="1367563177">
    <w:abstractNumId w:val="6"/>
  </w:num>
  <w:num w:numId="3" w16cid:durableId="2120099745">
    <w:abstractNumId w:val="5"/>
  </w:num>
  <w:num w:numId="4" w16cid:durableId="125896072">
    <w:abstractNumId w:val="4"/>
  </w:num>
  <w:num w:numId="5" w16cid:durableId="1164737637">
    <w:abstractNumId w:val="7"/>
  </w:num>
  <w:num w:numId="6" w16cid:durableId="1599212581">
    <w:abstractNumId w:val="3"/>
  </w:num>
  <w:num w:numId="7" w16cid:durableId="1089037316">
    <w:abstractNumId w:val="2"/>
  </w:num>
  <w:num w:numId="8" w16cid:durableId="1201095148">
    <w:abstractNumId w:val="1"/>
  </w:num>
  <w:num w:numId="9" w16cid:durableId="1979798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3DB2"/>
    <w:rsid w:val="00991B08"/>
    <w:rsid w:val="00AA1D8D"/>
    <w:rsid w:val="00B47730"/>
    <w:rsid w:val="00CB0664"/>
    <w:rsid w:val="00D25F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DF11C5"/>
  <w14:defaultImageDpi w14:val="300"/>
  <w15:docId w15:val="{16A229BA-38CB-4D70-802D-3B8A913E8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0"/>
    </w:rPr>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833</Words>
  <Characters>4752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subash P</cp:lastModifiedBy>
  <cp:revision>2</cp:revision>
  <dcterms:created xsi:type="dcterms:W3CDTF">2013-12-23T23:15:00Z</dcterms:created>
  <dcterms:modified xsi:type="dcterms:W3CDTF">2026-08-20T14:50:00Z</dcterms:modified>
  <cp:category/>
</cp:coreProperties>
</file>