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864"/>
          <w:sz w:val="40"/>
          <w:szCs w:val="40"/>
        </w:rPr>
        <w:t xml:space="preserve">Sepsis SERS Nanobiosensor — Progress Review</w:t>
      </w:r>
    </w:p>
    <w:p>
      <w:pPr>
        <w:spacing w:after="120"/>
        <w:jc w:val="center"/>
      </w:pPr>
      <w:r>
        <w:rPr>
          <w:color w:val="444444"/>
          <w:sz w:val="28"/>
          <w:szCs w:val="28"/>
        </w:rPr>
        <w:t xml:space="preserve">Slide-by-Slide Content Draft</w:t>
      </w:r>
    </w:p>
    <w:p>
      <w:pPr>
        <w:spacing w:after="1600"/>
        <w:jc w:val="center"/>
      </w:pPr>
      <w:r>
        <w:rPr>
          <w:i/>
          <w:iCs/>
          <w:color w:val="666666"/>
          <w:sz w:val="22"/>
          <w:szCs w:val="22"/>
        </w:rPr>
        <w:t xml:space="preserve">Answers synthesized from project source documents (NAM · LTA · LPS SERS detection work)</w:t>
      </w:r>
    </w:p>
    <w:p>
      <w:pPr>
        <w:spacing w:after="60"/>
        <w:jc w:val="center"/>
      </w:pPr>
      <w:r>
        <w:rPr>
          <w:sz w:val="22"/>
          <w:szCs w:val="22"/>
        </w:rPr>
        <w:t xml:space="preserve">Sukesh P (M24IM1007)</w:t>
      </w:r>
    </w:p>
    <w:p>
      <w:pPr>
        <w:spacing w:after="60"/>
        <w:jc w:val="center"/>
      </w:pPr>
      <w:r>
        <w:rPr>
          <w:sz w:val="22"/>
          <w:szCs w:val="22"/>
        </w:rPr>
        <w:t xml:space="preserve">M.Tech Medical Technologies, IIT Jodhpur &amp; AIIMS Jodhpur Joint IDRP</w:t>
      </w:r>
    </w:p>
    <w:p>
      <w:pPr>
        <w:spacing w:after="60"/>
        <w:jc w:val="center"/>
      </w:pPr>
      <w:r>
        <w:rPr>
          <w:color w:val="666666"/>
          <w:sz w:val="22"/>
          <w:szCs w:val="22"/>
        </w:rPr>
        <w:t xml:space="preserve">August 2026</w:t>
      </w:r>
    </w:p>
    <w:p>
      <w:pPr>
        <w:spacing w:before="2000"/>
        <w:jc w:val="center"/>
      </w:pPr>
      <w:r>
        <w:rPr>
          <w:i/>
          <w:iCs/>
          <w:color w:val="888888"/>
          <w:sz w:val="18"/>
          <w:szCs w:val="18"/>
        </w:rPr>
        <w:t xml:space="preserve">Draft compiled from project files for review-deck preparation — please verify figures before presenting.</w:t>
      </w:r>
    </w:p>
    <w:p>
      <w:r>
        <w:br w:type="page"/>
      </w:r>
    </w:p>
    <w:p>
      <w:pPr>
        <w:pStyle w:val="Heading1"/>
        <w:pBdr>
          <w:bottom w:val="single" w:color="1F3864" w:sz="6" w:space="4"/>
        </w:pBdr>
        <w:spacing w:after="200" w:before="200"/>
      </w:pPr>
      <w:r>
        <w:rPr>
          <w:b/>
          <w:bCs/>
          <w:color w:val="1F3864"/>
          <w:sz w:val="30"/>
          <w:szCs w:val="30"/>
        </w:rPr>
        <w:t xml:space="preserve">Slide 1 — Title</w:t>
      </w:r>
    </w:p>
    <w:p>
      <w:pPr>
        <w:spacing w:after="180" w:line="276"/>
        <w:jc w:val="left"/>
      </w:pPr>
      <w:r>
        <w:rPr>
          <w:b/>
          <w:bCs/>
          <w:sz w:val="21"/>
          <w:szCs w:val="21"/>
        </w:rPr>
        <w:t xml:space="preserve">Suggested title-slide content:</w:t>
      </w:r>
      <w:r>
        <w:rPr>
          <w:sz w:val="21"/>
          <w:szCs w:val="21"/>
        </w:rPr>
        <w:t xml:space="preserve"> "Intelligent Sensor System for Early Prediction of Sepsis in Neonates and High-Risk Adults" — SERS-Based Detection of Bacterial Cell-Wall Biomarkers (NAM · LTA · LPS), validated against DFT calculations on a silver-coated etched-silicon substrate.</w:t>
      </w:r>
    </w:p>
    <w:p>
      <w:pPr>
        <w:spacing w:after="180" w:line="276"/>
        <w:jc w:val="left"/>
      </w:pPr>
      <w:r>
        <w:rPr>
          <w:sz w:val="21"/>
          <w:szCs w:val="21"/>
        </w:rPr>
        <w:t xml:space="preserve">Presenter: Sukesh P (M24IM1007), M.Tech in Medical Technologies, IIT Jodhpur &amp; AIIMS Jodhpur Joint IDRP. PI: Prof. Ajay Agarwal (Dept. of Electrical Engineering, IIT Jodhpur); Co-PI: Prof. (Dr.) Neeraj Gupta (AIIMS Jodhpur); collaborator Dr. Mohamed Zaki Hafeez (M24IM1002). Suggested date: August 2026 progress review (update to current review date).</w:t>
      </w:r>
    </w:p>
    <w:p>
      <w:pPr>
        <w:spacing w:after="80" w:before="160"/>
      </w:pPr>
      <w:r>
        <w:rPr>
          <w:i/>
          <w:iCs/>
          <w:color w:val="666666"/>
          <w:sz w:val="18"/>
          <w:szCs w:val="18"/>
        </w:rPr>
        <w:t xml:space="preserve">Sources: Sepsis_SERS_Progress_Review_v3.pptx (Slide 1); Document_A_Experimental_Execution_Plan_SOP.docx; Comprehensive_Research_Progress_Report_Sepsis_SERS_Aug2026.docx (title page).</w:t>
      </w:r>
    </w:p>
    <w:p>
      <w:r>
        <w:br w:type="page"/>
      </w:r>
    </w:p>
    <w:p>
      <w:pPr>
        <w:pStyle w:val="Heading1"/>
        <w:pBdr>
          <w:bottom w:val="single" w:color="1F3864" w:sz="6" w:space="4"/>
        </w:pBdr>
        <w:spacing w:after="200" w:before="200"/>
      </w:pPr>
      <w:r>
        <w:rPr>
          <w:b/>
          <w:bCs/>
          <w:color w:val="1F3864"/>
          <w:sz w:val="30"/>
          <w:szCs w:val="30"/>
        </w:rPr>
        <w:t xml:space="preserve">Slide 2 — Why Sepsis?</w:t>
      </w:r>
    </w:p>
    <w:p>
      <w:pPr>
        <w:spacing w:after="180" w:line="276"/>
        <w:jc w:val="left"/>
      </w:pPr>
      <w:r>
        <w:rPr>
          <w:sz w:val="21"/>
          <w:szCs w:val="21"/>
        </w:rPr>
        <w:t xml:space="preserve">Sepsis is a dysregulated host response to infection that rapidly progresses to organ failure and death. It caused an estimated 49 million cases and ~11 million deaths globally in 2020, disproportionately affecting neonates and critically ill/high-risk adults in low-resource settings. Outcome depends critically on speed of diagnosis: delayed diagnosis is associated with roughly an 8% increase in mortality for every hour treatment is delayed, and empirical (unfocused) broad-spectrum antibiotic use — the default when the causative organism is unknown — both delays truly effective treatment and drives antimicrobial resistance (AMR). Timely, pathogen-specific diagnosis is therefore the single greatest lever on outcome. This motivates a fast, bacteria-direct detection approach: rather than measuring the host's downstream inflammatory response (which is slow to become specific and never identifies the organism), the project targets structurally conserved bacterial cell-wall molecules themselves, enabling immediate discrimination of Gram-positive vs Gram-negative infection — a distinction with direct, immediate therapeutic relevance since empirical antibiotic choice differs by Gram class.</w:t>
      </w:r>
    </w:p>
    <w:p>
      <w:pPr>
        <w:spacing w:after="80" w:before="160"/>
      </w:pPr>
      <w:r>
        <w:rPr>
          <w:i/>
          <w:iCs/>
          <w:color w:val="666666"/>
          <w:sz w:val="18"/>
          <w:szCs w:val="18"/>
        </w:rPr>
        <w:t xml:space="preserve">Sources: SERS_Nanobiosensor_Project_Timeline_Research_Plan.docx (§1, Clinical Problem); Comprehensive_Research_Progress_Report_Sepsis_SERS_Aug2026.docx (§2 Introduction); Introduction.docx; Project_Progress_Report_Full.docx (§1).</w:t>
      </w:r>
    </w:p>
    <w:p>
      <w:r>
        <w:br w:type="page"/>
      </w:r>
    </w:p>
    <w:p>
      <w:pPr>
        <w:pStyle w:val="Heading1"/>
        <w:pBdr>
          <w:bottom w:val="single" w:color="1F3864" w:sz="6" w:space="4"/>
        </w:pBdr>
        <w:spacing w:after="200" w:before="200"/>
      </w:pPr>
      <w:r>
        <w:rPr>
          <w:b/>
          <w:bCs/>
          <w:color w:val="1F3864"/>
          <w:sz w:val="30"/>
          <w:szCs w:val="30"/>
        </w:rPr>
        <w:t xml:space="preserve">Slide 3 — Clinical Problem &amp; Technology Gap</w:t>
      </w:r>
    </w:p>
    <w:p>
      <w:pPr>
        <w:spacing w:after="180" w:line="276"/>
        <w:jc w:val="left"/>
      </w:pPr>
      <w:r>
        <w:rPr>
          <w:sz w:val="21"/>
          <w:szCs w:val="21"/>
        </w:rPr>
        <w:t xml:space="preserve">Current sepsis diagnosis relies on three imperfect approaches. Blood culture, the clinical gold standard, is slow (24–72 hours) and insensitive (30–50% sensitivity), with accuracy further reduced by prior antibiotic exposure. Molecular assays (PCR/NGS) are faster but require known target sequences, high-quality nucleic acid extraction, and well-equipped laboratories, and cannot detect unexpected or mutated strains. Host-response biomarkers (CRP, procalcitonin, IL-6) return faster results but are only indirect — they signal that inflammation is occurring, not which organism (or even which broad class of organism) is responsible; published diagnostic AUCs for these markers individually are moderate at best (e.g., CRP AUC as low as 0.76–0.78 in neonatal-sepsis cohorts). None of these existing tools is simultaneously fast, pathogen-specific, and resource-light enough for frontline, point-of-care use.</w:t>
      </w:r>
    </w:p>
    <w:p>
      <w:pPr>
        <w:spacing w:after="180" w:line="276"/>
        <w:jc w:val="left"/>
      </w:pPr>
      <w:r>
        <w:rPr>
          <w:sz w:val="21"/>
          <w:szCs w:val="21"/>
        </w:rPr>
        <w:t xml:space="preserve">This defines the technology gap the project addresses: a need for rapid, molecular-level, label-free detection of bacterial structural components directly — moving diagnosis from "is there inflammation?" to "which pathogen, and which Gram class, is present?" within minutes rather than days, using a method (SERS) that reads a full vibrational fingerprint rather than depending on a single antibody-binding event.</w:t>
      </w:r>
    </w:p>
    <w:p>
      <w:pPr>
        <w:spacing w:after="80" w:before="160"/>
      </w:pPr>
      <w:r>
        <w:rPr>
          <w:i/>
          <w:iCs/>
          <w:color w:val="666666"/>
          <w:sz w:val="18"/>
          <w:szCs w:val="18"/>
        </w:rPr>
        <w:t xml:space="preserve">Sources: Introduction.docx; Sepsis_SERS_Progress_Review_v3.pptx (Slide 2); Comprehensive_Research_Progress_Report_Sepsis_SERS_Aug2026.docx (§2).</w:t>
      </w:r>
    </w:p>
    <w:p>
      <w:r>
        <w:br w:type="page"/>
      </w:r>
    </w:p>
    <w:p>
      <w:pPr>
        <w:pStyle w:val="Heading1"/>
        <w:pBdr>
          <w:bottom w:val="single" w:color="1F3864" w:sz="6" w:space="4"/>
        </w:pBdr>
        <w:spacing w:after="200" w:before="200"/>
      </w:pPr>
      <w:r>
        <w:rPr>
          <w:b/>
          <w:bCs/>
          <w:color w:val="1F3864"/>
          <w:sz w:val="30"/>
          <w:szCs w:val="30"/>
        </w:rPr>
        <w:t xml:space="preserve">Slide 4 — Project Vision / Overall Strategy</w:t>
      </w:r>
    </w:p>
    <w:p>
      <w:pPr>
        <w:spacing w:after="180" w:line="276"/>
        <w:jc w:val="left"/>
      </w:pPr>
      <w:r>
        <w:rPr>
          <w:sz w:val="21"/>
          <w:szCs w:val="21"/>
        </w:rPr>
        <w:t xml:space="preserve">The project's overall workflow, as consistently reflected across planning and progress documents, is: </w:t>
      </w:r>
      <w:r>
        <w:rPr>
          <w:b/>
          <w:bCs/>
          <w:sz w:val="21"/>
          <w:szCs w:val="21"/>
        </w:rPr>
        <w:t xml:space="preserve">Biomarker selection → Raman reference spectrum (DFT-guided) → DFT validation → SERS substrate development → biomarker detection on substrate → (eventual) AI/ML spectral classification.</w:t>
      </w:r>
      <w:r>
        <w:rPr>
          <w:sz w:val="21"/>
          <w:szCs w:val="21"/>
        </w:rPr>
        <w:t xml:space="preserve"> Concretely: (1) three bacterial cell-wall biomarkers were selected — NAM (pan-bacterial), LPS (Gram-negative), LTA (Gram-positive); (2) each was modeled computationally (DFT/Gaussian) to predict its Raman-active vibrational modes before any spectrum existed in the literature to compare against; (3) pure-powder Raman reference spectra were measured experimentally and compared against the DFT prediction to validate/assign each band; (4) a silver-coated, HF/AgNO₃-etched silicon (black-Si) SERS substrate was fabricated to provide the plasmonic enhancement needed to detect these molecules at low concentration; (5) the substrate was validated using Rhodamine 6G (R6G) as a benchmark SERS-active probe, confirming the hardware itself works; (6) the project is now in the "SERS biomarker testing" stage — attempting to reproduce each biomarker's own signature on the validated substrate, which is where NAM/LTA have hit reproducibility limits and LPS SERS has not yet been attempted; (7) reproducible detection, then bacterial-isolate and clinical validation, are the "next" and "future" stages; (8) AI/ML-based spectral classification is the final layer, planned once a structured, validated Raman dataset exists across all three biomarkers.</w:t>
      </w:r>
    </w:p>
    <w:p>
      <w:pPr>
        <w:spacing w:after="80" w:before="160"/>
      </w:pPr>
      <w:r>
        <w:rPr>
          <w:i/>
          <w:iCs/>
          <w:color w:val="666666"/>
          <w:sz w:val="18"/>
          <w:szCs w:val="18"/>
        </w:rPr>
        <w:t xml:space="preserve">Sources: Sepsis_SERS_Progress_Review_v3.pptx (Slide 4, Overall Project Roadmap); Comprehensive_Research_Progress_Report_Sepsis_SERS_Aug2026.docx (Executive Summary, §3); Project_Progress_Report_Full.docx (§3).</w:t>
      </w:r>
    </w:p>
    <w:p>
      <w:r>
        <w:br w:type="page"/>
      </w:r>
    </w:p>
    <w:p>
      <w:pPr>
        <w:pStyle w:val="Heading1"/>
        <w:pBdr>
          <w:bottom w:val="single" w:color="1F3864" w:sz="6" w:space="4"/>
        </w:pBdr>
        <w:spacing w:after="200" w:before="200"/>
      </w:pPr>
      <w:r>
        <w:rPr>
          <w:b/>
          <w:bCs/>
          <w:color w:val="1F3864"/>
          <w:sz w:val="30"/>
          <w:szCs w:val="30"/>
        </w:rPr>
        <w:t xml:space="preserve">Slide 5 — Target Biomarkers (NAM, LTA, LPS)</w:t>
      </w:r>
    </w:p>
    <w:p>
      <w:pPr>
        <w:spacing w:after="180" w:line="276"/>
        <w:jc w:val="left"/>
      </w:pPr>
      <w:r>
        <w:rPr>
          <w:b/>
          <w:bCs/>
          <w:sz w:val="21"/>
          <w:szCs w:val="21"/>
        </w:rPr>
        <w:t xml:space="preserve">N-acetylmuramic acid (NAM):</w:t>
      </w:r>
      <w:r>
        <w:rPr>
          <w:sz w:val="21"/>
          <w:szCs w:val="21"/>
        </w:rPr>
        <w:t xml:space="preserve"> a sugar unique to the peptidoglycan backbone of the bacterial cell wall, present in both Gram-positive and Gram-negative bacteria and absent from human biomolecules — making it a universal, pan-bacterial marker (C₁₁H₁₉NO₈, MW 293.27 g/mol; PubChem CID 5462244; Sigma-Aldrich A3007).</w:t>
      </w:r>
    </w:p>
    <w:p>
      <w:pPr>
        <w:spacing w:after="180" w:line="276"/>
        <w:jc w:val="left"/>
      </w:pPr>
      <w:r>
        <w:rPr>
          <w:b/>
          <w:bCs/>
          <w:sz w:val="21"/>
          <w:szCs w:val="21"/>
        </w:rPr>
        <w:t xml:space="preserve">Lipoteichoic acid (LTA):</w:t>
      </w:r>
      <w:r>
        <w:rPr>
          <w:sz w:val="21"/>
          <w:szCs w:val="21"/>
        </w:rPr>
        <w:t xml:space="preserve"> a defining structural component of the Gram-positive cell wall — a linear phosphodiester-linked glycerol-phosphate polymer anchored in the cytoplasmic membrane and threaded through the peptidoglycan layer, negatively charged and amphipathic. It is a TLR2 agonist and PAMP specific to Gram-positive organisms (Sigma L2515, from *S. aureus*).</w:t>
      </w:r>
    </w:p>
    <w:p>
      <w:pPr>
        <w:spacing w:after="180" w:line="276"/>
        <w:jc w:val="left"/>
      </w:pPr>
      <w:r>
        <w:rPr>
          <w:b/>
          <w:bCs/>
          <w:sz w:val="21"/>
          <w:szCs w:val="21"/>
        </w:rPr>
        <w:t xml:space="preserve">Lipopolysaccharide (LPS):</w:t>
      </w:r>
      <w:r>
        <w:rPr>
          <w:sz w:val="21"/>
          <w:szCs w:val="21"/>
        </w:rPr>
        <w:t xml:space="preserve"> the major glycolipid of the Gram-negative outer membrane — an amphiphile with a phosphate-substituted disaccharide (lipid A) bearing six saturated fatty-acyl chains, plus a core-sugar and O-antigen region. It is the principal driver of the host inflammatory response in sepsis (endotoxin) and is specific to Gram-negative organisms (Sigma L2630, *E. coli* O111:B4).</w:t>
      </w:r>
    </w:p>
    <w:p>
      <w:pPr>
        <w:spacing w:after="180" w:line="276"/>
        <w:jc w:val="left"/>
      </w:pPr>
      <w:r>
        <w:rPr>
          <w:sz w:val="21"/>
          <w:szCs w:val="21"/>
        </w:rPr>
        <w:t xml:space="preserve">Together these three structural cell-wall components — not host-response signals — allow a single test to both confirm bacterial presence and discriminate Gram class, directly informing empirical antibiotic choice. The clinical literature (Opal &amp; Cohen, *Crit Care Med* 1999) establishes that Gram-positive and Gram-negative sepsis are mechanistically distinct, with different cytokine kinetics and sometimes opposite responses to the same therapy — the direct justification for a Gram-discriminating rather than a generic "sepsis present" sensor.</w:t>
      </w:r>
    </w:p>
    <w:p>
      <w:pPr>
        <w:spacing w:after="80" w:before="160"/>
      </w:pPr>
      <w:r>
        <w:rPr>
          <w:i/>
          <w:iCs/>
          <w:color w:val="666666"/>
          <w:sz w:val="18"/>
          <w:szCs w:val="18"/>
        </w:rPr>
        <w:t xml:space="preserve">Sources: Sepsis_SERS_Progress_Review_v3.pptx (Slide 6); Introduction.docx; Boronic_Acid_Design_Rationale.md; Experiment_Plan_LPS.docx; Experiment_Plan_LTA.docx; Comprehensive_Research_Progress_Report_Sepsis_SERS_Aug2026.docx (§3).</w:t>
      </w:r>
    </w:p>
    <w:p>
      <w:r>
        <w:br w:type="page"/>
      </w:r>
    </w:p>
    <w:p>
      <w:pPr>
        <w:pStyle w:val="Heading1"/>
        <w:pBdr>
          <w:bottom w:val="single" w:color="1F3864" w:sz="6" w:space="4"/>
        </w:pBdr>
        <w:spacing w:after="200" w:before="200"/>
      </w:pPr>
      <w:r>
        <w:rPr>
          <w:b/>
          <w:bCs/>
          <w:color w:val="1F3864"/>
          <w:sz w:val="30"/>
          <w:szCs w:val="30"/>
        </w:rPr>
        <w:t xml:space="preserve">Slide 6 — Why SERS?</w:t>
      </w:r>
    </w:p>
    <w:p>
      <w:pPr>
        <w:spacing w:after="180" w:line="276"/>
        <w:jc w:val="left"/>
      </w:pPr>
      <w:r>
        <w:rPr>
          <w:sz w:val="21"/>
          <w:szCs w:val="21"/>
        </w:rPr>
        <w:t xml:space="preserve">Surface-Enhanced Raman Spectroscopy (SERS) is Raman spectroscopy performed on or near a nanostructured metal (here, silver) surface: the metal's localized plasmon resonance concentrates the incident laser field into intense "hotspots" in nanometer-scale gaps between metal nanostructures, amplifying the normally weak Raman scattering of nearby molecules by typically 10⁴–10⁸× (up to 10¹⁰–10¹¹× under optimized conditions). This makes it possible to detect molecules at very low concentration while still recovering their full vibrational "fingerprint" — a pattern of many bands, not a single binding event — giving both sensitivity and chemical specificity in one label-free measurement.</w:t>
      </w:r>
    </w:p>
    <w:p>
      <w:pPr>
        <w:spacing w:after="180" w:line="276"/>
        <w:jc w:val="left"/>
      </w:pPr>
      <w:r>
        <w:rPr>
          <w:sz w:val="21"/>
          <w:szCs w:val="21"/>
        </w:rPr>
        <w:t xml:space="preserve">SERS was chosen for this project over conventional Raman, ELISA, colorimetric lateral-flow, and PCR because it uniquely combines (a) label-free molecular-fingerprint specificity, (b) sensitivity spanning femtomolar-to-CFU/mL ranges reported in the literature for cytokine and bacterial SERS assays, and (c) a rapid, portable-instrument-compatible workflow suited to point-of-care use — none of which conventional Raman alone can deliver, since unenhanced Raman scattering is far too weak for trace biomarkers. The host laboratory also had prior published precedent for exactly this class of Ag-on-silicon SERS substrate applied to inflammatory cytokines and metabolites, giving a validated fabrication starting point.</w:t>
      </w:r>
    </w:p>
    <w:p>
      <w:pPr>
        <w:spacing w:after="80" w:before="160"/>
      </w:pPr>
      <w:r>
        <w:rPr>
          <w:i/>
          <w:iCs/>
          <w:color w:val="666666"/>
          <w:sz w:val="18"/>
          <w:szCs w:val="18"/>
        </w:rPr>
        <w:t xml:space="preserve">Sources: Comprehensive_Research_Progress_Report_Sepsis_SERS_Aug2026.docx (§3, "Why SERS"); Sepsis_SERS_Progress_Review_v3.pptx (Slide 2); NAM_Detection_Technology_Comparison_and_Strategy_Aug2026.docx (Executive Summary).</w:t>
      </w:r>
    </w:p>
    <w:p>
      <w:r>
        <w:br w:type="page"/>
      </w:r>
    </w:p>
    <w:p>
      <w:pPr>
        <w:pStyle w:val="Heading1"/>
        <w:pBdr>
          <w:bottom w:val="single" w:color="1F3864" w:sz="6" w:space="4"/>
        </w:pBdr>
        <w:spacing w:after="200" w:before="200"/>
      </w:pPr>
      <w:r>
        <w:rPr>
          <w:b/>
          <w:bCs/>
          <w:color w:val="1F3864"/>
          <w:sz w:val="30"/>
          <w:szCs w:val="30"/>
        </w:rPr>
        <w:t xml:space="preserve">Slide 7 — SERS Substrate: Fabrication Workflow</w:t>
      </w:r>
    </w:p>
    <w:p>
      <w:pPr>
        <w:spacing w:after="180" w:line="276"/>
        <w:jc w:val="left"/>
      </w:pPr>
      <w:r>
        <w:rPr>
          <w:sz w:val="21"/>
          <w:szCs w:val="21"/>
        </w:rPr>
        <w:t xml:space="preserve">The substrate is fabricated by one-step metal-assisted chemical etching (MACE) / silver-assisted chemical etching (SACE), which simultaneously etches the silicon and deposits silver in a single bath:</w:t>
      </w:r>
    </w:p>
    <w:p>
      <w:pPr>
        <w:spacing w:after="180" w:line="276"/>
        <w:jc w:val="left"/>
      </w:pPr>
      <w:r>
        <w:rPr>
          <w:sz w:val="21"/>
          <w:szCs w:val="21"/>
        </w:rPr>
        <w:t xml:space="preserve">1. </w:t>
      </w:r>
      <w:r>
        <w:rPr>
          <w:b/>
          <w:bCs/>
          <w:sz w:val="21"/>
          <w:szCs w:val="21"/>
        </w:rPr>
        <w:t xml:space="preserve">Bare Si</w:t>
      </w:r>
      <w:r>
        <w:rPr>
          <w:sz w:val="21"/>
          <w:szCs w:val="21"/>
        </w:rPr>
        <w:t xml:space="preserve"> — single-crystal, n-type, phosphorus-doped, ⟨100⟩ orientation, 1–10 Ω·cm resistivity, ~1×1 cm pieces cut from a 2-inch wafer. 2. </w:t>
      </w:r>
      <w:r>
        <w:rPr>
          <w:b/>
          <w:bCs/>
          <w:sz w:val="21"/>
          <w:szCs w:val="21"/>
        </w:rPr>
        <w:t xml:space="preserve">Solvent cleaning</w:t>
      </w:r>
      <w:r>
        <w:rPr>
          <w:sz w:val="21"/>
          <w:szCs w:val="21"/>
        </w:rPr>
        <w:t xml:space="preserve"> — sequential sonication/rinse in acetone → isopropyl alcohol (IPA) → deionized (DI) water (~5 min each) to remove organic residues and particulates. 3. </w:t>
      </w:r>
      <w:r>
        <w:rPr>
          <w:b/>
          <w:bCs/>
          <w:sz w:val="21"/>
          <w:szCs w:val="21"/>
        </w:rPr>
        <w:t xml:space="preserve">N₂ drying</w:t>
      </w:r>
      <w:r>
        <w:rPr>
          <w:sz w:val="21"/>
          <w:szCs w:val="21"/>
        </w:rPr>
        <w:t xml:space="preserve"> — dry nitrogen blow-dry between/after cleaning steps (or covered air-dry if unavailable). 4. </w:t>
      </w:r>
      <w:r>
        <w:rPr>
          <w:b/>
          <w:bCs/>
          <w:sz w:val="21"/>
          <w:szCs w:val="21"/>
        </w:rPr>
        <w:t xml:space="preserve">DI-water treatment / oxide strip</w:t>
      </w:r>
      <w:r>
        <w:rPr>
          <w:sz w:val="21"/>
          <w:szCs w:val="21"/>
        </w:rPr>
        <w:t xml:space="preserve"> — a brief dilute-HF dip (~10% HF, 30–60 s) to strip the native oxide layer immediately before etching, followed by a brief DI rinse; the substrate must proceed to the MACE bath within ~5 minutes, since native oxide regrows quickly on bare Si in air. 5. </w:t>
      </w:r>
      <w:r>
        <w:rPr>
          <w:b/>
          <w:bCs/>
          <w:sz w:val="21"/>
          <w:szCs w:val="21"/>
        </w:rPr>
        <w:t xml:space="preserve">HF/AgNO₃ processing (MACE bath)</w:t>
      </w:r>
      <w:r>
        <w:rPr>
          <w:sz w:val="21"/>
          <w:szCs w:val="21"/>
        </w:rPr>
        <w:t xml:space="preserve"> — the substrate is immersed in a bath combining AgNO₃ (dissolved in DI water first) with concentrated HF (added to the AgNO₃ solution, not the reverse), topped to final volume. Ag⁺ is reduced onto the Si surface (galvanic exchange) at sites that simultaneously catalyze local Si oxidation, which HF then dissolves — carving nanostructure and depositing plasmonic silver in one step. Documented working conditions include a 50 mL bath at 20 mM AgNO₃ / ~4.8 M HF with etch times investigated at 2, 5, and 10 minutes (2 minutes gave the strongest R6G response). 6. </w:t>
      </w:r>
      <w:r>
        <w:rPr>
          <w:b/>
          <w:bCs/>
          <w:sz w:val="21"/>
          <w:szCs w:val="21"/>
        </w:rPr>
        <w:t xml:space="preserve">Rinse and dry</w:t>
      </w:r>
      <w:r>
        <w:rPr>
          <w:sz w:val="21"/>
          <w:szCs w:val="21"/>
        </w:rPr>
        <w:t xml:space="preserve"> — thorough DI rinse (multiple changes) to quench the reaction, then N₂ blow-dry (or covered air-dry); do not wipe the surface. 7. </w:t>
      </w:r>
      <w:r>
        <w:rPr>
          <w:b/>
          <w:bCs/>
          <w:sz w:val="21"/>
          <w:szCs w:val="21"/>
        </w:rPr>
        <w:t xml:space="preserve">Ag-coated etched Si ("black silicon")</w:t>
      </w:r>
      <w:r>
        <w:rPr>
          <w:sz w:val="21"/>
          <w:szCs w:val="21"/>
        </w:rPr>
        <w:t xml:space="preserve"> — the finished substrate appears visibly darkened/matte compared to the shiny starting wafer, ready for validation (R6G) and analyte deposition.</w:t>
      </w:r>
    </w:p>
    <w:p>
      <w:pPr>
        <w:spacing w:after="80" w:before="160"/>
      </w:pPr>
      <w:r>
        <w:rPr>
          <w:i/>
          <w:iCs/>
          <w:color w:val="666666"/>
          <w:sz w:val="18"/>
          <w:szCs w:val="18"/>
        </w:rPr>
        <w:t xml:space="preserve">Sources: SOP_MACE_NAM_SERS_Bench_Protocol_Aug2026.docx (Stages A–B); Document_A_Experimental_Execution_Plan_SOP.docx (§5–7); Experiment_Plan_LPS.docx (§5.1); Sepsis_SERS_Progress_Review_v3.pptx (Slide 7); Comprehensive_Research_Progress_Report_Sepsis_SERS_Aug2026.docx (§10).</w:t>
      </w:r>
    </w:p>
    <w:p>
      <w:r>
        <w:br w:type="page"/>
      </w:r>
    </w:p>
    <w:p>
      <w:pPr>
        <w:pStyle w:val="Heading1"/>
        <w:pBdr>
          <w:bottom w:val="single" w:color="1F3864" w:sz="6" w:space="4"/>
        </w:pBdr>
        <w:spacing w:after="200" w:before="200"/>
      </w:pPr>
      <w:r>
        <w:rPr>
          <w:b/>
          <w:bCs/>
          <w:color w:val="1F3864"/>
          <w:sz w:val="30"/>
          <w:szCs w:val="30"/>
        </w:rPr>
        <w:t xml:space="preserve">Slide 8 — SERS Substrate Characterization / Optimization</w:t>
      </w:r>
    </w:p>
    <w:p>
      <w:pPr>
        <w:spacing w:after="180" w:line="276"/>
        <w:jc w:val="left"/>
      </w:pPr>
      <w:r>
        <w:rPr>
          <w:sz w:val="21"/>
          <w:szCs w:val="21"/>
        </w:rPr>
        <w:t xml:space="preserve">Substrate optimization to date has been driven primarily by etch-time and R6G response rather than direct morphology imaging. Three etch times (2, 5, 10 min) were compared using R6G as the benchmark analyte; all three showed the characteristic R6G bands (612, 774, 1183, 1310, 1362, 1509, 1575, 1650 cm⁻¹), confirming genuine SERS activity, but the response did </w:t>
      </w:r>
      <w:r>
        <w:rPr>
          <w:b/>
          <w:bCs/>
          <w:sz w:val="21"/>
          <w:szCs w:val="21"/>
        </w:rPr>
        <w:t xml:space="preserve">not</w:t>
      </w:r>
      <w:r>
        <w:rPr>
          <w:sz w:val="21"/>
          <w:szCs w:val="21"/>
        </w:rPr>
        <w:t xml:space="preserve"> vary monotonically with etch time — 2 min gave by far the strongest signal (~21,118 counts, SNR ~450 at 1509 cm⁻¹), 10 min was intermediate (~3,679 counts, SNR ~220, ≈8× the 5-min level), and 5 min was weakest (~436 counts, SNR ~31). This non-monotonic result indicates that resulting silver morphology/distribution, not etch duration alone, governs performance. A further-optimized bath (8.6 mL HF, 0.170 g AgNO₃ in 50 mL, i.e. 20 mM) produced a strong R6G response of ~35,000 intensity. A rigorous DFT-vs-experiment R6G validation independently confirmed the substrate's electromagnetic function: 31 peaks matched with RMSE 4.62 cm⁻¹ (r = 0.99995), and fabrication condition (HF volume/soak time) was shown to measurably affect signal intensity (r = 0.853, p = 0.0071 at 1510 cm⁻¹).</w:t>
      </w:r>
    </w:p>
    <w:p>
      <w:pPr>
        <w:spacing w:after="180" w:line="276"/>
        <w:jc w:val="left"/>
      </w:pPr>
      <w:r>
        <w:rPr>
          <w:b/>
          <w:bCs/>
          <w:sz w:val="21"/>
          <w:szCs w:val="21"/>
        </w:rPr>
        <w:t xml:space="preserve">Important caveat, stated explicitly in the source documents:</w:t>
      </w:r>
      <w:r>
        <w:rPr>
          <w:sz w:val="21"/>
          <w:szCs w:val="21"/>
        </w:rPr>
        <w:t xml:space="preserve"> this R6G validation confirms the substrate is genuinely SERS-active — it does </w:t>
      </w:r>
      <w:r>
        <w:rPr>
          <w:b/>
          <w:bCs/>
          <w:sz w:val="21"/>
          <w:szCs w:val="21"/>
        </w:rPr>
        <w:t xml:space="preserve">not</w:t>
      </w:r>
      <w:r>
        <w:rPr>
          <w:sz w:val="21"/>
          <w:szCs w:val="21"/>
        </w:rPr>
        <w:t xml:space="preserve"> establish that the substrate is optimized for, or even adequately sensitive to, the actual target biomarkers (NAM/LPS/LTA), because R6G is a resonant, strongly Ag-adsorbing dye chemically very different from these analytes. No SEM/AFM/EDS/UV-Vis morphology characterization, enhancement-factor calculation, or formal reproducibility (%RSD) study exists yet for the project's own fabricated substrate — this is an identified, unresolved gap across multiple internal reviews.</w:t>
      </w:r>
    </w:p>
    <w:p>
      <w:pPr>
        <w:spacing w:after="80" w:before="160"/>
      </w:pPr>
      <w:r>
        <w:rPr>
          <w:i/>
          <w:iCs/>
          <w:color w:val="666666"/>
          <w:sz w:val="18"/>
          <w:szCs w:val="18"/>
        </w:rPr>
        <w:t xml:space="preserve">Sources: SERS_Progress_Report_Summary.docx (§2, R6G table); Sepsis_SERS_Progress_Review_v3.pptx (Slides 7–8); Comprehensive_Research_Progress_Report_Sepsis_SERS_Aug2026.docx (§10–11); Critical_Evaluation_Sensor_Strategy_NAM_LPS_LTA_Aug2026.docx (§6, §14).</w:t>
      </w:r>
    </w:p>
    <w:p>
      <w:r>
        <w:br w:type="page"/>
      </w:r>
    </w:p>
    <w:p>
      <w:pPr>
        <w:pStyle w:val="Heading1"/>
        <w:pBdr>
          <w:bottom w:val="single" w:color="1F3864" w:sz="6" w:space="4"/>
        </w:pBdr>
        <w:spacing w:after="200" w:before="200"/>
      </w:pPr>
      <w:r>
        <w:rPr>
          <w:b/>
          <w:bCs/>
          <w:color w:val="1F3864"/>
          <w:sz w:val="30"/>
          <w:szCs w:val="30"/>
        </w:rPr>
        <w:t xml:space="preserve">Slide 9 — Experimental Setup</w:t>
      </w:r>
    </w:p>
    <w:p>
      <w:pPr>
        <w:spacing w:after="180" w:line="276"/>
        <w:jc w:val="left"/>
      </w:pPr>
      <w:r>
        <w:rPr>
          <w:b/>
          <w:bCs/>
          <w:sz w:val="21"/>
          <w:szCs w:val="21"/>
        </w:rPr>
        <w:t xml:space="preserve">Raman spectrometer:</w:t>
      </w:r>
      <w:r>
        <w:rPr>
          <w:sz w:val="21"/>
          <w:szCs w:val="21"/>
        </w:rPr>
        <w:t xml:space="preserve"> B&amp;W Tek (Metrohm) i-Raman Plus, spectrometer unit BWS465-785H, system BTC665N-785H-SYS, with a BAC102-785E microscope probe head; 785 nm excitation (784.92 nm as reported by the instrument), Class 3B laser, nominal maximum output 495 mW; 2048-pixel detector; spectral range ≈ −46 to 2842 cm⁻¹; mean spectral resolution ≈1.4 cm⁻¹/pixel; software BWSpec/BWRam.</w:t>
      </w:r>
    </w:p>
    <w:p>
      <w:pPr>
        <w:spacing w:after="180" w:line="276"/>
        <w:jc w:val="left"/>
      </w:pPr>
      <w:r>
        <w:rPr>
          <w:b/>
          <w:bCs/>
          <w:sz w:val="21"/>
          <w:szCs w:val="21"/>
        </w:rPr>
        <w:t xml:space="preserve">Substrate/chip:</w:t>
      </w:r>
      <w:r>
        <w:rPr>
          <w:sz w:val="21"/>
          <w:szCs w:val="21"/>
        </w:rPr>
        <w:t xml:space="preserve"> the Ag-coated etched-silicon ("black-Si") SERS chip described in Slide 7, mounted under a 20× Plan objective (a 50× objective is available but unused).</w:t>
      </w:r>
    </w:p>
    <w:p>
      <w:pPr>
        <w:spacing w:after="180" w:line="276"/>
        <w:jc w:val="left"/>
      </w:pPr>
      <w:r>
        <w:rPr>
          <w:b/>
          <w:bCs/>
          <w:sz w:val="21"/>
          <w:szCs w:val="21"/>
        </w:rPr>
        <w:t xml:space="preserve">Sample:</w:t>
      </w:r>
      <w:r>
        <w:rPr>
          <w:sz w:val="21"/>
          <w:szCs w:val="21"/>
        </w:rPr>
        <w:t xml:space="preserve"> the target analyte (NAM/LPS/LTA powder dissolved in DI water, or R6G) is drop-cast onto the substrate and dried before measurement, typically with a same-session blank recorded first.</w:t>
      </w:r>
    </w:p>
    <w:p>
      <w:pPr>
        <w:spacing w:after="180" w:line="276"/>
        <w:jc w:val="left"/>
      </w:pPr>
      <w:r>
        <w:rPr>
          <w:b/>
          <w:bCs/>
          <w:sz w:val="21"/>
          <w:szCs w:val="21"/>
        </w:rPr>
        <w:t xml:space="preserve">Laser:</w:t>
      </w:r>
      <w:r>
        <w:rPr>
          <w:sz w:val="21"/>
          <w:szCs w:val="21"/>
        </w:rPr>
        <w:t xml:space="preserve"> power is set via an unlabelled 0–100 "laser_powerlevel" scale rather than a measured mW value — a specifically flagged, unresolved gap across the project's documentation, since true power at the sample has never been independently measured with a power meter. A general spec-sheet figure of ~30 mW nominal at the probe / ~42 mW at the laser port exists for this instrument class but is not confirmed for the exact unit in use. The manuscript for the NAM powder work instead reports power as a percentage of instrument maximum plus an estimated power-density range (derived from objective/optics transmission, ~40–65%), explicitly labelled as an estimate.</w:t>
      </w:r>
    </w:p>
    <w:p>
      <w:pPr>
        <w:spacing w:after="180" w:line="276"/>
        <w:jc w:val="left"/>
      </w:pPr>
      <w:r>
        <w:rPr>
          <w:b/>
          <w:bCs/>
          <w:sz w:val="21"/>
          <w:szCs w:val="21"/>
        </w:rPr>
        <w:t xml:space="preserve">Acquired spectrum:</w:t>
      </w:r>
      <w:r>
        <w:rPr>
          <w:sz w:val="21"/>
          <w:szCs w:val="21"/>
        </w:rPr>
        <w:t xml:space="preserve"> typical acquisition settings range from 5–60 s integration time, 3–30 accumulations, and 400–1800 cm⁻¹ spectral window, followed by a standard processing pipeline (dark/background correction, ALS baseline correction, Savitzky-Golay smoothing where needed, normalization, and peak/SNR analysis).</w:t>
      </w:r>
    </w:p>
    <w:p>
      <w:pPr>
        <w:spacing w:after="80" w:before="160"/>
      </w:pPr>
      <w:r>
        <w:rPr>
          <w:i/>
          <w:iCs/>
          <w:color w:val="666666"/>
          <w:sz w:val="18"/>
          <w:szCs w:val="18"/>
        </w:rPr>
        <w:t xml:space="preserve">Sources: Power_At_Sample_Protocol.md; Lab_Resources_and_Materials_Inventory_Aug2026.docx (§1); Comprehensive_Research_Progress_Report_Sepsis_SERS_Aug2026.docx (§13); Document_A_Experimental_Execution_Plan_SOP.docx (§9, §12.1).</w:t>
      </w:r>
    </w:p>
    <w:p>
      <w:r>
        <w:br w:type="page"/>
      </w:r>
    </w:p>
    <w:p>
      <w:pPr>
        <w:pStyle w:val="Heading1"/>
        <w:pBdr>
          <w:bottom w:val="single" w:color="1F3864" w:sz="6" w:space="4"/>
        </w:pBdr>
        <w:spacing w:after="200" w:before="200"/>
      </w:pPr>
      <w:r>
        <w:rPr>
          <w:b/>
          <w:bCs/>
          <w:color w:val="1F3864"/>
          <w:sz w:val="30"/>
          <w:szCs w:val="30"/>
        </w:rPr>
        <w:t xml:space="preserve">Slide 10 — Sample Preparation ⭐</w:t>
      </w:r>
    </w:p>
    <w:p>
      <w:pPr>
        <w:spacing w:after="180" w:line="276"/>
        <w:jc w:val="left"/>
      </w:pPr>
      <w:r>
        <w:rPr>
          <w:sz w:val="21"/>
          <w:szCs w:val="21"/>
        </w:rPr>
        <w:t xml:space="preserve">The general sample-preparation pipeline used across NAM, LPS, and LTA work is: </w:t>
      </w:r>
      <w:r>
        <w:rPr>
          <w:b/>
          <w:bCs/>
          <w:sz w:val="21"/>
          <w:szCs w:val="21"/>
        </w:rPr>
        <w:t xml:space="preserve">powder → dissolution in DI water → concentration series → deposition on substrate → Raman/SERS measurement.</w:t>
      </w:r>
    </w:p>
    <w:p>
      <w:pPr>
        <w:spacing w:after="180" w:line="276"/>
        <w:jc w:val="left"/>
      </w:pPr>
      <w:r>
        <w:rPr>
          <w:b/>
          <w:bCs/>
          <w:sz w:val="21"/>
          <w:szCs w:val="21"/>
        </w:rPr>
        <w:t xml:space="preserve">Powder → dissolution:</w:t>
      </w:r>
      <w:r>
        <w:rPr>
          <w:sz w:val="21"/>
          <w:szCs w:val="21"/>
        </w:rPr>
        <w:t xml:space="preserve"> all three biomarkers are supplied as lyophilized/analytical-grade powder (Sigma-Aldrich A3007 for NAM, L2630 for LPS, L2515 for LTA) and are dissolved directly in deionized (DI) or Milli-Q water, weighed on an analytical balance (±0.1 mg resolution). DI water was deliberately chosen over PBS, DMSO, DMF or ethanol for all three biomarkers after explicit solubility testing — PBS specifically was avoided because its phosphate peaks would overlap the 800–1100 cm⁻¹ fingerprint region used for diagnostic bands. NAM (MW 293.27 g/mol, corrected from an earlier erroneous 275.25 g/mol figure) is prepared typically at 1 mg/mL (3.41 mM working stock; a separate calibration protocol recommends starting even lower, 0.05 mg/mL, to avoid signal saturation on a first-use chip). LPS and LTA, being heterogeneous polymers with no single molecular weight, are prepared and reported in mass units (µg/mL or mg/mL) only — never converted to molarity. Both LPS and LTA solutions are characteristically hazy/faintly-yellow due to micelle formation; this haziness is normal (per the Sigma product sheets) and must </w:t>
      </w:r>
      <w:r>
        <w:rPr>
          <w:b/>
          <w:bCs/>
          <w:sz w:val="21"/>
          <w:szCs w:val="21"/>
        </w:rPr>
        <w:t xml:space="preserve">not</w:t>
      </w:r>
      <w:r>
        <w:rPr>
          <w:sz w:val="21"/>
          <w:szCs w:val="21"/>
        </w:rPr>
        <w:t xml:space="preserve"> be filtered out. LPS and LTA both require vortexing (2 min) plus bath sonication (5–15 min) at the stock stage </w:t>
      </w:r>
      <w:r>
        <w:rPr>
          <w:b/>
          <w:bCs/>
          <w:sz w:val="21"/>
          <w:szCs w:val="21"/>
        </w:rPr>
        <w:t xml:space="preserve">and before every subsequent dilution</w:t>
      </w:r>
      <w:r>
        <w:rPr>
          <w:sz w:val="21"/>
          <w:szCs w:val="21"/>
        </w:rPr>
        <w:t xml:space="preserve">, since incomplete dispersion of these micelle-forming molecules is a well-documented cause of irreproducible SERS results (LTA aqueous stock is stable only 2 days at 4 °C, or 2 months frozen as single-use aliquots — stock age is a real confound if not tracked).</w:t>
      </w:r>
    </w:p>
    <w:p>
      <w:pPr>
        <w:spacing w:after="180" w:line="276"/>
        <w:jc w:val="left"/>
      </w:pPr>
      <w:r>
        <w:rPr>
          <w:b/>
          <w:bCs/>
          <w:sz w:val="21"/>
          <w:szCs w:val="21"/>
        </w:rPr>
        <w:t xml:space="preserve">Deposition on substrate:</w:t>
      </w:r>
      <w:r>
        <w:rPr>
          <w:sz w:val="21"/>
          <w:szCs w:val="21"/>
        </w:rPr>
        <w:t xml:space="preserve"> a small drop (2–3 µL for NAM; 2.0 µL for LPS/LTA, matching a published protocol) is deposited at a marked spot, often confined by a hydrophobic barrier ring (wax/PAP pen) since the black-Si surface is superhydrophilic and drops otherwise spread uncontrollably (the coffee-ring problem observed directly in the project's own 12 Aug data). The drop is air-dried undisturbed (not blown or heat-dried, which worsens ring formation) or, per some protocols, vacuum-desiccated or N₂-stream-dried to minimize coffee-ring redistribution; dry time is logged as a real experimental variable. Measurement then proceeds in a fixed order per substrate: same-session blank first (bare, post-etch, before any liquid touches it), then R6G spot-check (SERS-activity gate), then the analyte across ≥3 (commonly ≥9) separate spots.</w:t>
      </w:r>
    </w:p>
    <w:p>
      <w:pPr>
        <w:spacing w:after="80" w:before="160"/>
      </w:pPr>
      <w:r>
        <w:rPr>
          <w:i/>
          <w:iCs/>
          <w:color w:val="666666"/>
          <w:sz w:val="18"/>
          <w:szCs w:val="18"/>
        </w:rPr>
        <w:t xml:space="preserve">Sources: Preparation of NAM Stock solution.docx; Document_A_Experimental_Execution_Plan_SOP.docx (§8); SOP_MACE_NAM_SERS_Bench_Protocol_Aug2026.docx (Stage C); Experiment_Plan_LPS.docx (§4–5); Experiment_Plan_LTA.docx (§5–7); Lab_Resources_and_Materials_Inventory_Aug2026.docx (§3).</w:t>
      </w:r>
    </w:p>
    <w:p>
      <w:r>
        <w:br w:type="page"/>
      </w:r>
    </w:p>
    <w:p>
      <w:pPr>
        <w:pStyle w:val="Heading1"/>
        <w:pBdr>
          <w:bottom w:val="single" w:color="1F3864" w:sz="6" w:space="4"/>
        </w:pBdr>
        <w:spacing w:after="200" w:before="200"/>
      </w:pPr>
      <w:r>
        <w:rPr>
          <w:b/>
          <w:bCs/>
          <w:color w:val="1F3864"/>
          <w:sz w:val="30"/>
          <w:szCs w:val="30"/>
        </w:rPr>
        <w:t xml:space="preserve">Slide 11 — Concentration / Dilution Strategy ⭐</w:t>
      </w:r>
    </w:p>
    <w:p>
      <w:pPr>
        <w:spacing w:after="180" w:line="276"/>
        <w:jc w:val="left"/>
      </w:pPr>
      <w:r>
        <w:rPr>
          <w:sz w:val="21"/>
          <w:szCs w:val="21"/>
        </w:rPr>
        <w:t xml:space="preserve">Systematic dilution is required because the project cannot yet distinguish three separate failure modes for a "no signal" result on the SERS substrate: (1) insufficient substrate enhancement, (2) too little analyte reaching the surface, or (3) poor adsorption/capture chemistry (the analyte simply does not stick to bare silver). Varying concentration while holding the substrate fixed isolates cause (2) from the other two — if signal appears only above some concentration on an otherwise-fixed substrate, the chemistry works but is sensitivity-limited; if no signal appears even at 10× concentration, adsorption/capture (not raw quantity) is the dominant limiter, which is itself a scientifically useful, well-supported conclusion rather than a dead end.</w:t>
      </w:r>
    </w:p>
    <w:p>
      <w:pPr>
        <w:spacing w:after="180" w:line="276"/>
        <w:jc w:val="left"/>
      </w:pPr>
      <w:r>
        <w:rPr>
          <w:sz w:val="21"/>
          <w:szCs w:val="21"/>
        </w:rPr>
        <w:t xml:space="preserve">The planned/executed concentration series differ by biomarker, reflecting differences in solubility, published precedent, and how far a first "does it work at all" test needs to reach:</w:t>
      </w:r>
    </w:p>
    <w:p>
      <w:pPr>
        <w:pStyle w:val="ListParagraph"/>
        <w:numPr>
          <w:ilvl w:val="0"/>
          <w:numId w:val="2"/>
        </w:numPr>
        <w:spacing w:after="100" w:line="276"/>
      </w:pPr>
      <w:r>
        <w:rPr>
          <w:b/>
          <w:bCs/>
          <w:sz w:val="21"/>
          <w:szCs w:val="21"/>
        </w:rPr>
        <w:t xml:space="preserve">NAM:</w:t>
      </w:r>
      <w:r>
        <w:rPr>
          <w:sz w:val="21"/>
          <w:szCs w:val="21"/>
        </w:rPr>
        <w:t xml:space="preserve"> decade series from 1 mg/mL (3.41 mM) down to 1 µg/mL as an initial detection sweep (later extended toward a 10⁻⁴ mg/mL floor for LOD work); a conditional 1×/5×/10× series (3.41/17.05/34.1 mM) is reserved specifically to test whether "not enough NAM" (vs. "NAM doesn't stick to bare Ag") explains a negative bare-substrate result — run only after the AgNO₃ nanostructure series is exhausted, to avoid confounding two variables at once.</w:t>
      </w:r>
    </w:p>
    <w:p>
      <w:pPr>
        <w:pStyle w:val="ListParagraph"/>
        <w:numPr>
          <w:ilvl w:val="0"/>
          <w:numId w:val="2"/>
        </w:numPr>
        <w:spacing w:after="100" w:line="276"/>
      </w:pPr>
      <w:r>
        <w:rPr>
          <w:b/>
          <w:bCs/>
          <w:sz w:val="21"/>
          <w:szCs w:val="21"/>
        </w:rPr>
        <w:t xml:space="preserve">LPS:</w:t>
      </w:r>
      <w:r>
        <w:rPr>
          <w:sz w:val="21"/>
          <w:szCs w:val="21"/>
        </w:rPr>
        <w:t xml:space="preserve"> four-point working series — W1 100 µg/mL, W2 10 µg/mL, W3 1 µg/mL, W4 0.1 µg/mL — each freshly vortexed and sonicated from the 1 mg/mL stock.</w:t>
      </w:r>
    </w:p>
    <w:p>
      <w:pPr>
        <w:pStyle w:val="ListParagraph"/>
        <w:numPr>
          <w:ilvl w:val="0"/>
          <w:numId w:val="2"/>
        </w:numPr>
        <w:spacing w:after="100" w:line="276"/>
      </w:pPr>
      <w:r>
        <w:rPr>
          <w:b/>
          <w:bCs/>
          <w:sz w:val="21"/>
          <w:szCs w:val="21"/>
        </w:rPr>
        <w:t xml:space="preserve">LTA:</w:t>
      </w:r>
      <w:r>
        <w:rPr>
          <w:sz w:val="21"/>
          <w:szCs w:val="21"/>
        </w:rPr>
        <w:t xml:space="preserve"> a higher starting point (T-W1 500 µg/mL, then 100, 10, 1 µg/mL) is deliberately used because LTA has weaker published SERS precedent than LPS, so the immediate goal is simply establishing whether *any* signal is obtainable before refining sensitivity.</w:t>
      </w:r>
    </w:p>
    <w:p>
      <w:pPr>
        <w:spacing w:after="180" w:line="276"/>
        <w:jc w:val="left"/>
      </w:pPr>
      <w:r>
        <w:rPr>
          <w:sz w:val="21"/>
          <w:szCs w:val="21"/>
        </w:rPr>
        <w:t xml:space="preserve">A broader concentration-strategy document frames three regimes for method development generally: a high "prove the concept works" range (1–10 mM), a mid-range calibration-curve region (1 µM–1 mM), and the eventual clinically relevant target (ng/mL–µg/mL, by analogy to LPS's published ng/mL-range LOD) — with the explicit caution that pushing toward the clinical range before capture chemistry is validated risks a false-negative (no signal because concentration is too low for the current unoptimized system, not because the approach has failed).</w:t>
      </w:r>
    </w:p>
    <w:p>
      <w:pPr>
        <w:spacing w:after="80" w:before="160"/>
      </w:pPr>
      <w:r>
        <w:rPr>
          <w:i/>
          <w:iCs/>
          <w:color w:val="666666"/>
          <w:sz w:val="18"/>
          <w:szCs w:val="18"/>
        </w:rPr>
        <w:t xml:space="preserve">Sources: NAM_Detection_Optimization_BlackSi_DOE_Strategy_Aug2026.docx (§4.4); Document_A_Experimental_Execution_Plan_SOP.docx (Exp. 2); Document_B_Scientific_Rationale_Decision_Log.docx (§7.2 decision tree); Experiment_Plan_LPS.docx (§4.3); Experiment_Plan_LTA.docx (§5.3).</w:t>
      </w:r>
    </w:p>
    <w:p>
      <w:r>
        <w:br w:type="page"/>
      </w:r>
    </w:p>
    <w:p>
      <w:pPr>
        <w:pStyle w:val="Heading1"/>
        <w:pBdr>
          <w:bottom w:val="single" w:color="1F3864" w:sz="6" w:space="4"/>
        </w:pBdr>
        <w:spacing w:after="200" w:before="200"/>
      </w:pPr>
      <w:r>
        <w:rPr>
          <w:b/>
          <w:bCs/>
          <w:color w:val="1F3864"/>
          <w:sz w:val="30"/>
          <w:szCs w:val="30"/>
        </w:rPr>
        <w:t xml:space="preserve">What Have We Established? (unnumbered slide)</w:t>
      </w:r>
    </w:p>
    <w:p>
      <w:pPr>
        <w:spacing w:after="180" w:line="276"/>
        <w:jc w:val="left"/>
      </w:pPr>
      <w:r>
        <w:rPr>
          <w:sz w:val="21"/>
          <w:szCs w:val="21"/>
        </w:rPr>
        <w:t xml:space="preserve">The project's most recent internal review (Aug 2026) adopts a consistent six-tier evidence framework, applied identically across all three biomarkers, and this is the most defensible way to present current standing:</w:t>
      </w:r>
    </w:p>
    <w:p>
      <w:pPr>
        <w:pStyle w:val="ListParagraph"/>
        <w:numPr>
          <w:ilvl w:val="0"/>
          <w:numId w:val="2"/>
        </w:numPr>
        <w:spacing w:after="100" w:line="276"/>
      </w:pPr>
      <w:r>
        <w:rPr>
          <w:b/>
          <w:bCs/>
          <w:sz w:val="21"/>
          <w:szCs w:val="21"/>
        </w:rPr>
        <w:t xml:space="preserve">CONFIRMED</w:t>
      </w:r>
      <w:r>
        <w:rPr>
          <w:sz w:val="21"/>
          <w:szCs w:val="21"/>
        </w:rPr>
        <w:t xml:space="preserve"> (DFT + powder Raman + blank-validated SERS all agree): </w:t>
      </w:r>
      <w:r>
        <w:rPr>
          <w:b/>
          <w:bCs/>
          <w:sz w:val="21"/>
          <w:szCs w:val="21"/>
        </w:rPr>
        <w:t xml:space="preserve">0 bands, for any biomarker.</w:t>
      </w:r>
      <w:r>
        <w:rPr>
          <w:sz w:val="21"/>
          <w:szCs w:val="21"/>
        </w:rPr>
        <w:t xml:space="preserve"> No biomarker has reached full confirmation on the substrate yet.</w:t>
      </w:r>
    </w:p>
    <w:p>
      <w:pPr>
        <w:pStyle w:val="ListParagraph"/>
        <w:numPr>
          <w:ilvl w:val="0"/>
          <w:numId w:val="2"/>
        </w:numPr>
        <w:spacing w:after="100" w:line="276"/>
      </w:pPr>
      <w:r>
        <w:rPr>
          <w:b/>
          <w:bCs/>
          <w:sz w:val="21"/>
          <w:szCs w:val="21"/>
        </w:rPr>
        <w:t xml:space="preserve">STRONG CANDIDATE</w:t>
      </w:r>
      <w:r>
        <w:rPr>
          <w:sz w:val="21"/>
          <w:szCs w:val="21"/>
        </w:rPr>
        <w:t xml:space="preserve"> (reproducible + DFT/literature support, but SERS not yet matched, or matched but only marginally validated): </w:t>
      </w:r>
      <w:r>
        <w:rPr>
          <w:b/>
          <w:bCs/>
          <w:sz w:val="21"/>
          <w:szCs w:val="21"/>
        </w:rPr>
        <w:t xml:space="preserve">NAM's 643 cm⁻¹ peak</w:t>
      </w:r>
      <w:r>
        <w:rPr>
          <w:sz w:val="21"/>
          <w:szCs w:val="21"/>
        </w:rPr>
        <w:t xml:space="preserve"> (25.6% of NAM SERS spectra vs. 8.8% of matched blanks, net +16.8 points — the only SERS candidate that both matches DFT/powder position AND clears a matched-blank reproducibility test); </w:t>
      </w:r>
      <w:r>
        <w:rPr>
          <w:b/>
          <w:bCs/>
          <w:sz w:val="21"/>
          <w:szCs w:val="21"/>
        </w:rPr>
        <w:t xml:space="preserve">LTA's 1093.2 cm⁻¹ band</w:t>
      </w:r>
      <w:r>
        <w:rPr>
          <w:sz w:val="21"/>
          <w:szCs w:val="21"/>
        </w:rPr>
        <w:t xml:space="preserve"> (reproducible in powder Raman, DFT-consistent within Δ=12.7 cm⁻¹, inside the literature PO₂⁻ region) — but with </w:t>
      </w:r>
      <w:r>
        <w:rPr>
          <w:b/>
          <w:bCs/>
          <w:sz w:val="21"/>
          <w:szCs w:val="21"/>
        </w:rPr>
        <w:t xml:space="preserve">no confirmed SERS counterpart</w:t>
      </w:r>
      <w:r>
        <w:rPr>
          <w:sz w:val="21"/>
          <w:szCs w:val="21"/>
        </w:rPr>
        <w:t xml:space="preserve"> for this band.</w:t>
      </w:r>
    </w:p>
    <w:p>
      <w:pPr>
        <w:pStyle w:val="ListParagraph"/>
        <w:numPr>
          <w:ilvl w:val="0"/>
          <w:numId w:val="2"/>
        </w:numPr>
        <w:spacing w:after="100" w:line="276"/>
      </w:pPr>
      <w:r>
        <w:rPr>
          <w:b/>
          <w:bCs/>
          <w:sz w:val="21"/>
          <w:szCs w:val="21"/>
        </w:rPr>
        <w:t xml:space="preserve">UNCONFIRMED</w:t>
      </w:r>
      <w:r>
        <w:rPr>
          <w:sz w:val="21"/>
          <w:szCs w:val="21"/>
        </w:rPr>
        <w:t xml:space="preserve"> (detected but insufficient/conflicting evidence): 26 NAM SERS candidates, 4 LTA bands, 22 uncertain LPS DFT-vs-experiment matches.</w:t>
      </w:r>
    </w:p>
    <w:p>
      <w:pPr>
        <w:pStyle w:val="ListParagraph"/>
        <w:numPr>
          <w:ilvl w:val="0"/>
          <w:numId w:val="2"/>
        </w:numPr>
        <w:spacing w:after="100" w:line="276"/>
      </w:pPr>
      <w:r>
        <w:rPr>
          <w:b/>
          <w:bCs/>
          <w:sz w:val="21"/>
          <w:szCs w:val="21"/>
        </w:rPr>
        <w:t xml:space="preserve">SUBSTRATE ARTIFACT</w:t>
      </w:r>
      <w:r>
        <w:rPr>
          <w:sz w:val="21"/>
          <w:szCs w:val="21"/>
        </w:rPr>
        <w:t xml:space="preserve"> (explained by blank-substrate signal, not the biomarker): 2 NAM peaks (1004, 1127 cm⁻¹); 1 LTA peak (1602.4 cm⁻¹).</w:t>
      </w:r>
    </w:p>
    <w:p>
      <w:pPr>
        <w:pStyle w:val="ListParagraph"/>
        <w:numPr>
          <w:ilvl w:val="0"/>
          <w:numId w:val="2"/>
        </w:numPr>
        <w:spacing w:after="100" w:line="276"/>
      </w:pPr>
      <w:r>
        <w:rPr>
          <w:b/>
          <w:bCs/>
          <w:sz w:val="21"/>
          <w:szCs w:val="21"/>
        </w:rPr>
        <w:t xml:space="preserve">NOT DETECTED</w:t>
      </w:r>
      <w:r>
        <w:rPr>
          <w:sz w:val="21"/>
          <w:szCs w:val="21"/>
        </w:rPr>
        <w:t xml:space="preserve"> (searched for, not found within tolerance): 1 LTA band.</w:t>
      </w:r>
    </w:p>
    <w:p>
      <w:pPr>
        <w:pStyle w:val="ListParagraph"/>
        <w:numPr>
          <w:ilvl w:val="0"/>
          <w:numId w:val="2"/>
        </w:numPr>
        <w:spacing w:after="100" w:line="276"/>
      </w:pPr>
      <w:r>
        <w:rPr>
          <w:b/>
          <w:bCs/>
          <w:sz w:val="21"/>
          <w:szCs w:val="21"/>
        </w:rPr>
        <w:t xml:space="preserve">NOT PERFORMED</w:t>
      </w:r>
      <w:r>
        <w:rPr>
          <w:sz w:val="21"/>
          <w:szCs w:val="21"/>
        </w:rPr>
        <w:t xml:space="preserve"> (measurement not yet attempted — explicitly distinct from a negative result): </w:t>
      </w:r>
      <w:r>
        <w:rPr>
          <w:b/>
          <w:bCs/>
          <w:sz w:val="21"/>
          <w:szCs w:val="21"/>
        </w:rPr>
        <w:t xml:space="preserve">all LPS SERS work.</w:t>
      </w:r>
      <w:r>
        <w:rPr>
          <w:sz w:val="21"/>
          <w:szCs w:val="21"/>
        </w:rPr>
        <w:t xml:space="preserve"> No LPS spectrum exists on the project's own substrates yet.</w:t>
      </w:r>
    </w:p>
    <w:p>
      <w:pPr>
        <w:spacing w:after="180" w:line="276"/>
        <w:jc w:val="left"/>
      </w:pPr>
      <w:r>
        <w:rPr>
          <w:sz w:val="21"/>
          <w:szCs w:val="21"/>
        </w:rPr>
        <w:t xml:space="preserve">A directly relevant prior finding was actively </w:t>
      </w:r>
      <w:r>
        <w:rPr>
          <w:b/>
          <w:bCs/>
          <w:sz w:val="21"/>
          <w:szCs w:val="21"/>
        </w:rPr>
        <w:t xml:space="preserve">retracted</w:t>
      </w:r>
      <w:r>
        <w:rPr>
          <w:sz w:val="21"/>
          <w:szCs w:val="21"/>
        </w:rPr>
        <w:t xml:space="preserve">, not just superseded: a previously reported LTA "detection" near 1095 cm⁻¹ (apparent SNR 7–9) was investigated at the pixel level and found to be a single-pixel detector artifact (recurring at the identical pixel across three consecutive spectra), not a real Raman band (which spans 4–5 pixels on this instrument). That retraction stands as the authoritative result for that claim. On the computational side, NAM is by far the most mature strand — a validated whole-molecule DFT calculation (30/41 bands matched, MAE 5.73–9.3 cm⁻¹ depending on window) — while LPS relies on a modest 5-fragment composite fit (R²≈0.18) and LTA's fragment-composite fit failed outright in the primary dataset (NaN statistics), though the standalone glycerol-phosphate fragment succeeded cleanly.</w:t>
      </w:r>
    </w:p>
    <w:p>
      <w:pPr>
        <w:spacing w:after="80" w:before="160"/>
      </w:pPr>
      <w:r>
        <w:rPr>
          <w:i/>
          <w:iCs/>
          <w:color w:val="666666"/>
          <w:sz w:val="18"/>
          <w:szCs w:val="18"/>
        </w:rPr>
        <w:t xml:space="preserve">Sources: Sepsis_SERS_Progress_Review_v3.pptx (Slides 12–13, 17–18, 21, 23, 26–28); Comprehensive_Research_Progress_Report_Sepsis_SERS_Aug2026.docx (§6, §20).</w:t>
      </w:r>
    </w:p>
    <w:p>
      <w:r>
        <w:br w:type="page"/>
      </w:r>
    </w:p>
    <w:p>
      <w:pPr>
        <w:pStyle w:val="Heading1"/>
        <w:pBdr>
          <w:bottom w:val="single" w:color="1F3864" w:sz="6" w:space="4"/>
        </w:pBdr>
        <w:spacing w:after="200" w:before="200"/>
      </w:pPr>
      <w:r>
        <w:rPr>
          <w:b/>
          <w:bCs/>
          <w:color w:val="1F3864"/>
          <w:sz w:val="30"/>
          <w:szCs w:val="30"/>
        </w:rPr>
        <w:t xml:space="preserve">Slide 24 — Dilution Study – Scientific Question ⭐</w:t>
      </w:r>
    </w:p>
    <w:p>
      <w:pPr>
        <w:spacing w:after="180" w:line="276"/>
        <w:jc w:val="left"/>
      </w:pPr>
      <w:r>
        <w:rPr>
          <w:b/>
          <w:bCs/>
          <w:sz w:val="21"/>
          <w:szCs w:val="21"/>
        </w:rPr>
        <w:t xml:space="preserve">Does dilution improve spectral clarity by reducing molecular interactions, or does signal decrease below reliable detection?</w:t>
      </w:r>
    </w:p>
    <w:p>
      <w:pPr>
        <w:spacing w:after="180" w:line="276"/>
        <w:jc w:val="left"/>
      </w:pPr>
      <w:r>
        <w:rPr>
          <w:sz w:val="21"/>
          <w:szCs w:val="21"/>
        </w:rPr>
        <w:t xml:space="preserve">This question sits at the center of the project's next planned experimental phase because both outcomes are scientifically real possibilities and have different implications. On one hand, at high concentration, densely packed analyte molecules (or, for LPS/LTA, their self-assembled micelles) may crowd the substrate surface, produce non-specific aggregation, or generate background/interference (e.g., overlapping molecular interactions, saturation effects, or solute-solute crowding that distorts peak shape) — in which case a moderate dilution could sharpen and clarify the spectral signal by allowing individual molecules better access to discrete hotspots. On the other hand, SERS signal fundamentally requires a minimum number of analyte molecules within the enhanced near-field of a hotspot; below some concentration, the expected signal simply falls below the noise floor and detection is lost regardless of "clarity." The project's own data illustrate why this cannot be assumed either way: NAM was not reproducibly detected even at the relatively high starting concentration of 1 mg/mL (3.41 mM), meaning the current bottleneck may be adsorption/capture chemistry rather than concentration — but this has never been formally isolated by running a genuine concentration series and inspecting how SNR, peak position, and reproducibility actually respond as concentration is stepped down (or up). Answering this question properly requires the exact type of systematic dilution experiment defined in Document A/B, Experiment_Plan_LPS, and Experiment_Plan_LTA: hold the substrate and all acquisition settings fixed, vary only analyte concentration across a wide (typically decade) range, and track whether signal quality genuinely improves, degrades, or is simply concentration-scaled, distinguishing "not enough NAM" from "NAM doesn't stick to bare Ag" — a distinction the project has explicitly flagged as still open.</w:t>
      </w:r>
    </w:p>
    <w:p>
      <w:pPr>
        <w:spacing w:after="80" w:before="160"/>
      </w:pPr>
      <w:r>
        <w:rPr>
          <w:i/>
          <w:iCs/>
          <w:color w:val="666666"/>
          <w:sz w:val="18"/>
          <w:szCs w:val="18"/>
        </w:rPr>
        <w:t xml:space="preserve">Sources: doubts.docx; NAM_Detection_Optimization_BlackSi_DOE_Strategy_Aug2026.docx (§4.11, calibration-curve rationale); Document_B_Scientific_Rationale_Decision_Log.docx (§7.2); Next_Experiment_Plan_BareAg_NAM_Optimization_12Aug2026.docx (§6).</w:t>
      </w:r>
    </w:p>
    <w:p>
      <w:r>
        <w:br w:type="page"/>
      </w:r>
    </w:p>
    <w:p>
      <w:pPr>
        <w:pStyle w:val="Heading1"/>
        <w:pBdr>
          <w:bottom w:val="single" w:color="1F3864" w:sz="6" w:space="4"/>
        </w:pBdr>
        <w:spacing w:after="200" w:before="200"/>
      </w:pPr>
      <w:r>
        <w:rPr>
          <w:b/>
          <w:bCs/>
          <w:color w:val="1F3864"/>
          <w:sz w:val="30"/>
          <w:szCs w:val="30"/>
        </w:rPr>
        <w:t xml:space="preserve">Slide 25 — Proposed Systematic Dilution Experiment ⭐</w:t>
      </w:r>
    </w:p>
    <w:p>
      <w:pPr>
        <w:spacing w:after="180" w:line="276"/>
        <w:jc w:val="left"/>
      </w:pPr>
      <w:r>
        <w:rPr>
          <w:sz w:val="21"/>
          <w:szCs w:val="21"/>
        </w:rPr>
        <w:t xml:space="preserve">The project's documented protocols converge on a consistent workflow: </w:t>
      </w:r>
      <w:r>
        <w:rPr>
          <w:b/>
          <w:bCs/>
          <w:sz w:val="21"/>
          <w:szCs w:val="21"/>
        </w:rPr>
        <w:t xml:space="preserve">high concentration → serial dilution → Raman/SERS measurement → replicate measurements → peak tracking.</w:t>
      </w:r>
    </w:p>
    <w:p>
      <w:pPr>
        <w:spacing w:after="180" w:line="276"/>
        <w:jc w:val="left"/>
      </w:pPr>
      <w:r>
        <w:rPr>
          <w:b/>
          <w:bCs/>
          <w:sz w:val="21"/>
          <w:szCs w:val="21"/>
        </w:rPr>
        <w:t xml:space="preserve">Example (LPS protocol, directly reusable as a template):</w:t>
      </w:r>
      <w:r>
        <w:rPr>
          <w:sz w:val="21"/>
          <w:szCs w:val="21"/>
        </w:rPr>
        <w:t xml:space="preserve"> starting from a 1 mg/mL stock (vortexed 2 min, sonicated 15 min), a serial dilution series is prepared fresh on the day of measurement — W1 100 µg/mL, W2 10 µg/mL, W3 1 µg/mL, W4 0.1 µg/mL — each step re-vortexed (30 s) and re-sonicated (5 min) before use, since incomplete redispersion at each dilution step is itself a source of irreproducibility. Measurement order per substrate: a same-session blank first (3 spots), then an R6G SERS-activity gate (3 spots, confirms the substrate is alive before trusting the analyte data), then the primary concentration (9 spots — matching the published reproducibility standard this protocol adapts from), then each subsequent dilution (5 spots each), and finally a blank repeat on a second substrate to confirm blank reproducibility. Total: ~33 spectra, budgeted at roughly 2.5–3 hours of instrument time.</w:t>
      </w:r>
    </w:p>
    <w:p>
      <w:pPr>
        <w:spacing w:after="180" w:line="276"/>
        <w:jc w:val="left"/>
      </w:pPr>
      <w:r>
        <w:rPr>
          <w:b/>
          <w:bCs/>
          <w:sz w:val="21"/>
          <w:szCs w:val="21"/>
        </w:rPr>
        <w:t xml:space="preserve">Replicate structure:</w:t>
      </w:r>
      <w:r>
        <w:rPr>
          <w:sz w:val="21"/>
          <w:szCs w:val="21"/>
        </w:rPr>
        <w:t xml:space="preserve"> three distinct levels of replication are tracked separately rather than pooled — technical replicates (same spot, measured twice, isolating instrument noise), spot-to-spot replicates (different spots on one substrate, isolating within-substrate nanostructure uniformity), and independent substrate replicates (a second substrate fabricated under nominally identical conditions, isolating fabrication reproducibility) — because averaging across these levels prematurely hides exactly the variability the experiment is designed to characterize.</w:t>
      </w:r>
    </w:p>
    <w:p>
      <w:pPr>
        <w:spacing w:after="180" w:line="276"/>
        <w:jc w:val="left"/>
      </w:pPr>
      <w:r>
        <w:rPr>
          <w:b/>
          <w:bCs/>
          <w:sz w:val="21"/>
          <w:szCs w:val="21"/>
        </w:rPr>
        <w:t xml:space="preserve">Peak tracking:</w:t>
      </w:r>
      <w:r>
        <w:rPr>
          <w:sz w:val="21"/>
          <w:szCs w:val="21"/>
        </w:rPr>
        <w:t xml:space="preserve"> every spectrum is scored against the same fixed set of target diagnostic bands for that biomarker (e.g., NAM's 930/871 cm⁻¹ primary bands; LPS's 989/1330 cm⁻¹; LTA's phosphate 1080–1095/1225–1250 cm⁻¹ plus a co-occurring lipid band at 1450/1131 cm⁻¹), with position, height, area, and SNR logged per spot so that dose-response can be assessed quantitatively (e.g., the ratio I(target)/I(internal-reference) vs. concentration) rather than by eye.</w:t>
      </w:r>
    </w:p>
    <w:p>
      <w:pPr>
        <w:spacing w:after="80" w:before="160"/>
      </w:pPr>
      <w:r>
        <w:rPr>
          <w:i/>
          <w:iCs/>
          <w:color w:val="666666"/>
          <w:sz w:val="18"/>
          <w:szCs w:val="18"/>
        </w:rPr>
        <w:t xml:space="preserve">Sources: Experiment_Plan_LPS.docx (§4–5, measurement matrix); Experiment_Plan_LTA.docx (§8); Document_A_Experimental_Execution_Plan_SOP.docx (§12–13); NAM_Detection_Experimental_Plan.md (Stage 4).</w:t>
      </w:r>
    </w:p>
    <w:p>
      <w:r>
        <w:br w:type="page"/>
      </w:r>
    </w:p>
    <w:p>
      <w:pPr>
        <w:pStyle w:val="Heading1"/>
        <w:pBdr>
          <w:bottom w:val="single" w:color="1F3864" w:sz="6" w:space="4"/>
        </w:pBdr>
        <w:spacing w:after="200" w:before="200"/>
      </w:pPr>
      <w:r>
        <w:rPr>
          <w:b/>
          <w:bCs/>
          <w:color w:val="1F3864"/>
          <w:sz w:val="30"/>
          <w:szCs w:val="30"/>
        </w:rPr>
        <w:t xml:space="preserve">Slide 26 — Parameters to Quantify ⭐</w:t>
      </w:r>
    </w:p>
    <w:p>
      <w:pPr>
        <w:spacing w:after="180" w:line="276"/>
        <w:jc w:val="left"/>
      </w:pPr>
      <w:r>
        <w:rPr>
          <w:sz w:val="21"/>
          <w:szCs w:val="21"/>
        </w:rPr>
        <w:t xml:space="preserve">Every dilution/detection experiment in the project's protocols scores spectra against the same core parameter set, so that "detection" is a quantitative, reproducible judgment rather than a subjective read of a spectrum:</w:t>
      </w:r>
    </w:p>
    <w:p>
      <w:pPr>
        <w:pStyle w:val="ListParagraph"/>
        <w:numPr>
          <w:ilvl w:val="0"/>
          <w:numId w:val="2"/>
        </w:numPr>
        <w:spacing w:after="100" w:line="276"/>
      </w:pPr>
      <w:r>
        <w:rPr>
          <w:b/>
          <w:bCs/>
          <w:sz w:val="21"/>
          <w:szCs w:val="21"/>
        </w:rPr>
        <w:t xml:space="preserve">Peak intensity</w:t>
      </w:r>
      <w:r>
        <w:rPr>
          <w:sz w:val="21"/>
          <w:szCs w:val="21"/>
        </w:rPr>
        <w:t xml:space="preserve"> — peak height above a local flanking baseline, and peak area (area is preferred for broad or overlapping peaks; height for quick screening). Raw (dark-subtracted) intensity is compared directly across concentrations — spectra are explicitly </w:t>
      </w:r>
      <w:r>
        <w:rPr>
          <w:b/>
          <w:bCs/>
          <w:sz w:val="21"/>
          <w:szCs w:val="21"/>
        </w:rPr>
        <w:t xml:space="preserve">not</w:t>
      </w:r>
      <w:r>
        <w:rPr>
          <w:sz w:val="21"/>
          <w:szCs w:val="21"/>
        </w:rPr>
        <w:t xml:space="preserve"> normalized in a way that would erase the concentration-dependent signal being measured.</w:t>
      </w:r>
    </w:p>
    <w:p>
      <w:pPr>
        <w:pStyle w:val="ListParagraph"/>
        <w:numPr>
          <w:ilvl w:val="0"/>
          <w:numId w:val="2"/>
        </w:numPr>
        <w:spacing w:after="100" w:line="276"/>
      </w:pPr>
      <w:r>
        <w:rPr>
          <w:b/>
          <w:bCs/>
          <w:sz w:val="21"/>
          <w:szCs w:val="21"/>
        </w:rPr>
        <w:t xml:space="preserve">Signal-to-noise ratio (SNR)</w:t>
      </w:r>
      <w:r>
        <w:rPr>
          <w:sz w:val="21"/>
          <w:szCs w:val="21"/>
        </w:rPr>
        <w:t xml:space="preserve"> — peak height divided by the noise standard deviation from a peak-free spectral region (e.g., 2400–2800 cm⁻¹). A minimum SNR ≥ 3 is the standard detection threshold used throughout (SNR ≥ 10 for the R6G go/no-go gate).</w:t>
      </w:r>
    </w:p>
    <w:p>
      <w:pPr>
        <w:pStyle w:val="ListParagraph"/>
        <w:numPr>
          <w:ilvl w:val="0"/>
          <w:numId w:val="2"/>
        </w:numPr>
        <w:spacing w:after="100" w:line="276"/>
      </w:pPr>
      <w:r>
        <w:rPr>
          <w:b/>
          <w:bCs/>
          <w:sz w:val="21"/>
          <w:szCs w:val="21"/>
        </w:rPr>
        <w:t xml:space="preserve">Peak position</w:t>
      </w:r>
      <w:r>
        <w:rPr>
          <w:sz w:val="21"/>
          <w:szCs w:val="21"/>
        </w:rPr>
        <w:t xml:space="preserve"> — the actual observed wavenumber, compared against the project's own manuscript reference table and/or literature values, within a stated tolerance (typically ±5 cm⁻¹, reflecting a measured ~2–3 cm⁻¹ systematic instrument offset found via the Si TO-phonon calibration check).</w:t>
      </w:r>
    </w:p>
    <w:p>
      <w:pPr>
        <w:pStyle w:val="ListParagraph"/>
        <w:numPr>
          <w:ilvl w:val="0"/>
          <w:numId w:val="2"/>
        </w:numPr>
        <w:spacing w:after="100" w:line="276"/>
      </w:pPr>
      <w:r>
        <w:rPr>
          <w:b/>
          <w:bCs/>
          <w:sz w:val="21"/>
          <w:szCs w:val="21"/>
        </w:rPr>
        <w:t xml:space="preserve">FWHM / pixel width</w:t>
      </w:r>
      <w:r>
        <w:rPr>
          <w:sz w:val="21"/>
          <w:szCs w:val="21"/>
        </w:rPr>
        <w:t xml:space="preserve"> — a mandatory despiking/artifact check: any candidate peak must span at least 3 pixels (~5 cm⁻¹ on this instrument); anything narrower is rejected as a detector artifact. This check was added specifically after a false "detection" (a single-pixel spike at pixel 640) was mistaken for a real LTA peak in an earlier analysis.</w:t>
      </w:r>
    </w:p>
    <w:p>
      <w:pPr>
        <w:pStyle w:val="ListParagraph"/>
        <w:numPr>
          <w:ilvl w:val="0"/>
          <w:numId w:val="2"/>
        </w:numPr>
        <w:spacing w:after="100" w:line="276"/>
      </w:pPr>
      <w:r>
        <w:rPr>
          <w:b/>
          <w:bCs/>
          <w:sz w:val="21"/>
          <w:szCs w:val="21"/>
        </w:rPr>
        <w:t xml:space="preserve">Reproducibility</w:t>
      </w:r>
      <w:r>
        <w:rPr>
          <w:sz w:val="21"/>
          <w:szCs w:val="21"/>
        </w:rPr>
        <w:t xml:space="preserve"> — the fraction of spots (within one substrate) and the fraction of independent substrates (across repeats) where a given peak clears the SNR threshold at a consistent position; reported alongside the coefficient of variation (CV, std/mean) of peak height both spot-to-spot and substrate-to-substrate, kept as two separate numbers rather than conflated.</w:t>
      </w:r>
    </w:p>
    <w:p>
      <w:pPr>
        <w:pStyle w:val="ListParagraph"/>
        <w:numPr>
          <w:ilvl w:val="0"/>
          <w:numId w:val="2"/>
        </w:numPr>
        <w:spacing w:after="100" w:line="276"/>
      </w:pPr>
      <w:r>
        <w:rPr>
          <w:b/>
          <w:bCs/>
          <w:sz w:val="21"/>
          <w:szCs w:val="21"/>
        </w:rPr>
        <w:t xml:space="preserve">Peak disappearance</w:t>
      </w:r>
      <w:r>
        <w:rPr>
          <w:sz w:val="21"/>
          <w:szCs w:val="21"/>
        </w:rPr>
        <w:t xml:space="preserve"> — tracked explicitly as concentration decreases, to locate the point at which a real band drops below the SNR≥3 threshold (defining the empirical limit of detection).</w:t>
      </w:r>
    </w:p>
    <w:p>
      <w:pPr>
        <w:pStyle w:val="ListParagraph"/>
        <w:numPr>
          <w:ilvl w:val="0"/>
          <w:numId w:val="2"/>
        </w:numPr>
        <w:spacing w:after="100" w:line="276"/>
      </w:pPr>
      <w:r>
        <w:rPr>
          <w:b/>
          <w:bCs/>
          <w:sz w:val="21"/>
          <w:szCs w:val="21"/>
        </w:rPr>
        <w:t xml:space="preserve">Unwanted / background peaks</w:t>
      </w:r>
      <w:r>
        <w:rPr>
          <w:sz w:val="21"/>
          <w:szCs w:val="21"/>
        </w:rPr>
        <w:t xml:space="preserve"> — every measurement is checked against a same-session blank (bare substrate, no analyte) to identify substrate-, contamination-, or reporter-layer-derived bands that could otherwise be mistaken for analyte signal; any candidate peak coinciding with a blank-substrate peak within tolerance is reclassified as a substrate artifact, not a detection.</w:t>
      </w:r>
    </w:p>
    <w:p>
      <w:pPr>
        <w:spacing w:after="80" w:before="160"/>
      </w:pPr>
      <w:r>
        <w:rPr>
          <w:i/>
          <w:iCs/>
          <w:color w:val="666666"/>
          <w:sz w:val="18"/>
          <w:szCs w:val="18"/>
        </w:rPr>
        <w:t xml:space="preserve">Sources: Document_A_Experimental_Execution_Plan_SOP.docx (§12.2–13); Experiment_Plan_LPS.docx (§7.1–7.3); Experiment_Plan_LTA.docx (§8.1, §8.4); NAM_Detection_Optimization_BlackSi_DOE_Strategy_Aug2026.docx (§4.11).</w:t>
      </w:r>
    </w:p>
    <w:p>
      <w:r>
        <w:br w:type="page"/>
      </w:r>
    </w:p>
    <w:p>
      <w:pPr>
        <w:pStyle w:val="Heading1"/>
        <w:pBdr>
          <w:bottom w:val="single" w:color="1F3864" w:sz="6" w:space="4"/>
        </w:pBdr>
        <w:spacing w:after="200" w:before="200"/>
      </w:pPr>
      <w:r>
        <w:rPr>
          <w:b/>
          <w:bCs/>
          <w:color w:val="1F3864"/>
          <w:sz w:val="30"/>
          <w:szCs w:val="30"/>
        </w:rPr>
        <w:t xml:space="preserve">Slide 27 — Substrate Fine-Tuning Strategy</w:t>
      </w:r>
    </w:p>
    <w:p>
      <w:pPr>
        <w:spacing w:after="180" w:line="276"/>
        <w:jc w:val="left"/>
      </w:pPr>
      <w:r>
        <w:rPr>
          <w:sz w:val="21"/>
          <w:szCs w:val="21"/>
        </w:rPr>
        <w:t xml:space="preserve">Larger, more complex biomolecules (LPS, LTA, and even NAM relative to the R6G validation probe) may require optimization of the silver morphology and etching conditions because SERS enhancement is highly localized: it depends on the analyte sitting within a few nanometers of a metal "hotspot," and hotspot geometry (particle size, interparticle gap, density) is set primarily by fabrication chemistry, not by the analyte itself. Several literature-grounded refinements are identified for the current one-step AgNO₃/HF MACE process:</w:t>
      </w:r>
    </w:p>
    <w:p>
      <w:pPr>
        <w:pStyle w:val="ListParagraph"/>
        <w:numPr>
          <w:ilvl w:val="0"/>
          <w:numId w:val="2"/>
        </w:numPr>
        <w:spacing w:after="100" w:line="276"/>
      </w:pPr>
      <w:r>
        <w:rPr>
          <w:b/>
          <w:bCs/>
          <w:sz w:val="21"/>
          <w:szCs w:val="21"/>
        </w:rPr>
        <w:t xml:space="preserve">AgNO₃ concentration</w:t>
      </w:r>
      <w:r>
        <w:rPr>
          <w:sz w:val="21"/>
          <w:szCs w:val="21"/>
        </w:rPr>
        <w:t xml:space="preserve"> is the most direct, single-variable literature-documented control over resulting particle size/density: higher AgNO₃ tends toward smaller, denser particles with narrower interparticle gaps, up to a point where particles coalesce and hotspots are lost; lower AgNO₃ gives larger, sparser particles with wider gaps. A 5-point log-spaced series (5/10/20/40/80 mM) around the verified 20 mM baseline has been designed to test this at fixed 2-min etch time, testing R6G first as an activity gate and NAM/LPS/LTA as the analyte of interest.</w:t>
      </w:r>
    </w:p>
    <w:p>
      <w:pPr>
        <w:pStyle w:val="ListParagraph"/>
        <w:numPr>
          <w:ilvl w:val="0"/>
          <w:numId w:val="2"/>
        </w:numPr>
        <w:spacing w:after="100" w:line="276"/>
      </w:pPr>
      <w:r>
        <w:rPr>
          <w:b/>
          <w:bCs/>
          <w:sz w:val="21"/>
          <w:szCs w:val="21"/>
        </w:rPr>
        <w:t xml:space="preserve">Silver strip-and-regrowth cycle:</w:t>
      </w:r>
      <w:r>
        <w:rPr>
          <w:sz w:val="21"/>
          <w:szCs w:val="21"/>
        </w:rPr>
        <w:t xml:space="preserve"> literature on this exact one-step MACE process class (Kochylas et al. 2021) shows that stripping as-grown dendritic silver (dilute HNO₃) and re-immersing in fresh AgNO₃/HF to regrow a more controlled "aggregate" morphology measurably improves both uniformity and R6G LOD versus the as-grown dendritic silver the project currently produces.</w:t>
      </w:r>
    </w:p>
    <w:p>
      <w:pPr>
        <w:pStyle w:val="ListParagraph"/>
        <w:numPr>
          <w:ilvl w:val="0"/>
          <w:numId w:val="2"/>
        </w:numPr>
        <w:spacing w:after="100" w:line="276"/>
      </w:pPr>
      <w:r>
        <w:rPr>
          <w:b/>
          <w:bCs/>
          <w:sz w:val="21"/>
          <w:szCs w:val="21"/>
        </w:rPr>
        <w:t xml:space="preserve">Degree of 3D texturing</w:t>
      </w:r>
      <w:r>
        <w:rPr>
          <w:sz w:val="21"/>
          <w:szCs w:val="21"/>
        </w:rPr>
        <w:t xml:space="preserve"> (nanowire/nanoporous vs. the current relatively planar black-Si) — a genuinely 3D silicon scaffold has been shown in related literature to boost enhancement up to ~10× over a flatter equivalent, by increasing total accessible surface area and hotspot count, which is specifically valuable for a weakly-adsorbing analyte with low probability of landing near any single hotspot. This comes with a documented reproducibility trade-off: more pronounced 3D texture can raise raw enhancement while also increasing substrate-to-substrate variability (RSD 27.1% vs. 5.6% in one directly comparable core-shell nanowire study).</w:t>
      </w:r>
    </w:p>
    <w:p>
      <w:pPr>
        <w:pStyle w:val="ListParagraph"/>
        <w:numPr>
          <w:ilvl w:val="0"/>
          <w:numId w:val="2"/>
        </w:numPr>
        <w:spacing w:after="100" w:line="276"/>
      </w:pPr>
      <w:r>
        <w:rPr>
          <w:b/>
          <w:bCs/>
          <w:sz w:val="21"/>
          <w:szCs w:val="21"/>
        </w:rPr>
        <w:t xml:space="preserve">Alternative Ag/Si architectures for larger analytes specifically (LPS):</w:t>
      </w:r>
      <w:r>
        <w:rPr>
          <w:sz w:val="21"/>
          <w:szCs w:val="21"/>
        </w:rPr>
        <w:t xml:space="preserve"> because the strongest published LPS SERS results use evaporated silver-nanorod arrays (a fundamentally different fabrication route, requiring e-beam evaporation not available in this lab), a two-step MACE with a silver strip-and-controlled-re-deposition cycle is identified as the top realistic candidate to approximate that morphology within the project's existing wet-chemistry infrastructure.</w:t>
      </w:r>
    </w:p>
    <w:p>
      <w:pPr>
        <w:pStyle w:val="ListParagraph"/>
        <w:numPr>
          <w:ilvl w:val="0"/>
          <w:numId w:val="2"/>
        </w:numPr>
        <w:spacing w:after="100" w:line="276"/>
      </w:pPr>
      <w:r>
        <w:rPr>
          <w:b/>
          <w:bCs/>
          <w:sz w:val="21"/>
          <w:szCs w:val="21"/>
        </w:rPr>
        <w:t xml:space="preserve">A protective capping layer</w:t>
      </w:r>
      <w:r>
        <w:rPr>
          <w:sz w:val="21"/>
          <w:szCs w:val="21"/>
        </w:rPr>
        <w:t xml:space="preserve"> (thin Au or graphene/graphene-oxide) is separately recommended to address silver's well-documented ambient oxidation, which both reduces signal and increases spectrum-to-spectrum variability over hours-to-days — a likely contributor to the project's broader reproducibility problem, independent of any specific biomarker.</w:t>
      </w:r>
    </w:p>
    <w:p>
      <w:pPr>
        <w:spacing w:after="80" w:before="160"/>
      </w:pPr>
      <w:r>
        <w:rPr>
          <w:i/>
          <w:iCs/>
          <w:color w:val="666666"/>
          <w:sz w:val="18"/>
          <w:szCs w:val="18"/>
        </w:rPr>
        <w:t xml:space="preserve">Sources: LPS_Substrate_Strategy.docx (§C–G); NAM_Detection_Optimization_BlackSi_DOE_Strategy_Aug2026.docx (§6, §8); Critical_Evaluation_Sensor_Strategy_NAM_LPS_LTA_Aug2026.docx (§8); Document_B_Scientific_Rationale_Decision_Log.docx (§2, §5).</w:t>
      </w:r>
    </w:p>
    <w:p>
      <w:r>
        <w:br w:type="page"/>
      </w:r>
    </w:p>
    <w:p>
      <w:pPr>
        <w:pStyle w:val="Heading1"/>
        <w:pBdr>
          <w:bottom w:val="single" w:color="1F3864" w:sz="6" w:space="4"/>
        </w:pBdr>
        <w:spacing w:after="200" w:before="200"/>
      </w:pPr>
      <w:r>
        <w:rPr>
          <w:b/>
          <w:bCs/>
          <w:color w:val="1F3864"/>
          <w:sz w:val="30"/>
          <w:szCs w:val="30"/>
        </w:rPr>
        <w:t xml:space="preserve">Slide 28 — Source-to-Source Variability</w:t>
      </w:r>
    </w:p>
    <w:p>
      <w:pPr>
        <w:spacing w:after="180" w:line="276"/>
        <w:jc w:val="left"/>
      </w:pPr>
      <w:r>
        <w:rPr>
          <w:sz w:val="21"/>
          <w:szCs w:val="21"/>
        </w:rPr>
        <w:t xml:space="preserve">The project's evidence base points to source/batch variability as a real, only partly-tested confound, in at least three concrete forms:</w:t>
      </w:r>
    </w:p>
    <w:p>
      <w:pPr>
        <w:spacing w:after="180" w:line="276"/>
        <w:jc w:val="left"/>
      </w:pPr>
      <w:r>
        <w:rPr>
          <w:b/>
          <w:bCs/>
          <w:sz w:val="21"/>
          <w:szCs w:val="21"/>
        </w:rPr>
        <w:t xml:space="preserve">Different reagent sources/purity grades for the same biomarker.</w:t>
      </w:r>
      <w:r>
        <w:rPr>
          <w:sz w:val="21"/>
          <w:szCs w:val="21"/>
        </w:rPr>
        <w:t xml:space="preserve"> LPS is available from Sigma as L2630 (phenol-extracted, ≤3% protein impurity, currently in use) or the higher-purity L3024 (ion-exchange purified, TLR-ligand tested) — flagged as "a higher-purity alternative worth considering for a follow-up confirmation experiment" specifically if protein contamination (which produces its own amide I/III bands overlapping the LPS 1330 cm⁻¹ marker) proves to be a problem. LTA is likewise available from *S. aureus* (L2515, currently in use, and the clinically relevant Gram-positive sepsis organism) or *B. subtilis* (L3265) — the published SERS/endotoxin literature that treats LTA as a reference material used *B. subtilis* LTA specifically, so the project's own *S. aureus* LTA is not directly comparable to that literature without acknowledging the species difference; the source documents explicitly note "LTA differs between species of Gram-positive bacteria."</w:t>
      </w:r>
    </w:p>
    <w:p>
      <w:pPr>
        <w:spacing w:after="180" w:line="276"/>
        <w:jc w:val="left"/>
      </w:pPr>
      <w:r>
        <w:rPr>
          <w:b/>
          <w:bCs/>
          <w:sz w:val="21"/>
          <w:szCs w:val="21"/>
        </w:rPr>
        <w:t xml:space="preserve">Different data-collection sources for the same nominal experiment.</w:t>
      </w:r>
      <w:r>
        <w:rPr>
          <w:sz w:val="21"/>
          <w:szCs w:val="21"/>
        </w:rPr>
        <w:t xml:space="preserve"> Two independent experimenters (Sukesh and labmate Zaki) each collected NAM, LPS, and LTA Raman datasets under partially different conditions — Zaki's datasets introduce concentration and sonication-treatment variables (e.g., 0.01 and 0.1 mg/mL NAM in solution rather than neat powder, sonicated vs. non-sonicated) not present in the primary power/time-focused datasets, and are described in the project's own audit as "useful but not directly poolable" without renormalization — a direct, documented instance of source-to-source spectral variation requiring reconciliation.</w:t>
      </w:r>
    </w:p>
    <w:p>
      <w:pPr>
        <w:spacing w:after="180" w:line="276"/>
        <w:jc w:val="left"/>
      </w:pPr>
      <w:r>
        <w:rPr>
          <w:b/>
          <w:bCs/>
          <w:sz w:val="21"/>
          <w:szCs w:val="21"/>
        </w:rPr>
        <w:t xml:space="preserve">Practical next step:</w:t>
      </w:r>
      <w:r>
        <w:rPr>
          <w:sz w:val="21"/>
          <w:szCs w:val="21"/>
        </w:rPr>
        <w:t xml:space="preserve"> the project's own audit documents recommend explicitly comparing spectra across these different sources/batches to identify which spectral differences reflect genuine chemical/impurity differences (protein content, species-specific LTA structure, hydration/sonication state) versus instrument or protocol artifacts — a comparison not yet formally executed for any of the three biomarkers.</w:t>
      </w:r>
    </w:p>
    <w:p>
      <w:pPr>
        <w:spacing w:after="80" w:before="160"/>
      </w:pPr>
      <w:r>
        <w:rPr>
          <w:i/>
          <w:iCs/>
          <w:color w:val="666666"/>
          <w:sz w:val="18"/>
          <w:szCs w:val="18"/>
        </w:rPr>
        <w:t xml:space="preserve">Sources: Experiment_Plan_LPS.docx (§2A.2); Experiment_Plan_LTA.docx (§2A.2); Comprehensive_Research_Progress_Report_Sepsis_SERS_Aug2026.docx (§8.1, §8.3); LPS_Evidence_Audit.docx (Category 5).</w:t>
      </w:r>
    </w:p>
    <w:p>
      <w:r>
        <w:br w:type="page"/>
      </w:r>
    </w:p>
    <w:p>
      <w:pPr>
        <w:pStyle w:val="Heading1"/>
        <w:pBdr>
          <w:bottom w:val="single" w:color="1F3864" w:sz="6" w:space="4"/>
        </w:pBdr>
        <w:spacing w:after="200" w:before="200"/>
      </w:pPr>
      <w:r>
        <w:rPr>
          <w:b/>
          <w:bCs/>
          <w:color w:val="1F3864"/>
          <w:sz w:val="30"/>
          <w:szCs w:val="30"/>
        </w:rPr>
        <w:t xml:space="preserve">Slide 29 — Current Status vs Target</w:t>
      </w:r>
    </w:p>
    <w:p>
      <w:pPr>
        <w:spacing w:after="180" w:line="276"/>
        <w:jc w:val="left"/>
      </w:pPr>
      <w:r>
        <w:rPr>
          <w:b/>
          <w:bCs/>
          <w:sz w:val="21"/>
          <w:szCs w:val="21"/>
        </w:rPr>
        <w:t xml:space="preserve">Completed:</w:t>
      </w:r>
      <w:r>
        <w:rPr>
          <w:sz w:val="21"/>
          <w:szCs w:val="21"/>
        </w:rPr>
        <w:t xml:space="preserve"> - Literature review and biomarker-panel justification (NAM/LPS/LTA) — done and consistently held since October 2025. - Reagent procurement — all three biomarker standards (NAM A3007, LPS L2630, LTA L2515) received by January 2026, within budget. - DFT simulation — NAM: full whole-molecule calculation, validated (30/41 bands matched, MAE 5.73–9.3 cm⁻¹ depending on matching window). LPS: 5-fragment composite (R²≈0.18, modest). LTA: one fragment (glycerol-phosphate) succeeded cleanly; whole-molecule attempt failed at geometry optimization; the 3-fragment composite fit returned invalid (NaN) results in the primary dataset. - Pure-powder Raman reference spectra — extensive for NAM (227 curated spectra, 22-replicate reference, documented laser-damage threshold: safe ≤90%/30 s, destroyed at 90%/60 s); substantial but fragmented for LTA; comparatively thin for LPS (one systematic series). - SERS substrate fabrication and R6G validation — completed and quantitatively strong (DFT-vs-experiment RMSE 4.62 cm⁻¹, r = 0.99995; fabrication condition shown to measurably affect intensity).</w:t>
      </w:r>
    </w:p>
    <w:p>
      <w:pPr>
        <w:spacing w:after="180" w:line="276"/>
        <w:jc w:val="left"/>
      </w:pPr>
      <w:r>
        <w:rPr>
          <w:b/>
          <w:bCs/>
          <w:sz w:val="21"/>
          <w:szCs w:val="21"/>
        </w:rPr>
        <w:t xml:space="preserve">Ongoing / in progress:</w:t>
      </w:r>
      <w:r>
        <w:rPr>
          <w:sz w:val="21"/>
          <w:szCs w:val="21"/>
        </w:rPr>
        <w:t xml:space="preserve"> - NAM SERS — attempted; one strong candidate (643 cm⁻¹, blank-validated) identified, but not yet a full "confirmed" detection; concentration series and MPBA capture-chemistry work not yet executed. - LTA SERS — attempted; a prior positive claim (1095 cm⁻¹) was retracted as a detector artifact; one strong reference-band candidate (1093.2 cm⁻¹) exists in powder Raman with no confirmed SERS counterpart yet; 9 unvalidated SERS candidates await pixel-level artifact checking. - Substrate characterization — SEM/AFM/EDS/UV-Vis morphology data, enhancement factor, and formal %RSD reproducibility are all still absent for the project's own substrate.</w:t>
      </w:r>
    </w:p>
    <w:p>
      <w:pPr>
        <w:spacing w:after="180" w:line="276"/>
        <w:jc w:val="left"/>
      </w:pPr>
      <w:r>
        <w:rPr>
          <w:b/>
          <w:bCs/>
          <w:sz w:val="21"/>
          <w:szCs w:val="21"/>
        </w:rPr>
        <w:t xml:space="preserve">Pending / not yet started:</w:t>
      </w:r>
      <w:r>
        <w:rPr>
          <w:sz w:val="21"/>
          <w:szCs w:val="21"/>
        </w:rPr>
        <w:t xml:space="preserve"> - LPS SERS measurement — not yet performed on either substrate generation (explicitly "not performed," not a negative result). - MPBA (boronic-acid) capture-chemistry functionalization — reagent not yet procured. - AI/ML spectral classification — no trained/validated classifier exists yet; only preprocessing pipelines are in place. - Bacterial-isolate and clinical sample validation — not yet started; a clinical sepsis biobank protocol and blood-sample SOP are fully drafted but unexecuted. - Point-of-care prototype integration — future stage.</w:t>
      </w:r>
    </w:p>
    <w:p>
      <w:pPr>
        <w:spacing w:after="80" w:before="160"/>
      </w:pPr>
      <w:r>
        <w:rPr>
          <w:i/>
          <w:iCs/>
          <w:color w:val="666666"/>
          <w:sz w:val="18"/>
          <w:szCs w:val="18"/>
        </w:rPr>
        <w:t xml:space="preserve">Sources: Sepsis_SERS_Progress_Review_v3.pptx (Slides 5, 26–29); Comprehensive_Research_Progress_Report_Sepsis_SERS_Aug2026.docx (§16–17); Project_Progress_Report_Full.docx (§12–14); SERS_Progress_Report_Summary.docx (§8).</w:t>
      </w:r>
    </w:p>
    <w:p>
      <w:r>
        <w:br w:type="page"/>
      </w:r>
    </w:p>
    <w:p>
      <w:pPr>
        <w:pStyle w:val="Heading1"/>
        <w:pBdr>
          <w:bottom w:val="single" w:color="1F3864" w:sz="6" w:space="4"/>
        </w:pBdr>
        <w:spacing w:after="200" w:before="200"/>
      </w:pPr>
      <w:r>
        <w:rPr>
          <w:b/>
          <w:bCs/>
          <w:color w:val="1F3864"/>
          <w:sz w:val="30"/>
          <w:szCs w:val="30"/>
        </w:rPr>
        <w:t xml:space="preserve">Slide 30 — Next Steps / Work Plan</w:t>
      </w:r>
    </w:p>
    <w:p>
      <w:pPr>
        <w:spacing w:after="180" w:line="276"/>
        <w:jc w:val="left"/>
      </w:pPr>
      <w:r>
        <w:rPr>
          <w:sz w:val="21"/>
          <w:szCs w:val="21"/>
        </w:rPr>
        <w:t xml:space="preserve">The project's own documents converge on a consistent priority order: </w:t>
      </w:r>
      <w:r>
        <w:rPr>
          <w:b/>
          <w:bCs/>
          <w:sz w:val="21"/>
          <w:szCs w:val="21"/>
        </w:rPr>
        <w:t xml:space="preserve">substrate optimization → dilution/concentration studies → LPS SERS → LTA validation → blank/matched controls → AI/model development</w:t>
      </w:r>
      <w:r>
        <w:rPr>
          <w:sz w:val="21"/>
          <w:szCs w:val="21"/>
        </w:rPr>
        <w:t xml:space="preserve">, though several sources emphasize that capture-chemistry work (MPBA) and LPS-first prioritization can run in parallel with substrate refinement rather than strictly after it.</w:t>
      </w:r>
    </w:p>
    <w:p>
      <w:pPr>
        <w:spacing w:after="180" w:line="276"/>
        <w:jc w:val="left"/>
      </w:pPr>
      <w:r>
        <w:rPr>
          <w:sz w:val="21"/>
          <w:szCs w:val="21"/>
        </w:rPr>
        <w:t xml:space="preserve">1. </w:t>
      </w:r>
      <w:r>
        <w:rPr>
          <w:b/>
          <w:bCs/>
          <w:sz w:val="21"/>
          <w:szCs w:val="21"/>
        </w:rPr>
        <w:t xml:space="preserve">Substrate optimization (near-term):</w:t>
      </w:r>
      <w:r>
        <w:rPr>
          <w:sz w:val="21"/>
          <w:szCs w:val="21"/>
        </w:rPr>
        <w:t xml:space="preserve"> complete the AgNO₃ concentration series (5/10/20/40/80 mM) at the established best 2-minute etch time, using R6G as an activity gate and NAM/LPS as test analytes; in parallel, obtain baseline SEM/EDS and (if accessible) AFM/UV-Vis characterization of the current substrate — currently entirely absent and repeatedly flagged as the most basic missing data. 2. </w:t>
      </w:r>
      <w:r>
        <w:rPr>
          <w:b/>
          <w:bCs/>
          <w:sz w:val="21"/>
          <w:szCs w:val="21"/>
        </w:rPr>
        <w:t xml:space="preserve">LPS SERS (highest-priority immediate experiment):</w:t>
      </w:r>
      <w:r>
        <w:rPr>
          <w:sz w:val="21"/>
          <w:szCs w:val="21"/>
        </w:rPr>
        <w:t xml:space="preserve"> run the four-way control (bare Si / Ag-Si blank / LPS-on-bare-Si / LPS-on-Ag-Si) — LPS is prioritized ahead of further NAM work because it is the only one of the three target analytes with a directly transferable, published, label-free SERS protocol and peak table on a silver substrate (Wu, Zhao &amp; Zughaier 2021), and its lipid-A acyl chains give it genuine, thiol-free physisorption affinity for bare silver that NAM lacks. 3. </w:t>
      </w:r>
      <w:r>
        <w:rPr>
          <w:b/>
          <w:bCs/>
          <w:sz w:val="21"/>
          <w:szCs w:val="21"/>
        </w:rPr>
        <w:t xml:space="preserve">Concentration/dilution study:</w:t>
      </w:r>
      <w:r>
        <w:rPr>
          <w:sz w:val="21"/>
          <w:szCs w:val="21"/>
        </w:rPr>
        <w:t xml:space="preserve"> execute the systematic dilution series (Slides 24–26) once a working analyte condition is found, to move from qualitative detection to a defensible limit of detection. 4. </w:t>
      </w:r>
      <w:r>
        <w:rPr>
          <w:b/>
          <w:bCs/>
          <w:sz w:val="21"/>
          <w:szCs w:val="21"/>
        </w:rPr>
        <w:t xml:space="preserve">LTA validation:</w:t>
      </w:r>
      <w:r>
        <w:rPr>
          <w:sz w:val="21"/>
          <w:szCs w:val="21"/>
        </w:rPr>
        <w:t xml:space="preserve"> pixel-validate the 9 remaining unconfirmed LTA SERS candidates using the same artifact check that caught the earlier 1095 cm⁻¹ false positive, before any can be called positive. 5. </w:t>
      </w:r>
      <w:r>
        <w:rPr>
          <w:b/>
          <w:bCs/>
          <w:sz w:val="21"/>
          <w:szCs w:val="21"/>
        </w:rPr>
        <w:t xml:space="preserve">Matched-blank control for every new SERS batch</w:t>
      </w:r>
      <w:r>
        <w:rPr>
          <w:sz w:val="21"/>
          <w:szCs w:val="21"/>
        </w:rPr>
        <w:t xml:space="preserve"> — adopted as a standing requirement going forward, since the single most informative distinguishing test throughout this project has been comparing candidate peaks against a same-session, same-settings blank substrate. 6. </w:t>
      </w:r>
      <w:r>
        <w:rPr>
          <w:b/>
          <w:bCs/>
          <w:sz w:val="21"/>
          <w:szCs w:val="21"/>
        </w:rPr>
        <w:t xml:space="preserve">NAM capture chemistry (MPBA):</w:t>
      </w:r>
      <w:r>
        <w:rPr>
          <w:sz w:val="21"/>
          <w:szCs w:val="21"/>
        </w:rPr>
        <w:t xml:space="preserve"> procure and apply a 4-mercaptophenylboronic-acid self-assembled monolayer, run as a bare-Ag-vs-functionalized control — the literature-prioritized fix for NAM's poor intrinsic silver affinity, deferred behind the bare-Ag nanostructure series so results aren't confounded. 7. </w:t>
      </w:r>
      <w:r>
        <w:rPr>
          <w:b/>
          <w:bCs/>
          <w:sz w:val="21"/>
          <w:szCs w:val="21"/>
        </w:rPr>
        <w:t xml:space="preserve">AI/ML model development:</w:t>
      </w:r>
      <w:r>
        <w:rPr>
          <w:sz w:val="21"/>
          <w:szCs w:val="21"/>
        </w:rPr>
        <w:t xml:space="preserve"> begin once a structured, validated Raman dataset spanning all three biomarkers under consistent acquisition/processing conditions exists — explicitly the final stage, gated on reproducible detection being achieved first.</w:t>
      </w:r>
    </w:p>
    <w:p>
      <w:pPr>
        <w:spacing w:after="80" w:before="160"/>
      </w:pPr>
      <w:r>
        <w:rPr>
          <w:i/>
          <w:iCs/>
          <w:color w:val="666666"/>
          <w:sz w:val="18"/>
          <w:szCs w:val="18"/>
        </w:rPr>
        <w:t xml:space="preserve">Sources: Sepsis_SERS_Progress_Review_v3.pptx (Slide 29); Critical_Evaluation_Sensor_Strategy_NAM_LPS_LTA_Aug2026.docx (§16); Experiment_Plan_LPS.docx (§10); Comprehensive_Research_Progress_Report_Sepsis_SERS_Aug2026.docx (§18); NAM_Detection_Optimization_BlackSi_DOE_Strategy_Aug2026.docx (§11).</w:t>
      </w:r>
    </w:p>
    <w:p>
      <w:r>
        <w:br w:type="page"/>
      </w:r>
    </w:p>
    <w:p>
      <w:pPr>
        <w:pStyle w:val="Heading1"/>
        <w:pBdr>
          <w:bottom w:val="single" w:color="1F3864" w:sz="6" w:space="4"/>
        </w:pBdr>
        <w:spacing w:after="200" w:before="200"/>
      </w:pPr>
      <w:r>
        <w:rPr>
          <w:b/>
          <w:bCs/>
          <w:color w:val="1F3864"/>
          <w:sz w:val="30"/>
          <w:szCs w:val="30"/>
        </w:rPr>
        <w:t xml:space="preserve">Slide 31 — Conclusion</w:t>
      </w:r>
    </w:p>
    <w:p>
      <w:pPr>
        <w:spacing w:after="180" w:line="276"/>
        <w:jc w:val="left"/>
      </w:pPr>
      <w:r>
        <w:rPr>
          <w:sz w:val="21"/>
          <w:szCs w:val="21"/>
        </w:rPr>
        <w:t xml:space="preserve">1. </w:t>
      </w:r>
      <w:r>
        <w:rPr>
          <w:b/>
          <w:bCs/>
          <w:sz w:val="21"/>
          <w:szCs w:val="21"/>
        </w:rPr>
        <w:t xml:space="preserve">The core physics and workflow are sound.</w:t>
      </w:r>
      <w:r>
        <w:rPr>
          <w:sz w:val="21"/>
          <w:szCs w:val="21"/>
        </w:rPr>
        <w:t xml:space="preserve"> The DFT → pure-Raman-reference → SERS-substrate → detection pipeline follows standard SERS-biosensor development practice, and the fabricated Ag/black-Si substrate is genuinely SERS-active — independently confirmed by a rigorous R6G validation (RMSE 4.62 cm⁻¹, r = 0.99995 against DFT).</w:t>
      </w:r>
    </w:p>
    <w:p>
      <w:pPr>
        <w:spacing w:after="180" w:line="276"/>
        <w:jc w:val="left"/>
      </w:pPr>
      <w:r>
        <w:rPr>
          <w:sz w:val="21"/>
          <w:szCs w:val="21"/>
        </w:rPr>
        <w:t xml:space="preserve">2. </w:t>
      </w:r>
      <w:r>
        <w:rPr>
          <w:b/>
          <w:bCs/>
          <w:sz w:val="21"/>
          <w:szCs w:val="21"/>
        </w:rPr>
        <w:t xml:space="preserve">NAM is the project's most mature scientific result.</w:t>
      </w:r>
      <w:r>
        <w:rPr>
          <w:sz w:val="21"/>
          <w:szCs w:val="21"/>
        </w:rPr>
        <w:t xml:space="preserve"> A validated whole-molecule DFT calculation (111 normal modes, no imaginary frequencies) matched against 227 curated powder-Raman spectra (30/41 bands, MAE ~9.3 cm⁻¹) is close to publication-ready, and yielded two genuinely novel vibrational assignments — including evidence against the long-assumed peptidoglycan origin of the widely used bacterial 730 cm⁻¹ SERS marker band.</w:t>
      </w:r>
    </w:p>
    <w:p>
      <w:pPr>
        <w:spacing w:after="180" w:line="276"/>
        <w:jc w:val="left"/>
      </w:pPr>
      <w:r>
        <w:rPr>
          <w:sz w:val="21"/>
          <w:szCs w:val="21"/>
        </w:rPr>
        <w:t xml:space="preserve">3. </w:t>
      </w:r>
      <w:r>
        <w:rPr>
          <w:b/>
          <w:bCs/>
          <w:sz w:val="21"/>
          <w:szCs w:val="21"/>
        </w:rPr>
        <w:t xml:space="preserve">Direct biomarker detection on the substrate remains the critical gap, not the substrate itself.</w:t>
      </w:r>
      <w:r>
        <w:rPr>
          <w:sz w:val="21"/>
          <w:szCs w:val="21"/>
        </w:rPr>
        <w:t xml:space="preserve"> A strong R6G signal does not imply a strong biomarker signal: R6G benefits from resonance enhancement and strong silver affinity that NAM, LPS, and LTA largely lack. NAM has one blank-validated SERS candidate (643 cm⁻¹); LTA has a strong reference band in powder Raman (1093.2 cm⁻¹) with no confirmed SERS match yet, and one earlier positive claim was correctly retracted as a detector artifact; LPS SERS has not yet been attempted on the project's own substrate at all.</w:t>
      </w:r>
    </w:p>
    <w:p>
      <w:pPr>
        <w:spacing w:after="180" w:line="276"/>
        <w:jc w:val="left"/>
      </w:pPr>
      <w:r>
        <w:rPr>
          <w:sz w:val="21"/>
          <w:szCs w:val="21"/>
        </w:rPr>
        <w:t xml:space="preserve">4. </w:t>
      </w:r>
      <w:r>
        <w:rPr>
          <w:b/>
          <w:bCs/>
          <w:sz w:val="21"/>
          <w:szCs w:val="21"/>
        </w:rPr>
        <w:t xml:space="preserve">The path forward is well-defined and evidence-based, not speculative.</w:t>
      </w:r>
      <w:r>
        <w:rPr>
          <w:sz w:val="21"/>
          <w:szCs w:val="21"/>
        </w:rPr>
        <w:t xml:space="preserve"> LPS SERS (the best-precedented near-term target), a systematic dilution study, boronic-acid capture chemistry for NAM, and rigorous matched-blank controls are all specified, literature-grounded next experiments — not open-ended exploration.</w:t>
      </w:r>
    </w:p>
    <w:p>
      <w:pPr>
        <w:spacing w:after="180" w:line="276"/>
        <w:jc w:val="left"/>
      </w:pPr>
      <w:r>
        <w:rPr>
          <w:sz w:val="21"/>
          <w:szCs w:val="21"/>
        </w:rPr>
        <w:t xml:space="preserve">5. </w:t>
      </w:r>
      <w:r>
        <w:rPr>
          <w:b/>
          <w:bCs/>
          <w:sz w:val="21"/>
          <w:szCs w:val="21"/>
        </w:rPr>
        <w:t xml:space="preserve">Reproducible SERS detection — not further reference-spectrum work — now gates every downstream objective</w:t>
      </w:r>
      <w:r>
        <w:rPr>
          <w:sz w:val="21"/>
          <w:szCs w:val="21"/>
        </w:rPr>
        <w:t xml:space="preserve">, including AI/ML spectral classification, bacterial-isolate validation, and eventual clinical translation, all of which have well-developed plans already drafted (a clinical sepsis biobank protocol and blood-sample SOP exist) but await this foundational result.</w:t>
      </w:r>
    </w:p>
    <w:p>
      <w:pPr>
        <w:spacing w:after="80" w:before="160"/>
      </w:pPr>
      <w:r>
        <w:rPr>
          <w:i/>
          <w:iCs/>
          <w:color w:val="666666"/>
          <w:sz w:val="18"/>
          <w:szCs w:val="18"/>
        </w:rPr>
        <w:t xml:space="preserve">Sources: Sepsis_SERS_Progress_Review_v3.pptx (Slide 29); Project_Progress_Report_Full.docx (§17); Comprehensive_Research_Progress_Report_Sepsis_SERS_Aug2026.docx (Executive Summary, §16).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Sepsis SERS Progress Review — Slide Content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2026-08-31T14:00:53.127Z</dcterms:created>
  <dcterms:modified xsi:type="dcterms:W3CDTF">2026-08-31T14:00:53.127Z</dcterms:modified>
</cp:coreProperties>
</file>

<file path=docProps/custom.xml><?xml version="1.0" encoding="utf-8"?>
<Properties xmlns="http://schemas.openxmlformats.org/officeDocument/2006/custom-properties" xmlns:vt="http://schemas.openxmlformats.org/officeDocument/2006/docPropsVTypes"/>
</file>