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ABSTRACT </w:t>
      </w:r>
    </w:p>
    <w:p>
      <w:pPr>
        <w:autoSpaceDN w:val="0"/>
        <w:autoSpaceDE w:val="0"/>
        <w:widowControl/>
        <w:spacing w:line="254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Sepsis is a life-threatening medical condition caused by a dysregulated host response to infection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remains one of the leading causes of mortality worldwide. Early and rapid diagnosis is essential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timely clinical intervention; however, conventional diagnostic techniques such as blood culture,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immunoassays, and molecular methods are often time-consuming, expensive, and require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sophisticated laboratory infrastructure. Therefore, there is a critical need for rapid, sensitive, and label-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free diagnostic platforms for the detection of sepsis-associated biomarkers. </w:t>
      </w:r>
    </w:p>
    <w:p>
      <w:pPr>
        <w:autoSpaceDN w:val="0"/>
        <w:autoSpaceDE w:val="0"/>
        <w:widowControl/>
        <w:spacing w:line="254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project focuses on the analysis of sepsis biomarkers using a Surface-Enhanced Raman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Spectroscopy (SERS)-based sensor platform. The study targets key bacterial biomarkers including 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Acetylmuramic Acid (NAM), Lipoteichoic Acid (LTA), and Lipopolysaccharide (LPS), which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associated with Gram-positive and Gram-negative bacterial infections. These biomarkers were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selected due to their clinical relevance in early-stage bacterial sepsis detection. SERS substrates based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metallic nanostructures were utilized to enhance Raman signal intensity and enable molecular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fingerprint identification at low concentrations. </w:t>
      </w:r>
    </w:p>
    <w:p>
      <w:pPr>
        <w:autoSpaceDN w:val="0"/>
        <w:autoSpaceDE w:val="0"/>
        <w:widowControl/>
        <w:spacing w:line="254" w:lineRule="auto" w:before="19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work involved both computational and experimental approaches. Density Functional Theory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(DFT)-based simulations were performed to study molecular vibrational characteristics and support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Raman peak assignment. Experimental Raman spectra were acquired and processed using baseline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correction, smoothing, and normalization techniques for accurate spectral interpretation. Comparative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analysis between simulated and experimental data was carried out to validate biomarker signatures. </w:t>
      </w:r>
    </w:p>
    <w:p>
      <w:pPr>
        <w:autoSpaceDN w:val="0"/>
        <w:autoSpaceDE w:val="0"/>
        <w:widowControl/>
        <w:spacing w:line="254" w:lineRule="auto" w:before="19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results demonstrate the feasibility of using SERS as a rapid and sensitive analytical tool for sepsis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biomarker detection. Distinct Raman spectral features corresponding to the selected biomarkers were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identified, indicating the potential of the proposed platform for label-free pathogen-associated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molecular sensing. The developed approach offers advantages such as minimal sample preparation,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fast response time, and potential portability for point-of-care applications. This work contributes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toward the development of next-generation biosensors for early sepsis diagnosis, with future scope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clinical validation, multiplex biomarker detection, and integration into portable healthcare devices. </w:t>
      </w:r>
    </w:p>
    <w:p>
      <w:pPr>
        <w:autoSpaceDN w:val="0"/>
        <w:autoSpaceDE w:val="0"/>
        <w:widowControl/>
        <w:spacing w:line="197" w:lineRule="auto" w:before="5836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 </w:t>
      </w:r>
    </w:p>
    <w:p>
      <w:pPr>
        <w:sectPr>
          <w:pgSz w:w="11906" w:h="16838"/>
          <w:pgMar w:top="72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184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TABLE OF CONTENTS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09"/>
        <w:gridCol w:w="4909"/>
      </w:tblGrid>
      <w:tr>
        <w:trPr>
          <w:trHeight w:hRule="exact" w:val="466"/>
        </w:trPr>
        <w:tc>
          <w:tcPr>
            <w:tcW w:type="dxa" w:w="78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Chapter / Section </w:t>
            </w:r>
          </w:p>
        </w:tc>
        <w:tc>
          <w:tcPr>
            <w:tcW w:type="dxa" w:w="11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Page No. </w:t>
            </w:r>
          </w:p>
        </w:tc>
      </w:tr>
      <w:tr>
        <w:trPr>
          <w:trHeight w:hRule="exact" w:val="468"/>
        </w:trPr>
        <w:tc>
          <w:tcPr>
            <w:tcW w:type="dxa" w:w="78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Abstract </w:t>
            </w:r>
          </w:p>
        </w:tc>
        <w:tc>
          <w:tcPr>
            <w:tcW w:type="dxa" w:w="11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 </w:t>
            </w:r>
          </w:p>
        </w:tc>
      </w:tr>
      <w:tr>
        <w:trPr>
          <w:trHeight w:hRule="exact" w:val="468"/>
        </w:trPr>
        <w:tc>
          <w:tcPr>
            <w:tcW w:type="dxa" w:w="78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Table of Contents </w:t>
            </w:r>
          </w:p>
        </w:tc>
        <w:tc>
          <w:tcPr>
            <w:tcW w:type="dxa" w:w="11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ii </w:t>
            </w:r>
          </w:p>
        </w:tc>
      </w:tr>
      <w:tr>
        <w:trPr>
          <w:trHeight w:hRule="exact" w:val="468"/>
        </w:trPr>
        <w:tc>
          <w:tcPr>
            <w:tcW w:type="dxa" w:w="78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 Comprehensive Overview of the State of the Problem and Existing Solutions </w:t>
            </w:r>
          </w:p>
        </w:tc>
        <w:tc>
          <w:tcPr>
            <w:tcW w:type="dxa" w:w="11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</w:tr>
      <w:tr>
        <w:trPr>
          <w:trHeight w:hRule="exact" w:val="468"/>
        </w:trPr>
        <w:tc>
          <w:tcPr>
            <w:tcW w:type="dxa" w:w="78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2. Intellectual Property (Patent Landscaping) </w:t>
            </w:r>
          </w:p>
        </w:tc>
        <w:tc>
          <w:tcPr>
            <w:tcW w:type="dxa" w:w="11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 </w:t>
            </w:r>
          </w:p>
        </w:tc>
      </w:tr>
      <w:tr>
        <w:trPr>
          <w:trHeight w:hRule="exact" w:val="466"/>
        </w:trPr>
        <w:tc>
          <w:tcPr>
            <w:tcW w:type="dxa" w:w="78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3. Objectives &amp; Methodologies </w:t>
            </w:r>
          </w:p>
        </w:tc>
        <w:tc>
          <w:tcPr>
            <w:tcW w:type="dxa" w:w="11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470"/>
        </w:trPr>
        <w:tc>
          <w:tcPr>
            <w:tcW w:type="dxa" w:w="78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3.1 Objectives </w:t>
            </w:r>
          </w:p>
        </w:tc>
        <w:tc>
          <w:tcPr>
            <w:tcW w:type="dxa" w:w="11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468"/>
        </w:trPr>
        <w:tc>
          <w:tcPr>
            <w:tcW w:type="dxa" w:w="78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3.2 Methodology </w:t>
            </w:r>
          </w:p>
        </w:tc>
        <w:tc>
          <w:tcPr>
            <w:tcW w:type="dxa" w:w="11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466"/>
        </w:trPr>
        <w:tc>
          <w:tcPr>
            <w:tcW w:type="dxa" w:w="78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4. Detail of Work Done </w:t>
            </w:r>
          </w:p>
        </w:tc>
        <w:tc>
          <w:tcPr>
            <w:tcW w:type="dxa" w:w="11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 </w:t>
            </w:r>
          </w:p>
        </w:tc>
      </w:tr>
      <w:tr>
        <w:trPr>
          <w:trHeight w:hRule="exact" w:val="470"/>
        </w:trPr>
        <w:tc>
          <w:tcPr>
            <w:tcW w:type="dxa" w:w="78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4.1 System Design / Proposed Framework </w:t>
            </w:r>
          </w:p>
        </w:tc>
        <w:tc>
          <w:tcPr>
            <w:tcW w:type="dxa" w:w="11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 </w:t>
            </w:r>
          </w:p>
        </w:tc>
      </w:tr>
      <w:tr>
        <w:trPr>
          <w:trHeight w:hRule="exact" w:val="466"/>
        </w:trPr>
        <w:tc>
          <w:tcPr>
            <w:tcW w:type="dxa" w:w="78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4.2 Work Completed on N-Acetylmuramic Acid (NAM) </w:t>
            </w:r>
          </w:p>
        </w:tc>
        <w:tc>
          <w:tcPr>
            <w:tcW w:type="dxa" w:w="112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8 </w:t>
            </w:r>
          </w:p>
        </w:tc>
      </w:tr>
      <w:tr>
        <w:trPr>
          <w:trHeight w:hRule="exact" w:val="470"/>
        </w:trPr>
        <w:tc>
          <w:tcPr>
            <w:tcW w:type="dxa" w:w="78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4.3 Work Completed on Lipoteichoic Acid (LTA) </w:t>
            </w:r>
          </w:p>
        </w:tc>
        <w:tc>
          <w:tcPr>
            <w:tcW w:type="dxa" w:w="11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16 </w:t>
            </w:r>
          </w:p>
        </w:tc>
      </w:tr>
      <w:tr>
        <w:trPr>
          <w:trHeight w:hRule="exact" w:val="454"/>
        </w:trPr>
        <w:tc>
          <w:tcPr>
            <w:tcW w:type="dxa" w:w="78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4.4 Work Completed on Lipopolysaccharide (LPS) </w:t>
            </w:r>
          </w:p>
        </w:tc>
        <w:tc>
          <w:tcPr>
            <w:tcW w:type="dxa" w:w="11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24 </w:t>
            </w:r>
          </w:p>
        </w:tc>
      </w:tr>
      <w:tr>
        <w:trPr>
          <w:trHeight w:hRule="exact" w:val="466"/>
        </w:trPr>
        <w:tc>
          <w:tcPr>
            <w:tcW w:type="dxa" w:w="78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4.5 Comparative Analysis of Biomarkers </w:t>
            </w:r>
          </w:p>
        </w:tc>
        <w:tc>
          <w:tcPr>
            <w:tcW w:type="dxa" w:w="11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33 </w:t>
            </w:r>
          </w:p>
        </w:tc>
      </w:tr>
      <w:tr>
        <w:trPr>
          <w:trHeight w:hRule="exact" w:val="470"/>
        </w:trPr>
        <w:tc>
          <w:tcPr>
            <w:tcW w:type="dxa" w:w="78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5. Conclusion </w:t>
            </w:r>
          </w:p>
        </w:tc>
        <w:tc>
          <w:tcPr>
            <w:tcW w:type="dxa" w:w="11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34 </w:t>
            </w:r>
          </w:p>
        </w:tc>
      </w:tr>
      <w:tr>
        <w:trPr>
          <w:trHeight w:hRule="exact" w:val="468"/>
        </w:trPr>
        <w:tc>
          <w:tcPr>
            <w:tcW w:type="dxa" w:w="78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6. Novelty </w:t>
            </w:r>
          </w:p>
        </w:tc>
        <w:tc>
          <w:tcPr>
            <w:tcW w:type="dxa" w:w="11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35 </w:t>
            </w:r>
          </w:p>
        </w:tc>
      </w:tr>
      <w:tr>
        <w:trPr>
          <w:trHeight w:hRule="exact" w:val="466"/>
        </w:trPr>
        <w:tc>
          <w:tcPr>
            <w:tcW w:type="dxa" w:w="78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7. Potential Societal and Market Impact </w:t>
            </w:r>
          </w:p>
        </w:tc>
        <w:tc>
          <w:tcPr>
            <w:tcW w:type="dxa" w:w="11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37 </w:t>
            </w:r>
          </w:p>
        </w:tc>
      </w:tr>
      <w:tr>
        <w:trPr>
          <w:trHeight w:hRule="exact" w:val="470"/>
        </w:trPr>
        <w:tc>
          <w:tcPr>
            <w:tcW w:type="dxa" w:w="78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8. Challenges or Risk Factors Associated with the Project </w:t>
            </w:r>
          </w:p>
        </w:tc>
        <w:tc>
          <w:tcPr>
            <w:tcW w:type="dxa" w:w="11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40 </w:t>
            </w:r>
          </w:p>
        </w:tc>
      </w:tr>
      <w:tr>
        <w:trPr>
          <w:trHeight w:hRule="exact" w:val="468"/>
        </w:trPr>
        <w:tc>
          <w:tcPr>
            <w:tcW w:type="dxa" w:w="78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9. Any Patent or Equivalent Filed </w:t>
            </w:r>
          </w:p>
        </w:tc>
        <w:tc>
          <w:tcPr>
            <w:tcW w:type="dxa" w:w="11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44 </w:t>
            </w:r>
          </w:p>
        </w:tc>
      </w:tr>
      <w:tr>
        <w:trPr>
          <w:trHeight w:hRule="exact" w:val="468"/>
        </w:trPr>
        <w:tc>
          <w:tcPr>
            <w:tcW w:type="dxa" w:w="784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10. Relevant References </w:t>
            </w:r>
          </w:p>
        </w:tc>
        <w:tc>
          <w:tcPr>
            <w:tcW w:type="dxa" w:w="112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46 </w:t>
            </w:r>
          </w:p>
        </w:tc>
      </w:tr>
    </w:tbl>
    <w:p>
      <w:pPr>
        <w:autoSpaceDN w:val="0"/>
        <w:autoSpaceDE w:val="0"/>
        <w:widowControl/>
        <w:spacing w:line="197" w:lineRule="auto" w:before="4384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 </w:t>
      </w:r>
    </w:p>
    <w:p>
      <w:pPr>
        <w:sectPr>
          <w:pgSz w:w="11906" w:h="16838"/>
          <w:pgMar w:top="724" w:right="100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2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 COMPREHENSIVE OVERVIEW OF THE STATE OF THE PROBLEM AND EXISTING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SOLUTIONS </w:t>
      </w:r>
    </w:p>
    <w:p>
      <w:pPr>
        <w:autoSpaceDN w:val="0"/>
        <w:autoSpaceDE w:val="0"/>
        <w:widowControl/>
        <w:spacing w:line="341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 the body's reaction to an infection gets out of control and begins harming its own organs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tissues, it can lead to sepsis, a dangerous medical disease. It can cause organ failure, septic shock,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even death if it is not identified and treated right away. In intensive care units (ICUs), neonatal units,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emergency rooms worldwide, sepsis remains one of the leading causes of death. The issue is more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severe in low- and middle-income nations, where hospitals frequently deal with a high patient volume,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limited laboratory capabilities, and delayed diagnosis. Early identification and thorough observation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crucial for saving lives because sepsis can rapidly progress. </w:t>
      </w:r>
    </w:p>
    <w:p>
      <w:pPr>
        <w:autoSpaceDN w:val="0"/>
        <w:tabs>
          <w:tab w:pos="3428" w:val="left"/>
        </w:tabs>
        <w:autoSpaceDE w:val="0"/>
        <w:widowControl/>
        <w:spacing w:line="240" w:lineRule="auto" w:before="29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43380" cy="2414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241427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3766820" cy="20535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6820" cy="2053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31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Figure 1.1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Sepsis progression from infection to organ dysfunction and septic shock. </w:t>
      </w:r>
    </w:p>
    <w:p>
      <w:pPr>
        <w:autoSpaceDN w:val="0"/>
        <w:autoSpaceDE w:val="0"/>
        <w:widowControl/>
        <w:spacing w:line="343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Because even a brief delay in administering the appropriate treatment might raise the risk of death,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prompt detection of sepsis is crucial. All age groups are susceptible, including newborns, elderly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adults, patients with compromised immune systems, surgical patients, and severely ill individuals.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Sepsis not only affects health but also places a significant financial strain on healthcare systems.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Treatment costs are increased by lengthy ICU stays, frequent diagnostic testing, pricey antibiotics,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close observation. While postponing treatment can lead to multiple organ failure and the needless 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broad-spectrum medicines, patients who survive severe sepsis may also face long-term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consequences. </w:t>
      </w:r>
    </w:p>
    <w:p>
      <w:pPr>
        <w:autoSpaceDN w:val="0"/>
        <w:autoSpaceDE w:val="0"/>
        <w:widowControl/>
        <w:spacing w:line="317" w:lineRule="auto" w:before="30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 present, sepsis diagnosis mainly depends on blood culture tests, molecular methods,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measurement of inflammatory biomarkers such as C-reactive protein (CRP), procalcitonin (PCT),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interleukin-6 (IL-6), and lactate. Blood culture is still considered the standard method for confirming </w:t>
      </w:r>
    </w:p>
    <w:p>
      <w:pPr>
        <w:autoSpaceDN w:val="0"/>
        <w:autoSpaceDE w:val="0"/>
        <w:widowControl/>
        <w:spacing w:line="197" w:lineRule="auto" w:before="320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 </w:t>
      </w:r>
    </w:p>
    <w:p>
      <w:pPr>
        <w:sectPr>
          <w:pgSz w:w="11906" w:h="16838"/>
          <w:pgMar w:top="1012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43" w:lineRule="auto" w:before="0" w:after="30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infection, but it usually takes between 24 and 72 hours to provide results. It may also fail to detect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pathogens when bacterial levels are low or when antibiotics have already been started. Molecular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techniques such as PCR can provide faster and more sensitive detection, but they require costly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equipment, trained staff, and specialized laboratory conditions. Hospitals frequently employ common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biomarker tests like ELISA and chemiluminescence systems, but they require a number of preparation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stages, reagents, and centralized laboratory processing. Newer technologies like electrochemical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sensors, microfluidic biosensors, and artificial intelligence tools for early sepsis risk prediction have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also been investigated by researchers in recent years. </w:t>
      </w:r>
    </w:p>
    <w:p>
      <w:pPr>
        <w:sectPr>
          <w:pgSz w:w="11906" w:h="16838"/>
          <w:pgMar w:top="72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35860" cy="1442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144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724" w:right="998" w:bottom="490" w:left="1080" w:header="720" w:footer="720" w:gutter="0"/>
          <w:cols w:num="2" w:equalWidth="0">
            <w:col w:w="4047" w:space="0"/>
            <w:col w:w="578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21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24200" cy="1336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33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8"/>
        <w:sectPr>
          <w:type w:val="nextColumn"/>
          <w:pgSz w:w="11906" w:h="16838"/>
          <w:pgMar w:top="724" w:right="998" w:bottom="490" w:left="1080" w:header="720" w:footer="720" w:gutter="0"/>
          <w:cols w:num="2" w:equalWidth="0">
            <w:col w:w="4047" w:space="0"/>
            <w:col w:w="5780" w:space="0"/>
          </w:cols>
          <w:docGrid w:linePitch="360"/>
        </w:sectPr>
      </w:pPr>
    </w:p>
    <w:p>
      <w:pPr>
        <w:autoSpaceDN w:val="0"/>
        <w:autoSpaceDE w:val="0"/>
        <w:widowControl/>
        <w:spacing w:line="29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Figure 1.2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Comparison of conventional diagnostic methods based on turnaround time, complexity,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clinical utility. </w:t>
      </w:r>
    </w:p>
    <w:p>
      <w:pPr>
        <w:autoSpaceDN w:val="0"/>
        <w:autoSpaceDE w:val="0"/>
        <w:widowControl/>
        <w:spacing w:line="341" w:lineRule="auto" w:before="30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Despite these advancements, there are still a lot of difficulties. The majority of modern diagnostic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technologies are costly, time-consuming, and reliant on sophisticated laboratory equipment, which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restricts their application at point-of-care settings, emergency rooms, small hospitals, and rural clinics.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While sepsis is a complicated illness that frequently necessitates the examination of several biological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signals at once, many assays concentrate on just one biomarker. Certain techniques also entail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challenging sample preparation, ongoing upkeep, or postponed reporting. As a result, crucial treatment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choices could be put off during the most crucial times for patient care. </w:t>
      </w:r>
    </w:p>
    <w:p>
      <w:pPr>
        <w:autoSpaceDN w:val="0"/>
        <w:autoSpaceDE w:val="0"/>
        <w:widowControl/>
        <w:spacing w:line="343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Diagnostic technologies that are quick, sensitive, portable, and able to identify several sepsis indicators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tiny sample volumes are therefore desperately needed. Because it provides excellent sensitivity,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molecular-level specificity, minimal sample preparation, and the potential for small point-of-care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devices, Surface-Enhanced Raman Spectroscopy (SERS) is a promising method. The suggested work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intends to provide a quick and label-free sensing approach for sepsis diagnosis by integrating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nanostructured plasmonic substrates with biomarker detection. Such a system could facilitate quicker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clinical judgments, shorten detection times, and increase accessibility to sophisticated diagnostic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instruments in a variety of healthcare settings. </w:t>
      </w:r>
    </w:p>
    <w:p>
      <w:pPr>
        <w:autoSpaceDN w:val="0"/>
        <w:autoSpaceDE w:val="0"/>
        <w:widowControl/>
        <w:spacing w:line="197" w:lineRule="auto" w:before="928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 </w:t>
      </w:r>
    </w:p>
    <w:p>
      <w:pPr>
        <w:sectPr>
          <w:type w:val="continuous"/>
          <w:pgSz w:w="11906" w:h="16838"/>
          <w:pgMar w:top="72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 INTELLECTUAL PROPERTY (PATENT LANDSCAPING) 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2.1 Overview of Existing Intellectual Property </w:t>
      </w:r>
    </w:p>
    <w:p>
      <w:pPr>
        <w:autoSpaceDN w:val="0"/>
        <w:autoSpaceDE w:val="0"/>
        <w:widowControl/>
        <w:spacing w:line="346" w:lineRule="auto" w:before="30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area of sepsis diagnostics has seen strong patent and research activity because of the global need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faster and more reliable detection methods. Many existing patents focus on technologies such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biomarker testing, molecular diagnostics, microfluidic devices, electrochemical sensors, and optical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detection systems. Large healthcare companies including Roche, Abbott Laboratories, Siemens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Healthineers, bioMérieux, and Thermo Fisher Scientific have developed several protected solutions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field. At the same time, universities and research institutes have contributed patents related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biosensors, nanomaterials, and point-of-care devices. In the case of Surface-Enhanced Raman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Spectroscopy (SERS), patent activity is mainly centered on plasmonic substrates, signal enhancement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nanostructures, labeled immunoassays, and portable Raman systems. 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2.2 Patent Landscape Analysis </w:t>
      </w:r>
    </w:p>
    <w:p>
      <w:pPr>
        <w:autoSpaceDN w:val="0"/>
        <w:autoSpaceDE w:val="0"/>
        <w:widowControl/>
        <w:spacing w:line="348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review of the patent landscape shows that many important areas are already covered by intellectual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property. Automated biomarker analyzers have patents for detecting markers such as procalcitonin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(PCT), C-reactive protein (CRP), and interleukins using immunoassay systems. Molecular diagnostic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patents commonly protect multiplex PCR cartridges and nucleic acid amplification methods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identifying bloodstream infections. In optical sensing, patents such as US 8,802,356 for nanostructured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SERS substrate fabrication and US 10,113,180 for portable Raman detection systems highlight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protection around advanced substrates and compact instrumentation. Other patents describe gold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silver nanoparticle functionalization, antibody-based SERS tags, and machine-learning methods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spectral interpretation. Overall, the most protected areas are substrate design, assay chemistry,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integrated hardware platforms. 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2.3 Commercial Products / Market Solutions </w:t>
      </w:r>
    </w:p>
    <w:p>
      <w:pPr>
        <w:autoSpaceDN w:val="0"/>
        <w:autoSpaceDE w:val="0"/>
        <w:widowControl/>
        <w:spacing w:line="341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Several commercial products are already available for sepsis-related biomarker testing. Examples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include Elecsys BRAHMS PCT, ARCHITECT PCT, VIDAS B·R·A·H·M·S PCT, and FilmArray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Blood Culture Identification Panel. These systems are mainly designed for hospital laboratories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provide biomarker or pathogen identification support. In the Raman instrumentation market,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companies such as B&amp;W Tek and Thermo Fisher Scientific offer portable spectrometers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researchers can adapt for biosensing applications. However, most available products are still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laboratory-centered rather than affordable bedside screening tools. </w:t>
      </w:r>
    </w:p>
    <w:p>
      <w:pPr>
        <w:autoSpaceDN w:val="0"/>
        <w:autoSpaceDE w:val="0"/>
        <w:widowControl/>
        <w:spacing w:line="197" w:lineRule="auto" w:before="956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 </w:t>
      </w:r>
    </w:p>
    <w:p>
      <w:pPr>
        <w:sectPr>
          <w:pgSz w:w="11906" w:h="16838"/>
          <w:pgMar w:top="72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2.4 Limitations and Gaps in Existing IP </w:t>
      </w:r>
    </w:p>
    <w:p>
      <w:pPr>
        <w:autoSpaceDN w:val="0"/>
        <w:autoSpaceDE w:val="0"/>
        <w:widowControl/>
        <w:spacing w:line="341" w:lineRule="auto" w:before="30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Although current patents and products have advanced the field, several gaps remain. Many solutions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rely on expensive reagents, labeled assays, and proprietary consumables that increase cost per test.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Some systems are large, require trained operators, and are not practical for rural clinics or emergency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bedside use. Existing SERS-related patents often focus on substrate fabrication alone rather than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providing a complete clinical workflow for multi-biomarker sepsis detection. In addition, features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AI-assisted diagnosis, disposable low-cost sensing chips, and direct plasma testing with minimal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preprocessing are still not fully developed. 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2.5 Opportunity for Innovation </w:t>
      </w:r>
    </w:p>
    <w:p>
      <w:pPr>
        <w:autoSpaceDN w:val="0"/>
        <w:autoSpaceDE w:val="0"/>
        <w:widowControl/>
        <w:spacing w:line="341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 is still strong scope for innovation in this domain. A label-free, portable, and multi-biomarker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SERS platform for rapid sepsis screening could address many current limitations. Novel contributions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may come from optimized silver-gold (Ag/Au) bimetallic substrates, carefully selected biomarker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panels for early-stage sepsis, machine-learning based spectral analysis, smartphone-connected readout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systems, and low-volume sample handling. A clinically practical device designed for fast results,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affordability, and decentralized healthcare settings would offer clear differentiation while avoiding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direct overlap with existing protected technologies. </w:t>
      </w:r>
    </w:p>
    <w:p>
      <w:pPr>
        <w:autoSpaceDN w:val="0"/>
        <w:autoSpaceDE w:val="0"/>
        <w:widowControl/>
        <w:spacing w:line="230" w:lineRule="auto" w:before="310" w:after="30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2.6 Comparative Table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457"/>
        <w:gridCol w:w="2457"/>
        <w:gridCol w:w="2457"/>
        <w:gridCol w:w="2457"/>
      </w:tblGrid>
      <w:tr>
        <w:trPr>
          <w:trHeight w:hRule="exact" w:val="838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0" w:after="0"/>
              <w:ind w:left="0" w:right="72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Patent /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Product </w:t>
            </w:r>
          </w:p>
        </w:tc>
        <w:tc>
          <w:tcPr>
            <w:tcW w:type="dxa" w:w="2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Key Feature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Limitation </w:t>
            </w:r>
          </w:p>
        </w:tc>
        <w:tc>
          <w:tcPr>
            <w:tcW w:type="dxa" w:w="2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0" w:after="0"/>
              <w:ind w:left="98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Relevance to Proposed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Work </w:t>
            </w:r>
          </w:p>
        </w:tc>
      </w:tr>
      <w:tr>
        <w:trPr>
          <w:trHeight w:hRule="exact" w:val="838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 8,802,356 </w:t>
            </w:r>
          </w:p>
        </w:tc>
        <w:tc>
          <w:tcPr>
            <w:tcW w:type="dxa" w:w="29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8" w:after="0"/>
              <w:ind w:left="10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Nanostructured SERS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substrate fabrication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8" w:after="0"/>
              <w:ind w:left="10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Focus on substrate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only </w:t>
            </w:r>
          </w:p>
        </w:tc>
        <w:tc>
          <w:tcPr>
            <w:tcW w:type="dxa" w:w="2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8" w:after="0"/>
              <w:ind w:left="9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Useful for plasmonic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design concepts </w:t>
            </w:r>
          </w:p>
        </w:tc>
      </w:tr>
      <w:tr>
        <w:trPr>
          <w:trHeight w:hRule="exact" w:val="838"/>
        </w:trPr>
        <w:tc>
          <w:tcPr>
            <w:tcW w:type="dxa" w:w="18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 10,113,180 </w:t>
            </w:r>
          </w:p>
        </w:tc>
        <w:tc>
          <w:tcPr>
            <w:tcW w:type="dxa" w:w="29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0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Portable Raman detection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system </w:t>
            </w:r>
          </w:p>
        </w:tc>
        <w:tc>
          <w:tcPr>
            <w:tcW w:type="dxa" w:w="226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0" w:after="0"/>
              <w:ind w:left="10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Generic sensing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platform </w:t>
            </w:r>
          </w:p>
        </w:tc>
        <w:tc>
          <w:tcPr>
            <w:tcW w:type="dxa" w:w="2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0" w:after="0"/>
              <w:ind w:left="9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Relevant for compact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instrumentation </w:t>
            </w:r>
          </w:p>
        </w:tc>
      </w:tr>
      <w:tr>
        <w:trPr>
          <w:trHeight w:hRule="exact" w:val="838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1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Elecsys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BRAHMS PCT </w:t>
            </w:r>
          </w:p>
        </w:tc>
        <w:tc>
          <w:tcPr>
            <w:tcW w:type="dxa" w:w="2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10" w:after="0"/>
              <w:ind w:left="102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Automated PCT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quantification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10" w:after="0"/>
              <w:ind w:left="10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Expensive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centralized analyzer </w:t>
            </w:r>
          </w:p>
        </w:tc>
        <w:tc>
          <w:tcPr>
            <w:tcW w:type="dxa" w:w="2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10" w:after="0"/>
              <w:ind w:left="9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Benchmark biomarker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assay </w:t>
            </w:r>
          </w:p>
        </w:tc>
      </w:tr>
      <w:tr>
        <w:trPr>
          <w:trHeight w:hRule="exact" w:val="836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0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FilmArray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BCID Panel </w:t>
            </w:r>
          </w:p>
        </w:tc>
        <w:tc>
          <w:tcPr>
            <w:tcW w:type="dxa" w:w="2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0" w:after="0"/>
              <w:ind w:left="10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Rapid pathogen ID from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blood culture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High cartridge cost </w:t>
            </w:r>
          </w:p>
        </w:tc>
        <w:tc>
          <w:tcPr>
            <w:tcW w:type="dxa" w:w="2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0" w:after="0"/>
              <w:ind w:left="9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Shows demand for rapid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diagnostics </w:t>
            </w:r>
          </w:p>
        </w:tc>
      </w:tr>
      <w:tr>
        <w:trPr>
          <w:trHeight w:hRule="exact" w:val="84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Proposed Work </w:t>
            </w:r>
          </w:p>
        </w:tc>
        <w:tc>
          <w:tcPr>
            <w:tcW w:type="dxa" w:w="2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Label-free SERS biomarker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panel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Under development </w:t>
            </w:r>
          </w:p>
        </w:tc>
        <w:tc>
          <w:tcPr>
            <w:tcW w:type="dxa" w:w="2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0" w:after="0"/>
              <w:ind w:left="98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Point-of-care sepsis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screening </w:t>
            </w:r>
          </w:p>
        </w:tc>
      </w:tr>
    </w:tbl>
    <w:p>
      <w:pPr>
        <w:autoSpaceDN w:val="0"/>
        <w:autoSpaceDE w:val="0"/>
        <w:widowControl/>
        <w:spacing w:line="197" w:lineRule="auto" w:before="1320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 </w:t>
      </w:r>
    </w:p>
    <w:p>
      <w:pPr>
        <w:sectPr>
          <w:pgSz w:w="11906" w:h="16838"/>
          <w:pgMar w:top="72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89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 OBJECTIVES &amp; METHODOLOGIES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3.1 OBJECTIVES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To design and fabricate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 plasmonic Surface-Enhanced Raman Spectroscopy (SERS)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substrate based on Ag/Au nanostructures for sensitive detection of sepsis-associated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biomarkers. </w:t>
      </w:r>
    </w:p>
    <w:p>
      <w:pPr>
        <w:autoSpaceDN w:val="0"/>
        <w:autoSpaceDE w:val="0"/>
        <w:widowControl/>
        <w:spacing w:line="329" w:lineRule="auto" w:before="308" w:after="0"/>
        <w:ind w:left="720" w:right="2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To develop and optimize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 experimental protocol for rapid Raman/SERS analysis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clinically relevant biomarkers such as C-reactive protein (CRP), procalcitonin (PCT),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interleukin-6 (IL-6), tumor necrosis factor-alpha (TNF-α), lipopolysaccharide (LPS),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lipoteichoic acid (LTA), and peptidoglycan-related markers. </w:t>
      </w:r>
    </w:p>
    <w:p>
      <w:pPr>
        <w:autoSpaceDN w:val="0"/>
        <w:tabs>
          <w:tab w:pos="720" w:val="left"/>
        </w:tabs>
        <w:autoSpaceDE w:val="0"/>
        <w:widowControl/>
        <w:spacing w:line="295" w:lineRule="auto" w:before="308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To analyze and validate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acquired Raman spectra using preprocessing, peak identification,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statistical or machine learning methods for biomarker discrimination and classification. </w:t>
      </w:r>
    </w:p>
    <w:p>
      <w:pPr>
        <w:autoSpaceDN w:val="0"/>
        <w:autoSpaceDE w:val="0"/>
        <w:widowControl/>
        <w:spacing w:line="317" w:lineRule="auto" w:before="308" w:after="0"/>
        <w:ind w:left="720" w:right="2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To compare and evaluate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proposed SERS-based sensing platform with conventional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diagnostic methods in terms of sensitivity, speed, cost, portability, and point-of-care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applicability. </w:t>
      </w:r>
    </w:p>
    <w:p>
      <w:pPr>
        <w:autoSpaceDN w:val="0"/>
        <w:autoSpaceDE w:val="0"/>
        <w:widowControl/>
        <w:spacing w:line="240" w:lineRule="auto" w:before="298" w:after="0"/>
        <w:ind w:left="15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94810" cy="24891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4810" cy="2489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Figure 3.1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Graphical representation of project objectives. </w:t>
      </w:r>
    </w:p>
    <w:p>
      <w:pPr>
        <w:autoSpaceDN w:val="0"/>
        <w:autoSpaceDE w:val="0"/>
        <w:widowControl/>
        <w:spacing w:line="362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3.2 METHODOLOGY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project was initiated by identifying the clinical challenge of delayed sepsis diagnosis, particularly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critical care and neonatal settings where rapid intervention is essential. A detailed literature review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 conducted on sepsis biomarkers, Raman spectroscopy, Surface-Enhanced Raman Spectroscopy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(SERS), nanostructured plasmonic substrates, and existing laboratory diagnostic systems. This review </w:t>
      </w:r>
    </w:p>
    <w:p>
      <w:pPr>
        <w:autoSpaceDN w:val="0"/>
        <w:autoSpaceDE w:val="0"/>
        <w:widowControl/>
        <w:spacing w:line="197" w:lineRule="auto" w:before="558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 </w:t>
      </w:r>
    </w:p>
    <w:p>
      <w:pPr>
        <w:sectPr>
          <w:pgSz w:w="11906" w:h="16838"/>
          <w:pgMar w:top="72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established the need for a rapid, label-free, and low-cost sensing platform capable of early biomarker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detection. </w:t>
      </w:r>
    </w:p>
    <w:p>
      <w:pPr>
        <w:autoSpaceDN w:val="0"/>
        <w:autoSpaceDE w:val="0"/>
        <w:widowControl/>
        <w:spacing w:line="334" w:lineRule="auto" w:before="3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Based on the identified gap, a sensing architecture was proposed consisting of a nanostructured SERS-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active substrate, a Raman spectroscopic acquisition system, spectral analysis tools, and an optional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machine-learning based decision layer. Silicon wafers coated with silver, gold, or Ag/Au bimetallic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nanostructures were considered as the sensing substrate due to their strong localized surface plasmon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resonance and signal enhancement capability. </w:t>
      </w:r>
    </w:p>
    <w:p>
      <w:pPr>
        <w:autoSpaceDN w:val="0"/>
        <w:autoSpaceDE w:val="0"/>
        <w:widowControl/>
        <w:spacing w:line="334" w:lineRule="auto" w:before="30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Analytical-grade biomarker standards and bacterial cell wall markers such as NAM, LPS, and LTA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were selected for proof-of-concept experiments. Known concentrations of analytes were prepared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suitable solvents, and microliter-scale droplets were deposited onto the SERS substrate followed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controlled drying. Blank substrate measurements and solvent controls were also recorded to eliminate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background contributions. </w:t>
      </w:r>
    </w:p>
    <w:p>
      <w:pPr>
        <w:autoSpaceDN w:val="0"/>
        <w:autoSpaceDE w:val="0"/>
        <w:widowControl/>
        <w:spacing w:line="334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Raman spectral acquisition was performed using a microscope-coupled Raman system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appropriate laser excitation (e.g., 785 nm). Instrument parameters such as laser power, integration time,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objective lens, accumulations, and spectral range were systematically optimized to maximize signal-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to-noise ratio while preventing sample degradation. For each sample, replicate spectra were collected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multiple substrate locations to evaluate repeatability and spot-to-spot variation. </w:t>
      </w:r>
    </w:p>
    <w:p>
      <w:pPr>
        <w:autoSpaceDN w:val="0"/>
        <w:autoSpaceDE w:val="0"/>
        <w:widowControl/>
        <w:spacing w:line="326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Computational tools like Python, Origin, MATLAB, or comparable scientific software were used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process the obtained spectra. Dark subtraction, baseline correction, smoothing, normalization,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peak extraction were among the preprocessing procedures. Target biomarkers' characteristic Raman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bands were found by comparing them to theoretical and literary references. </w:t>
      </w:r>
    </w:p>
    <w:p>
      <w:pPr>
        <w:autoSpaceDN w:val="0"/>
        <w:autoSpaceDE w:val="0"/>
        <w:widowControl/>
        <w:spacing w:line="326" w:lineRule="auto" w:before="3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spectral classification between healthy/control and sepsis-associated samples, supervised machine-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learning models like Support Vector Machine (SVM), Random Forest, Principal Component Analysis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(PCA)-based classifiers, or neural network techniques may be utilized when appropriate. The most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diagnostically significant Raman bands can be found using feature selection techniques. </w:t>
      </w:r>
    </w:p>
    <w:p>
      <w:pPr>
        <w:autoSpaceDN w:val="0"/>
        <w:autoSpaceDE w:val="0"/>
        <w:widowControl/>
        <w:spacing w:line="329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Sensitivity tests, concentration-dependent analysis, repeatability evaluation, and comparison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established biomarker signatures were used to validate the suggested platform. Limit of detection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(LOD), signal enhancement factor, accuracy, precision, sensitivity, specificity, repeatability,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analysis time were among the performance measures. </w:t>
      </w:r>
    </w:p>
    <w:p>
      <w:pPr>
        <w:autoSpaceDN w:val="0"/>
        <w:autoSpaceDE w:val="0"/>
        <w:widowControl/>
        <w:spacing w:line="230" w:lineRule="auto" w:before="30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overall workflow of the project can be summarized as: </w:t>
      </w:r>
    </w:p>
    <w:p>
      <w:pPr>
        <w:autoSpaceDN w:val="0"/>
        <w:autoSpaceDE w:val="0"/>
        <w:widowControl/>
        <w:spacing w:line="197" w:lineRule="auto" w:before="796" w:after="0"/>
        <w:ind w:left="0" w:right="2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 </w:t>
      </w:r>
    </w:p>
    <w:p>
      <w:pPr>
        <w:sectPr>
          <w:pgSz w:w="11906" w:h="16838"/>
          <w:pgMar w:top="724" w:right="1000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Problem Identification → Literature Review → SERS Substrate Design → Sample Preparation </w:t>
      </w:r>
    </w:p>
    <w:p>
      <w:pPr>
        <w:autoSpaceDN w:val="0"/>
        <w:autoSpaceDE w:val="0"/>
        <w:widowControl/>
        <w:spacing w:line="230" w:lineRule="auto" w:before="14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→ Raman Data Acquisition → Spectral Processing → Biomarker Identification → Validation → </w:t>
      </w:r>
    </w:p>
    <w:p>
      <w:pPr>
        <w:autoSpaceDN w:val="0"/>
        <w:autoSpaceDE w:val="0"/>
        <w:widowControl/>
        <w:spacing w:line="230" w:lineRule="auto" w:before="15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Comparative Evaluation → Final Prototype Framework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Using SERS technology, this approach creates a translational road for quick and point-of-care sepsis 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biomarker testing. 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 DETAIL OF WORK DONE </w:t>
      </w:r>
    </w:p>
    <w:p>
      <w:pPr>
        <w:autoSpaceDN w:val="0"/>
        <w:autoSpaceDE w:val="0"/>
        <w:widowControl/>
        <w:spacing w:line="230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4.1 System Design / Proposed Framework </w:t>
      </w:r>
    </w:p>
    <w:p>
      <w:pPr>
        <w:autoSpaceDN w:val="0"/>
        <w:autoSpaceDE w:val="0"/>
        <w:widowControl/>
        <w:spacing w:line="252" w:lineRule="auto" w:before="19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proposed work was developed as a rapid biosensing platform for the detection and analysis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sepsis biomarkers using Surface-Enhanced Raman Spectroscopy (SERS). The overall objective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framework is to combine experimental Raman spectroscopy, computational modelling, and spectral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processing into a unified workflow for biomarker identification. </w:t>
      </w:r>
    </w:p>
    <w:p>
      <w:pPr>
        <w:autoSpaceDN w:val="0"/>
        <w:autoSpaceDE w:val="0"/>
        <w:widowControl/>
        <w:spacing w:line="254" w:lineRule="auto" w:before="19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system begins with preparation of biomarker-containing samples, followed by deposition onto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appropriate sensing substrate. Upon laser excitation, Raman scattered signals are collected using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spectroscopic acquisition unit. The acquired spectra are then processed through preprocessing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algorithms such as noise removal, baseline correction, normalization, and peak extraction.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processed spectra are compared with theoretical or reference biomarker signatures for interpretation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validation. </w:t>
      </w:r>
    </w:p>
    <w:p>
      <w:pPr>
        <w:autoSpaceDN w:val="0"/>
        <w:autoSpaceDE w:val="0"/>
        <w:widowControl/>
        <w:spacing w:line="245" w:lineRule="auto" w:before="1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proposed architecture was designed in a modular manner so that each stage can be independently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optimized while maintaining an integrated workflow. The major modules include: </w:t>
      </w:r>
    </w:p>
    <w:p>
      <w:pPr>
        <w:autoSpaceDN w:val="0"/>
        <w:autoSpaceDE w:val="0"/>
        <w:widowControl/>
        <w:spacing w:line="230" w:lineRule="auto" w:before="192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Sample preparation module </w:t>
      </w:r>
    </w:p>
    <w:p>
      <w:pPr>
        <w:autoSpaceDN w:val="0"/>
        <w:autoSpaceDE w:val="0"/>
        <w:widowControl/>
        <w:spacing w:line="230" w:lineRule="auto" w:before="194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SERS substrate / sensing interface </w:t>
      </w:r>
    </w:p>
    <w:p>
      <w:pPr>
        <w:autoSpaceDN w:val="0"/>
        <w:autoSpaceDE w:val="0"/>
        <w:widowControl/>
        <w:spacing w:line="230" w:lineRule="auto" w:before="192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Raman spectral acquisition module </w:t>
      </w:r>
    </w:p>
    <w:p>
      <w:pPr>
        <w:autoSpaceDN w:val="0"/>
        <w:autoSpaceDE w:val="0"/>
        <w:widowControl/>
        <w:spacing w:line="230" w:lineRule="auto" w:before="192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preprocessing module </w:t>
      </w:r>
    </w:p>
    <w:p>
      <w:pPr>
        <w:autoSpaceDN w:val="0"/>
        <w:autoSpaceDE w:val="0"/>
        <w:widowControl/>
        <w:spacing w:line="230" w:lineRule="auto" w:before="19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Biomarker spectral library </w:t>
      </w:r>
    </w:p>
    <w:p>
      <w:pPr>
        <w:autoSpaceDN w:val="0"/>
        <w:autoSpaceDE w:val="0"/>
        <w:widowControl/>
        <w:spacing w:line="230" w:lineRule="auto" w:before="192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Computational modelling module </w:t>
      </w:r>
    </w:p>
    <w:p>
      <w:pPr>
        <w:autoSpaceDN w:val="0"/>
        <w:autoSpaceDE w:val="0"/>
        <w:widowControl/>
        <w:spacing w:line="230" w:lineRule="auto" w:before="194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Decision-support and analysis module </w:t>
      </w:r>
    </w:p>
    <w:p>
      <w:pPr>
        <w:autoSpaceDN w:val="0"/>
        <w:autoSpaceDE w:val="0"/>
        <w:widowControl/>
        <w:spacing w:line="250" w:lineRule="auto" w:before="19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framework supports both fundamental biomarker validation studies and future translation into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portable point-of-care diagnostic systems. The integration of simulation and experimentation improves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confidence in peak assignments and enables more reliable identification of bacterial sepsis biomarkers. </w:t>
      </w:r>
    </w:p>
    <w:p>
      <w:pPr>
        <w:autoSpaceDN w:val="0"/>
        <w:autoSpaceDE w:val="0"/>
        <w:widowControl/>
        <w:spacing w:line="197" w:lineRule="auto" w:before="2760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 </w:t>
      </w:r>
    </w:p>
    <w:p>
      <w:pPr>
        <w:sectPr>
          <w:pgSz w:w="11906" w:h="16838"/>
          <w:pgMar w:top="72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6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38930" cy="1892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8930" cy="189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Figure 4.1: Proposed framework for SERS-based analysis of bacterial sepsis biomarkers. </w:t>
      </w:r>
    </w:p>
    <w:p>
      <w:pPr>
        <w:autoSpaceDN w:val="0"/>
        <w:autoSpaceDE w:val="0"/>
        <w:widowControl/>
        <w:spacing w:line="230" w:lineRule="auto" w:before="1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4.2 WORK COMPLETED ON N-ACETYLMURAMIC ACID (NAM) </w:t>
      </w:r>
    </w:p>
    <w:p>
      <w:pPr>
        <w:autoSpaceDN w:val="0"/>
        <w:autoSpaceDE w:val="0"/>
        <w:widowControl/>
        <w:spacing w:line="254" w:lineRule="auto" w:before="19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N-Acetylmuramic Acid (NAM) is an important structural component of bacterial peptidoglycan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plays a key role in the architecture of bacterial cell walls. It is widely recognized as a biomarker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associated with bacterial presence and therefore has strong relevance in infection diagnostics. Since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sepsis is frequently caused by bacterial infection, identification of bacterial cell wall components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NAM can support rapid diagnostic development. </w:t>
      </w:r>
    </w:p>
    <w:p>
      <w:pPr>
        <w:autoSpaceDN w:val="0"/>
        <w:autoSpaceDE w:val="0"/>
        <w:widowControl/>
        <w:spacing w:line="252" w:lineRule="auto" w:before="19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molecular structure of NAM contains a pyranose sugar ring, hydroxyl groups, ether linkages,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acetamide group, and a lactyl side chain terminating in a carboxylic acid group. These functional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groups generate characteristic vibrational signatures in Raman spectroscopy, making NAM a suitable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candidate for computational and experimental spectral analysis. </w:t>
      </w:r>
    </w:p>
    <w:p>
      <w:pPr>
        <w:autoSpaceDN w:val="0"/>
        <w:autoSpaceDE w:val="0"/>
        <w:widowControl/>
        <w:spacing w:line="252" w:lineRule="auto" w:before="19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present work, NAM was selected as the first model biomarker for detailed validation. The study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combined Density Functional Theory (DFT)-based Raman simulation with experimental Raman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spectroscopy of pure NAM powder. The objective was to establish a validated Raman fingerprint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 and compare theoretical predictions with measured spectral data. </w:t>
      </w:r>
    </w:p>
    <w:p>
      <w:pPr>
        <w:autoSpaceDN w:val="0"/>
        <w:autoSpaceDE w:val="0"/>
        <w:widowControl/>
        <w:spacing w:line="252" w:lineRule="auto" w:before="19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complete NAM molecule was used for simulation instead of isolated fragments because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Raman spectrum arises from coupled vibrational modes involving the full molecular framework.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allows more realistic prediction of ring vibrations, carbonyl stretching, carbohydrate bands, 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deformations, and skeletal modes. </w:t>
      </w:r>
    </w:p>
    <w:p>
      <w:pPr>
        <w:autoSpaceDN w:val="0"/>
        <w:autoSpaceDE w:val="0"/>
        <w:widowControl/>
        <w:spacing w:line="240" w:lineRule="auto" w:before="182" w:after="0"/>
        <w:ind w:left="0" w:right="346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898649" cy="14198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98649" cy="1419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Figure 4.2: Molecular structure of N-Acetylmuramic Acid (NAM). </w:t>
      </w:r>
    </w:p>
    <w:p>
      <w:pPr>
        <w:autoSpaceDN w:val="0"/>
        <w:autoSpaceDE w:val="0"/>
        <w:widowControl/>
        <w:spacing w:line="197" w:lineRule="auto" w:before="1724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 </w:t>
      </w:r>
    </w:p>
    <w:p>
      <w:pPr>
        <w:sectPr>
          <w:pgSz w:w="11906" w:h="16838"/>
          <w:pgMar w:top="720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184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Key Functional Groups in NAM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4.0" w:type="dxa"/>
      </w:tblPr>
      <w:tblGrid>
        <w:gridCol w:w="4913"/>
        <w:gridCol w:w="4913"/>
      </w:tblGrid>
      <w:tr>
        <w:trPr>
          <w:trHeight w:hRule="exact" w:val="466"/>
        </w:trPr>
        <w:tc>
          <w:tcPr>
            <w:tcW w:type="dxa" w:w="2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Functional Group </w:t>
            </w:r>
          </w:p>
        </w:tc>
        <w:tc>
          <w:tcPr>
            <w:tcW w:type="dxa" w:w="26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Spectral Importance </w:t>
            </w:r>
          </w:p>
        </w:tc>
      </w:tr>
      <w:tr>
        <w:trPr>
          <w:trHeight w:hRule="exact" w:val="468"/>
        </w:trPr>
        <w:tc>
          <w:tcPr>
            <w:tcW w:type="dxa" w:w="2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Hydroxyl (–OH) </w:t>
            </w:r>
          </w:p>
        </w:tc>
        <w:tc>
          <w:tcPr>
            <w:tcW w:type="dxa" w:w="26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C–O stretching / bending </w:t>
            </w:r>
          </w:p>
        </w:tc>
      </w:tr>
      <w:tr>
        <w:trPr>
          <w:trHeight w:hRule="exact" w:val="468"/>
        </w:trPr>
        <w:tc>
          <w:tcPr>
            <w:tcW w:type="dxa" w:w="2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Ether (C–O–C) </w:t>
            </w:r>
          </w:p>
        </w:tc>
        <w:tc>
          <w:tcPr>
            <w:tcW w:type="dxa" w:w="26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Carbohydrate fingerprint </w:t>
            </w:r>
          </w:p>
        </w:tc>
      </w:tr>
      <w:tr>
        <w:trPr>
          <w:trHeight w:hRule="exact" w:val="468"/>
        </w:trPr>
        <w:tc>
          <w:tcPr>
            <w:tcW w:type="dxa" w:w="2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Amide </w:t>
            </w:r>
          </w:p>
        </w:tc>
        <w:tc>
          <w:tcPr>
            <w:tcW w:type="dxa" w:w="26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Amide-related bands </w:t>
            </w:r>
          </w:p>
        </w:tc>
      </w:tr>
      <w:tr>
        <w:trPr>
          <w:trHeight w:hRule="exact" w:val="468"/>
        </w:trPr>
        <w:tc>
          <w:tcPr>
            <w:tcW w:type="dxa" w:w="2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Carboxylic Acid </w:t>
            </w:r>
          </w:p>
        </w:tc>
        <w:tc>
          <w:tcPr>
            <w:tcW w:type="dxa" w:w="26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Carbonyl stretching </w:t>
            </w:r>
          </w:p>
        </w:tc>
      </w:tr>
      <w:tr>
        <w:trPr>
          <w:trHeight w:hRule="exact" w:val="466"/>
        </w:trPr>
        <w:tc>
          <w:tcPr>
            <w:tcW w:type="dxa" w:w="2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CH₃ / CH₂ </w:t>
            </w:r>
          </w:p>
        </w:tc>
        <w:tc>
          <w:tcPr>
            <w:tcW w:type="dxa" w:w="26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Deformation vibrations </w:t>
            </w:r>
          </w:p>
        </w:tc>
      </w:tr>
    </w:tbl>
    <w:p>
      <w:pPr>
        <w:autoSpaceDN w:val="0"/>
        <w:autoSpaceDE w:val="0"/>
        <w:widowControl/>
        <w:spacing w:line="230" w:lineRule="auto" w:before="47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4.2.1 Computational Methodology for Raman Simulation of NAM </w:t>
      </w:r>
    </w:p>
    <w:p>
      <w:pPr>
        <w:autoSpaceDN w:val="0"/>
        <w:autoSpaceDE w:val="0"/>
        <w:widowControl/>
        <w:spacing w:line="252" w:lineRule="auto" w:before="19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understand the vibrational behavior of N-Acetylmuramic Acid, computational Raman simulations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were carried out using Density Functional Theory (DFT). This method is widely used for predicting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molecular geometry, vibrational frequencies, and Raman-active modes with good accuracy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medium-sized biomolecules. </w:t>
      </w:r>
    </w:p>
    <w:p>
      <w:pPr>
        <w:autoSpaceDN w:val="0"/>
        <w:autoSpaceDE w:val="0"/>
        <w:widowControl/>
        <w:spacing w:line="252" w:lineRule="auto" w:before="19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calculations were performed using Gaussian 16. The hybrid functional B3LYP was selected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because it provides reliable vibrational predictions for organic molecules containing carbon, oxygen,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nitrogen atoms. The 6-31+G(d,p) basis set was used to improve the description of heteroatoms,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lone pairs, and polar bonds present in NAM. </w:t>
      </w:r>
    </w:p>
    <w:p>
      <w:pPr>
        <w:autoSpaceDN w:val="0"/>
        <w:autoSpaceDE w:val="0"/>
        <w:widowControl/>
        <w:spacing w:line="230" w:lineRule="auto" w:before="1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computational workflow consisted of two major stages: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94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Geometry Optimization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The atomic coordinates of NAM were optimized to obtain the most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stable low-energy molecular conformation.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92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Frequency and Raman Calculation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Harmonic vibrational frequencies and Raman activities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were calculated from the optimized geometry. </w:t>
      </w:r>
    </w:p>
    <w:p>
      <w:pPr>
        <w:autoSpaceDN w:val="0"/>
        <w:autoSpaceDE w:val="0"/>
        <w:widowControl/>
        <w:spacing w:line="250" w:lineRule="auto" w:before="19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absence of imaginary frequencies confirmed that the optimized structure corresponded to a stable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molecular minimum. The resulting theoretical frequencies and Raman activities were exported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post-processing. </w:t>
      </w:r>
    </w:p>
    <w:p>
      <w:pPr>
        <w:autoSpaceDN w:val="0"/>
        <w:autoSpaceDE w:val="0"/>
        <w:widowControl/>
        <w:spacing w:line="230" w:lineRule="auto" w:before="194" w:after="18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Simulation Parameters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76.0" w:type="dxa"/>
      </w:tblPr>
      <w:tblGrid>
        <w:gridCol w:w="4913"/>
        <w:gridCol w:w="4913"/>
      </w:tblGrid>
      <w:tr>
        <w:trPr>
          <w:trHeight w:hRule="exact" w:val="468"/>
        </w:trPr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Parameter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Value </w:t>
            </w:r>
          </w:p>
        </w:tc>
      </w:tr>
      <w:tr>
        <w:trPr>
          <w:trHeight w:hRule="exact" w:val="468"/>
        </w:trPr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Software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Gaussian 16 </w:t>
            </w:r>
          </w:p>
        </w:tc>
      </w:tr>
      <w:tr>
        <w:trPr>
          <w:trHeight w:hRule="exact" w:val="466"/>
        </w:trPr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Method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DFT </w:t>
            </w:r>
          </w:p>
        </w:tc>
      </w:tr>
      <w:tr>
        <w:trPr>
          <w:trHeight w:hRule="exact" w:val="468"/>
        </w:trPr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Functional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B3LYP </w:t>
            </w:r>
          </w:p>
        </w:tc>
      </w:tr>
      <w:tr>
        <w:trPr>
          <w:trHeight w:hRule="exact" w:val="470"/>
        </w:trPr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Basis Set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6-31+G(d,p) </w:t>
            </w:r>
          </w:p>
        </w:tc>
      </w:tr>
      <w:tr>
        <w:trPr>
          <w:trHeight w:hRule="exact" w:val="468"/>
        </w:trPr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Job Type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Optimization + Frequency + Raman </w:t>
            </w:r>
          </w:p>
        </w:tc>
      </w:tr>
      <w:tr>
        <w:trPr>
          <w:trHeight w:hRule="exact" w:val="468"/>
        </w:trPr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Resources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16 CPU cores, 56 GB RAM </w:t>
            </w:r>
          </w:p>
        </w:tc>
      </w:tr>
    </w:tbl>
    <w:p>
      <w:pPr>
        <w:autoSpaceDN w:val="0"/>
        <w:autoSpaceDE w:val="0"/>
        <w:widowControl/>
        <w:spacing w:line="197" w:lineRule="auto" w:before="538" w:after="0"/>
        <w:ind w:left="0" w:right="2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 </w:t>
      </w:r>
    </w:p>
    <w:p>
      <w:pPr>
        <w:sectPr>
          <w:pgSz w:w="11906" w:h="16838"/>
          <w:pgMar w:top="724" w:right="1000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50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raw theoretical output was further processed by applying frequency scaling, intensity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normalization, and Gaussian broadening to generate a continuous simulated Raman spectrum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comparable with the experimental spectrum. </w:t>
      </w:r>
    </w:p>
    <w:p>
      <w:pPr>
        <w:autoSpaceDN w:val="0"/>
        <w:autoSpaceDE w:val="0"/>
        <w:widowControl/>
        <w:spacing w:line="240" w:lineRule="auto" w:before="184" w:after="0"/>
        <w:ind w:left="6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60670" cy="1746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174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202" w:after="0"/>
        <w:ind w:left="288" w:right="288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Figure 4.3: Simulated Raman spectrum of N-Acetylmuramic Acid generated using DFT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calculations.</w:t>
      </w:r>
    </w:p>
    <w:p>
      <w:pPr>
        <w:autoSpaceDN w:val="0"/>
        <w:autoSpaceDE w:val="0"/>
        <w:widowControl/>
        <w:spacing w:line="230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Significance of Simulation </w:t>
      </w:r>
    </w:p>
    <w:p>
      <w:pPr>
        <w:autoSpaceDN w:val="0"/>
        <w:autoSpaceDE w:val="0"/>
        <w:widowControl/>
        <w:spacing w:line="230" w:lineRule="auto" w:before="19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simulated spectrum was used to: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19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Predict characteristic Raman peaks of NAM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19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Support functional group assignments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19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Compare with experimental Raman measurements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19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Validate the molecular fingerprint of NAM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19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Quantify agreement between theory and experiment </w:t>
      </w:r>
    </w:p>
    <w:p>
      <w:pPr>
        <w:autoSpaceDN w:val="0"/>
        <w:autoSpaceDE w:val="0"/>
        <w:widowControl/>
        <w:spacing w:line="230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4.2.2 Experimental Raman Measurement of NAM Powder </w:t>
      </w:r>
    </w:p>
    <w:p>
      <w:pPr>
        <w:autoSpaceDN w:val="0"/>
        <w:autoSpaceDE w:val="0"/>
        <w:widowControl/>
        <w:spacing w:line="252" w:lineRule="auto" w:before="19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validate the theoretical Raman predictions, experimental Raman measurements were performed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using high-purity N-Acetylmuramic Acid powder. The use of a pure compound is important because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minimizes interference from unrelated biomolecules and allows direct observation of intrinsic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Raman bands associated with NAM. </w:t>
      </w:r>
    </w:p>
    <w:p>
      <w:pPr>
        <w:autoSpaceDN w:val="0"/>
        <w:autoSpaceDE w:val="0"/>
        <w:widowControl/>
        <w:spacing w:line="252" w:lineRule="auto" w:before="19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sample was analyzed in powder form without chemical modification. A small quantity of material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 placed on the measurement surface and spectra were recorded using a Raman spectrometer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equipped with a 785 nm excitation laser. Multiple datasets were collected by varying laser power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integration time to identify the best acquisition conditions. </w:t>
      </w:r>
    </w:p>
    <w:p>
      <w:pPr>
        <w:autoSpaceDN w:val="0"/>
        <w:autoSpaceDE w:val="0"/>
        <w:widowControl/>
        <w:spacing w:line="230" w:lineRule="auto" w:before="194" w:after="184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Experimental Conditions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96.0" w:type="dxa"/>
      </w:tblPr>
      <w:tblGrid>
        <w:gridCol w:w="4913"/>
        <w:gridCol w:w="4913"/>
      </w:tblGrid>
      <w:tr>
        <w:trPr>
          <w:trHeight w:hRule="exact" w:val="466"/>
        </w:trPr>
        <w:tc>
          <w:tcPr>
            <w:tcW w:type="dxa" w:w="21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Parameter </w:t>
            </w:r>
          </w:p>
        </w:tc>
        <w:tc>
          <w:tcPr>
            <w:tcW w:type="dxa" w:w="321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Value </w:t>
            </w:r>
          </w:p>
        </w:tc>
      </w:tr>
      <w:tr>
        <w:trPr>
          <w:trHeight w:hRule="exact" w:val="468"/>
        </w:trPr>
        <w:tc>
          <w:tcPr>
            <w:tcW w:type="dxa" w:w="21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Sample </w:t>
            </w:r>
          </w:p>
        </w:tc>
        <w:tc>
          <w:tcPr>
            <w:tcW w:type="dxa" w:w="321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NAM Powder </w:t>
            </w:r>
          </w:p>
        </w:tc>
      </w:tr>
      <w:tr>
        <w:trPr>
          <w:trHeight w:hRule="exact" w:val="466"/>
        </w:trPr>
        <w:tc>
          <w:tcPr>
            <w:tcW w:type="dxa" w:w="21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Purity </w:t>
            </w:r>
          </w:p>
        </w:tc>
        <w:tc>
          <w:tcPr>
            <w:tcW w:type="dxa" w:w="321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~98% </w:t>
            </w:r>
          </w:p>
        </w:tc>
      </w:tr>
      <w:tr>
        <w:trPr>
          <w:trHeight w:hRule="exact" w:val="468"/>
        </w:trPr>
        <w:tc>
          <w:tcPr>
            <w:tcW w:type="dxa" w:w="21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Excitation Source </w:t>
            </w:r>
          </w:p>
        </w:tc>
        <w:tc>
          <w:tcPr>
            <w:tcW w:type="dxa" w:w="321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785 nm Laser </w:t>
            </w:r>
          </w:p>
        </w:tc>
      </w:tr>
      <w:tr>
        <w:trPr>
          <w:trHeight w:hRule="exact" w:val="470"/>
        </w:trPr>
        <w:tc>
          <w:tcPr>
            <w:tcW w:type="dxa" w:w="21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Measurement Type </w:t>
            </w:r>
          </w:p>
        </w:tc>
        <w:tc>
          <w:tcPr>
            <w:tcW w:type="dxa" w:w="321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Powder Raman </w:t>
            </w:r>
          </w:p>
        </w:tc>
      </w:tr>
    </w:tbl>
    <w:p>
      <w:pPr>
        <w:autoSpaceDN w:val="0"/>
        <w:autoSpaceDE w:val="0"/>
        <w:widowControl/>
        <w:spacing w:line="197" w:lineRule="auto" w:before="274" w:after="0"/>
        <w:ind w:left="0" w:right="2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 </w:t>
      </w:r>
    </w:p>
    <w:p>
      <w:pPr>
        <w:sectPr>
          <w:pgSz w:w="11906" w:h="16838"/>
          <w:pgMar w:top="724" w:right="1000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96.0" w:type="dxa"/>
      </w:tblPr>
      <w:tblGrid>
        <w:gridCol w:w="4913"/>
        <w:gridCol w:w="4913"/>
      </w:tblGrid>
      <w:tr>
        <w:trPr>
          <w:trHeight w:hRule="exact" w:val="470"/>
        </w:trPr>
        <w:tc>
          <w:tcPr>
            <w:tcW w:type="dxa" w:w="21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Spectral Range </w:t>
            </w:r>
          </w:p>
        </w:tc>
        <w:tc>
          <w:tcPr>
            <w:tcW w:type="dxa" w:w="321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Fingerprint + Extended Region </w:t>
            </w:r>
          </w:p>
        </w:tc>
      </w:tr>
      <w:tr>
        <w:trPr>
          <w:trHeight w:hRule="exact" w:val="466"/>
        </w:trPr>
        <w:tc>
          <w:tcPr>
            <w:tcW w:type="dxa" w:w="21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Variable Parameters </w:t>
            </w:r>
          </w:p>
        </w:tc>
        <w:tc>
          <w:tcPr>
            <w:tcW w:type="dxa" w:w="321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Laser Power, Integration Time </w:t>
            </w:r>
          </w:p>
        </w:tc>
      </w:tr>
    </w:tbl>
    <w:p>
      <w:pPr>
        <w:autoSpaceDN w:val="0"/>
        <w:autoSpaceDE w:val="0"/>
        <w:widowControl/>
        <w:spacing w:line="230" w:lineRule="auto" w:before="1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large set of spectra was collected across different conditions. This enabled systematic comparison </w:t>
      </w:r>
    </w:p>
    <w:p>
      <w:pPr>
        <w:autoSpaceDN w:val="0"/>
        <w:autoSpaceDE w:val="0"/>
        <w:widowControl/>
        <w:spacing w:line="230" w:lineRule="auto" w:before="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signal intensity, noise level, baseline quality, and peak sharpness. </w:t>
      </w:r>
    </w:p>
    <w:p>
      <w:pPr>
        <w:autoSpaceDN w:val="0"/>
        <w:autoSpaceDE w:val="0"/>
        <w:widowControl/>
        <w:spacing w:line="240" w:lineRule="auto" w:before="184" w:after="0"/>
        <w:ind w:left="6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02580" cy="19113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1911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9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Figure 4.4: Stacked Raman spectra of NAM recorded under multiple laser power and </w:t>
      </w:r>
    </w:p>
    <w:p>
      <w:pPr>
        <w:autoSpaceDN w:val="0"/>
        <w:autoSpaceDE w:val="0"/>
        <w:widowControl/>
        <w:spacing w:line="230" w:lineRule="auto" w:before="32" w:after="0"/>
        <w:ind w:left="0" w:right="354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integration time conditions.</w:t>
      </w:r>
    </w:p>
    <w:p>
      <w:pPr>
        <w:autoSpaceDN w:val="0"/>
        <w:autoSpaceDE w:val="0"/>
        <w:widowControl/>
        <w:spacing w:line="230" w:lineRule="auto" w:before="6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4.2.3 Selection of Optimum Spectrum </w:t>
      </w:r>
    </w:p>
    <w:p>
      <w:pPr>
        <w:autoSpaceDN w:val="0"/>
        <w:autoSpaceDE w:val="0"/>
        <w:widowControl/>
        <w:spacing w:line="230" w:lineRule="auto" w:before="19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recorded spectra were compared using quality metrics such as signal-to-noise ratio (SNR), peak </w:t>
      </w:r>
    </w:p>
    <w:p>
      <w:pPr>
        <w:autoSpaceDN w:val="0"/>
        <w:autoSpaceDE w:val="0"/>
        <w:widowControl/>
        <w:spacing w:line="230" w:lineRule="auto" w:before="3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definition, and baseline stability. Among all tested conditions, the best quality spectrum was obtained </w:t>
      </w:r>
    </w:p>
    <w:p>
      <w:pPr>
        <w:autoSpaceDN w:val="0"/>
        <w:autoSpaceDE w:val="0"/>
        <w:widowControl/>
        <w:spacing w:line="230" w:lineRule="auto" w:before="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at: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19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Integration Time: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25 s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19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Laser Power: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80%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19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Best SNR: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95.91 </w:t>
      </w:r>
    </w:p>
    <w:p>
      <w:pPr>
        <w:autoSpaceDN w:val="0"/>
        <w:autoSpaceDE w:val="0"/>
        <w:widowControl/>
        <w:spacing w:line="230" w:lineRule="auto" w:before="19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spectrum showed strong signal intensity, clear Raman peaks, low background noise, and good </w:t>
      </w:r>
    </w:p>
    <w:p>
      <w:pPr>
        <w:autoSpaceDN w:val="0"/>
        <w:autoSpaceDE w:val="0"/>
        <w:widowControl/>
        <w:spacing w:line="230" w:lineRule="auto" w:before="3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reproducibility. Therefore, it was selected as the representative experimental spectrum for final </w:t>
      </w:r>
    </w:p>
    <w:p>
      <w:pPr>
        <w:autoSpaceDN w:val="0"/>
        <w:autoSpaceDE w:val="0"/>
        <w:widowControl/>
        <w:spacing w:line="230" w:lineRule="auto" w:before="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validation. </w:t>
      </w:r>
    </w:p>
    <w:p>
      <w:pPr>
        <w:autoSpaceDN w:val="0"/>
        <w:autoSpaceDE w:val="0"/>
        <w:widowControl/>
        <w:spacing w:line="230" w:lineRule="auto" w:before="1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Why Optimization Was Important </w:t>
      </w:r>
    </w:p>
    <w:p>
      <w:pPr>
        <w:autoSpaceDN w:val="0"/>
        <w:autoSpaceDE w:val="0"/>
        <w:widowControl/>
        <w:spacing w:line="230" w:lineRule="auto" w:before="1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Optimizing measurement conditions ensured: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19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Maximum signal quality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19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Reliable peak positions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19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Better comparison with simulation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19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Reduced noise and baseline drift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19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Improved scientific confidence in results </w:t>
      </w:r>
    </w:p>
    <w:p>
      <w:pPr>
        <w:autoSpaceDN w:val="0"/>
        <w:autoSpaceDE w:val="0"/>
        <w:widowControl/>
        <w:spacing w:line="197" w:lineRule="auto" w:before="1128" w:after="0"/>
        <w:ind w:left="0" w:right="2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 </w:t>
      </w:r>
    </w:p>
    <w:p>
      <w:pPr>
        <w:sectPr>
          <w:pgSz w:w="11906" w:h="16838"/>
          <w:pgMar w:top="720" w:right="1000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4.2.4 Spectral Quality Analysis and Parameter Optimization </w:t>
      </w:r>
    </w:p>
    <w:p>
      <w:pPr>
        <w:autoSpaceDN w:val="0"/>
        <w:autoSpaceDE w:val="0"/>
        <w:widowControl/>
        <w:spacing w:line="252" w:lineRule="auto" w:before="19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collecting Raman spectra under multiple acquisition settings, a detailed quality analysis was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performed to understand the influence of laser power and integration time on spectral performance.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step was necessary to identify measurement conditions that maximize useful Raman signal while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minimizing noise. </w:t>
      </w:r>
    </w:p>
    <w:p>
      <w:pPr>
        <w:autoSpaceDN w:val="0"/>
        <w:autoSpaceDE w:val="0"/>
        <w:widowControl/>
        <w:spacing w:line="245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quality of each spectrum was evaluated using parameters such as peak intensity, signal-to-noise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ratio (SNR), baseline stability, and visual sharpness of Raman bands. </w:t>
      </w:r>
    </w:p>
    <w:p>
      <w:pPr>
        <w:autoSpaceDN w:val="0"/>
        <w:autoSpaceDE w:val="0"/>
        <w:widowControl/>
        <w:spacing w:line="230" w:lineRule="auto" w:before="1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Effect of Laser Power </w:t>
      </w:r>
    </w:p>
    <w:p>
      <w:pPr>
        <w:autoSpaceDN w:val="0"/>
        <w:autoSpaceDE w:val="0"/>
        <w:widowControl/>
        <w:spacing w:line="252" w:lineRule="auto" w:before="19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Increasing laser power generally improved Raman intensity because stronger excitation generates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higher scattering signals. However, excessively high power may increase noise, heating effects,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sample degradation. Therefore, an optimal operating region was required rather than simply choosing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maximum power. </w:t>
      </w:r>
    </w:p>
    <w:p>
      <w:pPr>
        <w:autoSpaceDN w:val="0"/>
        <w:autoSpaceDE w:val="0"/>
        <w:widowControl/>
        <w:spacing w:line="240" w:lineRule="auto" w:before="184" w:after="0"/>
        <w:ind w:left="16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19879" cy="20408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9879" cy="2040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Figure 4.5: Variation of Raman peak intensity with laser power for NAM measurements.</w:t>
      </w:r>
    </w:p>
    <w:p>
      <w:pPr>
        <w:autoSpaceDN w:val="0"/>
        <w:autoSpaceDE w:val="0"/>
        <w:widowControl/>
        <w:spacing w:line="230" w:lineRule="auto" w:before="65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Effect of Integration Time </w:t>
      </w:r>
    </w:p>
    <w:p>
      <w:pPr>
        <w:autoSpaceDN w:val="0"/>
        <w:autoSpaceDE w:val="0"/>
        <w:widowControl/>
        <w:spacing w:line="250" w:lineRule="auto" w:before="19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Longer integration time allows the detector to collect more scattered photons, improving signal clarity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reducing random noise. However, excessively long exposure increases acquisition time and may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 always produce proportional improvement. </w:t>
      </w:r>
    </w:p>
    <w:p>
      <w:pPr>
        <w:autoSpaceDN w:val="0"/>
        <w:autoSpaceDE w:val="0"/>
        <w:widowControl/>
        <w:spacing w:line="240" w:lineRule="auto" w:before="180" w:after="0"/>
        <w:ind w:left="21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40429" cy="14528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0429" cy="1452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Figure 4.6: Effect of integration time on Raman peak intensity of NAM.</w:t>
      </w:r>
    </w:p>
    <w:p>
      <w:pPr>
        <w:autoSpaceDN w:val="0"/>
        <w:autoSpaceDE w:val="0"/>
        <w:widowControl/>
        <w:spacing w:line="197" w:lineRule="auto" w:before="798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12 </w:t>
      </w:r>
    </w:p>
    <w:p>
      <w:pPr>
        <w:sectPr>
          <w:pgSz w:w="11906" w:h="16838"/>
          <w:pgMar w:top="95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Signal-to-Noise Ratio Mapping </w:t>
      </w:r>
    </w:p>
    <w:p>
      <w:pPr>
        <w:autoSpaceDN w:val="0"/>
        <w:autoSpaceDE w:val="0"/>
        <w:widowControl/>
        <w:spacing w:line="250" w:lineRule="auto" w:before="19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compare all acquisition combinations simultaneously, a heatmap or quality map was generated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using SNR values. This visualization clearly identified the best-performing region of the parameter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space. </w:t>
      </w:r>
    </w:p>
    <w:p>
      <w:pPr>
        <w:autoSpaceDN w:val="0"/>
        <w:autoSpaceDE w:val="0"/>
        <w:widowControl/>
        <w:spacing w:line="240" w:lineRule="auto" w:before="182" w:after="0"/>
        <w:ind w:left="0" w:right="258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014980" cy="15938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159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7" w:lineRule="auto" w:before="20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Figure 4.7: Heatmap showing spectral quality / signal-to-noise ratio across different laser power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and integration time settings.</w:t>
      </w:r>
    </w:p>
    <w:p>
      <w:pPr>
        <w:autoSpaceDN w:val="0"/>
        <w:autoSpaceDE w:val="0"/>
        <w:widowControl/>
        <w:spacing w:line="230" w:lineRule="auto" w:before="1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Outcome of Optimization </w:t>
      </w:r>
    </w:p>
    <w:p>
      <w:pPr>
        <w:autoSpaceDN w:val="0"/>
        <w:autoSpaceDE w:val="0"/>
        <w:widowControl/>
        <w:spacing w:line="250" w:lineRule="auto" w:before="19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combined analysis confirmed that higher signal quality was achieved at longer integration time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optimized laser power. Based on this comparison, the spectrum recorded at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25 s integration time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and 80% laser power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was selected for final peak assignment and validation. </w:t>
      </w:r>
    </w:p>
    <w:p>
      <w:pPr>
        <w:autoSpaceDN w:val="0"/>
        <w:autoSpaceDE w:val="0"/>
        <w:widowControl/>
        <w:spacing w:line="245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optimization step strengthened the reliability of all subsequent comparisons with the theoretical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Raman model. </w:t>
      </w:r>
    </w:p>
    <w:p>
      <w:pPr>
        <w:autoSpaceDN w:val="0"/>
        <w:autoSpaceDE w:val="0"/>
        <w:widowControl/>
        <w:spacing w:line="230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4.2.5 Comparative Validation of Experimental and Simulated Spectra </w:t>
      </w:r>
    </w:p>
    <w:p>
      <w:pPr>
        <w:autoSpaceDN w:val="0"/>
        <w:autoSpaceDE w:val="0"/>
        <w:widowControl/>
        <w:spacing w:line="250" w:lineRule="auto" w:before="19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final stage of the NAM study involved direct comparison between the optimized experimental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Raman spectrum and the DFT-simulated spectrum. This comparison was performed to verify whether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theoretical model accurately reproduced the vibrational fingerprint of N-Acetylmuramic Acid. </w:t>
      </w:r>
    </w:p>
    <w:p>
      <w:pPr>
        <w:autoSpaceDN w:val="0"/>
        <w:autoSpaceDE w:val="0"/>
        <w:widowControl/>
        <w:spacing w:line="252" w:lineRule="auto" w:before="19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Strong correspondence was observed between the two spectra across the major fingerprint regions.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Characteristic peaks associated with ring deformation, carbohydrate vibrations, ether stretching, 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deformation, amide-related modes, and carbonyl stretching were consistently identified in both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datasets. </w:t>
      </w:r>
    </w:p>
    <w:p>
      <w:pPr>
        <w:autoSpaceDN w:val="0"/>
        <w:autoSpaceDE w:val="0"/>
        <w:widowControl/>
        <w:spacing w:line="240" w:lineRule="auto" w:before="180" w:after="0"/>
        <w:ind w:left="14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91659" cy="18986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1659" cy="1898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7" w:lineRule="auto" w:before="202" w:after="0"/>
        <w:ind w:left="432" w:right="57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Figure 4.8: Comparative overlay of experimental and simulated Raman spectra of N-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Acetylmuramic Acid.</w:t>
      </w:r>
    </w:p>
    <w:p>
      <w:pPr>
        <w:autoSpaceDN w:val="0"/>
        <w:autoSpaceDE w:val="0"/>
        <w:widowControl/>
        <w:spacing w:line="197" w:lineRule="auto" w:before="342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13 </w:t>
      </w:r>
    </w:p>
    <w:p>
      <w:pPr>
        <w:sectPr>
          <w:pgSz w:w="11906" w:h="16838"/>
          <w:pgMar w:top="72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4"/>
        <w:ind w:left="0" w:right="0"/>
      </w:pPr>
    </w:p>
    <w:p>
      <w:pPr>
        <w:autoSpaceDN w:val="0"/>
        <w:autoSpaceDE w:val="0"/>
        <w:widowControl/>
        <w:spacing w:line="230" w:lineRule="auto" w:before="0" w:after="184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Representative Peak Matching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8.0" w:type="dxa"/>
      </w:tblPr>
      <w:tblGrid>
        <w:gridCol w:w="3275"/>
        <w:gridCol w:w="3275"/>
        <w:gridCol w:w="3275"/>
      </w:tblGrid>
      <w:tr>
        <w:trPr>
          <w:trHeight w:hRule="exact" w:val="464"/>
        </w:trPr>
        <w:tc>
          <w:tcPr>
            <w:tcW w:type="dxa" w:w="228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Experimental (cm⁻¹) </w:t>
            </w:r>
          </w:p>
        </w:tc>
        <w:tc>
          <w:tcPr>
            <w:tcW w:type="dxa" w:w="192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Simulated (cm⁻¹) </w:t>
            </w:r>
          </w:p>
        </w:tc>
        <w:tc>
          <w:tcPr>
            <w:tcW w:type="dxa" w:w="211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Assignment </w:t>
            </w:r>
          </w:p>
        </w:tc>
      </w:tr>
      <w:tr>
        <w:trPr>
          <w:trHeight w:hRule="exact" w:val="470"/>
        </w:trPr>
        <w:tc>
          <w:tcPr>
            <w:tcW w:type="dxa" w:w="2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284.3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282.5 </w:t>
            </w:r>
          </w:p>
        </w:tc>
        <w:tc>
          <w:tcPr>
            <w:tcW w:type="dxa" w:w="2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Ring deformation </w:t>
            </w:r>
          </w:p>
        </w:tc>
      </w:tr>
      <w:tr>
        <w:trPr>
          <w:trHeight w:hRule="exact" w:val="468"/>
        </w:trPr>
        <w:tc>
          <w:tcPr>
            <w:tcW w:type="dxa" w:w="2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772.7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777.8 </w:t>
            </w:r>
          </w:p>
        </w:tc>
        <w:tc>
          <w:tcPr>
            <w:tcW w:type="dxa" w:w="2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Ring vibration </w:t>
            </w:r>
          </w:p>
        </w:tc>
      </w:tr>
      <w:tr>
        <w:trPr>
          <w:trHeight w:hRule="exact" w:val="468"/>
        </w:trPr>
        <w:tc>
          <w:tcPr>
            <w:tcW w:type="dxa" w:w="2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955.9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965.7 </w:t>
            </w:r>
          </w:p>
        </w:tc>
        <w:tc>
          <w:tcPr>
            <w:tcW w:type="dxa" w:w="2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Ring breathing </w:t>
            </w:r>
          </w:p>
        </w:tc>
      </w:tr>
      <w:tr>
        <w:trPr>
          <w:trHeight w:hRule="exact" w:val="466"/>
        </w:trPr>
        <w:tc>
          <w:tcPr>
            <w:tcW w:type="dxa" w:w="2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1155.4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1156.9 </w:t>
            </w:r>
          </w:p>
        </w:tc>
        <w:tc>
          <w:tcPr>
            <w:tcW w:type="dxa" w:w="2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C–O–C stretching </w:t>
            </w:r>
          </w:p>
        </w:tc>
      </w:tr>
      <w:tr>
        <w:trPr>
          <w:trHeight w:hRule="exact" w:val="470"/>
        </w:trPr>
        <w:tc>
          <w:tcPr>
            <w:tcW w:type="dxa" w:w="2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1345.9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1347.4 </w:t>
            </w:r>
          </w:p>
        </w:tc>
        <w:tc>
          <w:tcPr>
            <w:tcW w:type="dxa" w:w="2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CH deformation </w:t>
            </w:r>
          </w:p>
        </w:tc>
      </w:tr>
      <w:tr>
        <w:trPr>
          <w:trHeight w:hRule="exact" w:val="470"/>
        </w:trPr>
        <w:tc>
          <w:tcPr>
            <w:tcW w:type="dxa" w:w="2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1700.7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1725.1 </w:t>
            </w:r>
          </w:p>
        </w:tc>
        <w:tc>
          <w:tcPr>
            <w:tcW w:type="dxa" w:w="2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Carbonyl stretching 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total of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51 Raman peaks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were matched between the experimental and simulated spectra, indicating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excellent agreement. </w:t>
      </w:r>
    </w:p>
    <w:p>
      <w:pPr>
        <w:autoSpaceDN w:val="0"/>
        <w:autoSpaceDE w:val="0"/>
        <w:widowControl/>
        <w:spacing w:line="230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Error Analysis </w:t>
      </w:r>
    </w:p>
    <w:p>
      <w:pPr>
        <w:autoSpaceDN w:val="0"/>
        <w:autoSpaceDE w:val="0"/>
        <w:widowControl/>
        <w:spacing w:line="250" w:lineRule="auto" w:before="19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Quantitative evaluation of peak positions showed a low root mean square error (RMSE), demonstrating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the selected computational method successfully reproduced the experimental vibrational behavior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NAM. </w:t>
      </w:r>
    </w:p>
    <w:p>
      <w:pPr>
        <w:autoSpaceDN w:val="0"/>
        <w:autoSpaceDE w:val="0"/>
        <w:widowControl/>
        <w:spacing w:line="240" w:lineRule="auto" w:before="182" w:after="0"/>
        <w:ind w:left="56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9890" cy="28346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198" w:after="0"/>
        <w:ind w:left="288" w:right="288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Figure 4.9: Peak matching and error analysis between experimental and simulated NAM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spectra.</w:t>
      </w:r>
    </w:p>
    <w:p>
      <w:pPr>
        <w:autoSpaceDN w:val="0"/>
        <w:autoSpaceDE w:val="0"/>
        <w:widowControl/>
        <w:spacing w:line="230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Scientific Significance </w:t>
      </w:r>
    </w:p>
    <w:p>
      <w:pPr>
        <w:autoSpaceDN w:val="0"/>
        <w:autoSpaceDE w:val="0"/>
        <w:widowControl/>
        <w:spacing w:line="245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validated Raman fingerprint of NAM is important because it can serve as a reference for future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studies involving: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19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Bacterial cell wall biomarker detection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19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Mixed biomolecular samples </w:t>
      </w:r>
    </w:p>
    <w:p>
      <w:pPr>
        <w:autoSpaceDN w:val="0"/>
        <w:autoSpaceDE w:val="0"/>
        <w:widowControl/>
        <w:spacing w:line="197" w:lineRule="auto" w:before="376" w:after="0"/>
        <w:ind w:left="0" w:right="2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14 </w:t>
      </w:r>
    </w:p>
    <w:p>
      <w:pPr>
        <w:sectPr>
          <w:pgSz w:w="11906" w:h="16838"/>
          <w:pgMar w:top="954" w:right="1000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30" w:lineRule="auto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SERS-based biosensor development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19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Machine learning spectral classification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19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Rapid infection and sepsis diagnostics </w:t>
      </w:r>
    </w:p>
    <w:p>
      <w:pPr>
        <w:autoSpaceDN w:val="0"/>
        <w:autoSpaceDE w:val="0"/>
        <w:widowControl/>
        <w:spacing w:line="230" w:lineRule="auto" w:before="1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Conclusion </w:t>
      </w:r>
    </w:p>
    <w:p>
      <w:pPr>
        <w:autoSpaceDN w:val="0"/>
        <w:autoSpaceDE w:val="0"/>
        <w:widowControl/>
        <w:spacing w:line="252" w:lineRule="auto" w:before="19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study established a robust Raman reference spectrum of N-Acetylmuramic Acid through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combined computational and experimental analysis. The strong agreement between simulation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measurement confirms that Raman spectroscopy integrated with DFT modelling is a reliable strategy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biomarker validation and future diagnostic sensor development. </w:t>
      </w:r>
    </w:p>
    <w:p>
      <w:pPr>
        <w:autoSpaceDN w:val="0"/>
        <w:autoSpaceDE w:val="0"/>
        <w:widowControl/>
        <w:spacing w:line="230" w:lineRule="auto" w:before="11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4.3 Work Completed on Lipoteichoic Acid (LTA) </w:t>
      </w:r>
    </w:p>
    <w:p>
      <w:pPr>
        <w:autoSpaceDN w:val="0"/>
        <w:autoSpaceDE w:val="0"/>
        <w:widowControl/>
        <w:spacing w:line="254" w:lineRule="auto" w:before="19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Lipoteichoic Acid (LTA) is a major structural component of the cell wall of Gram-positive bacteria. 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 composed of repeating glycerol-phosphate or ribitol-phosphate units anchored to the bacterial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membrane and may contain substitutions such as D-alanine and carbohydrate groups. LTA plays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important role in bacterial physiology, surface charge regulation, immune recognition, and host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inflammatory response. </w:t>
      </w:r>
    </w:p>
    <w:p>
      <w:pPr>
        <w:autoSpaceDN w:val="0"/>
        <w:autoSpaceDE w:val="0"/>
        <w:widowControl/>
        <w:spacing w:line="250" w:lineRule="auto" w:before="19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Because Gram-positive bacterial infections are clinically relevant in sepsis, LTA was selected as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important biomarker for Raman-based investigation. Detection of LTA-associated spectral signatures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 support differentiation of bacterial infection types and future rapid diagnostic systems. </w:t>
      </w:r>
    </w:p>
    <w:p>
      <w:pPr>
        <w:autoSpaceDN w:val="0"/>
        <w:autoSpaceDE w:val="0"/>
        <w:widowControl/>
        <w:spacing w:line="254" w:lineRule="auto" w:before="19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Direct quantum mechanical simulation of intact LTA is computationally challenging because it is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large and heterogeneous polymer. Therefore, 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fragment-based modelling strategy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was adopted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work. Representative molecular units corresponding to the main structural motifs of LTA were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individually simulated and later combined to reconstruct an approximate theoretical Raman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fingerprint. </w:t>
      </w:r>
    </w:p>
    <w:p>
      <w:pPr>
        <w:autoSpaceDN w:val="0"/>
        <w:autoSpaceDE w:val="0"/>
        <w:widowControl/>
        <w:spacing w:line="230" w:lineRule="auto" w:before="1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three selected fragments were: </w:t>
      </w:r>
    </w:p>
    <w:p>
      <w:pPr>
        <w:autoSpaceDN w:val="0"/>
        <w:autoSpaceDE w:val="0"/>
        <w:widowControl/>
        <w:spacing w:line="230" w:lineRule="auto" w:before="19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Glycerol-Phosphate (backbone model) </w:t>
      </w:r>
    </w:p>
    <w:p>
      <w:pPr>
        <w:autoSpaceDN w:val="0"/>
        <w:autoSpaceDE w:val="0"/>
        <w:widowControl/>
        <w:spacing w:line="230" w:lineRule="auto" w:before="192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D-Alanine (amino substituent model) </w:t>
      </w:r>
    </w:p>
    <w:p>
      <w:pPr>
        <w:autoSpaceDN w:val="0"/>
        <w:autoSpaceDE w:val="0"/>
        <w:widowControl/>
        <w:spacing w:line="230" w:lineRule="auto" w:before="192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N-Acetyl-D-Glucosamine (GlcNAc) (carbohydrate model) </w:t>
      </w:r>
    </w:p>
    <w:p>
      <w:pPr>
        <w:autoSpaceDN w:val="0"/>
        <w:autoSpaceDE w:val="0"/>
        <w:widowControl/>
        <w:spacing w:line="245" w:lineRule="auto" w:before="1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approach provides a practical balance between scientific interpretability and computational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feasibility. </w:t>
      </w:r>
    </w:p>
    <w:p>
      <w:pPr>
        <w:autoSpaceDN w:val="0"/>
        <w:autoSpaceDE w:val="0"/>
        <w:widowControl/>
        <w:spacing w:line="240" w:lineRule="auto" w:before="180" w:after="0"/>
        <w:ind w:left="0" w:right="335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802130" cy="107060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02130" cy="107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1018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 </w:t>
      </w:r>
    </w:p>
    <w:p>
      <w:pPr>
        <w:sectPr>
          <w:pgSz w:w="11906" w:h="16838"/>
          <w:pgMar w:top="72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376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Glycerol-Phosphate</w:t>
      </w:r>
    </w:p>
    <w:p>
      <w:pPr>
        <w:autoSpaceDN w:val="0"/>
        <w:autoSpaceDE w:val="0"/>
        <w:widowControl/>
        <w:spacing w:line="240" w:lineRule="auto" w:before="138" w:after="0"/>
        <w:ind w:left="0" w:right="33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866900" cy="16078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607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48" w:after="0"/>
        <w:ind w:left="0" w:right="418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D-Alanine </w:t>
      </w:r>
    </w:p>
    <w:p>
      <w:pPr>
        <w:autoSpaceDN w:val="0"/>
        <w:autoSpaceDE w:val="0"/>
        <w:widowControl/>
        <w:spacing w:line="240" w:lineRule="auto" w:before="298" w:after="0"/>
        <w:ind w:left="0" w:right="335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807210" cy="11620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7210" cy="116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308" w:after="0"/>
        <w:ind w:left="0" w:right="436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GlcNAc</w:t>
      </w:r>
    </w:p>
    <w:p>
      <w:pPr>
        <w:autoSpaceDN w:val="0"/>
        <w:autoSpaceDE w:val="0"/>
        <w:widowControl/>
        <w:spacing w:line="245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Figure 4.10: Representative fragment models used for theoretical simulation of Lipoteichoic Acid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(LTA).</w:t>
      </w:r>
    </w:p>
    <w:p>
      <w:pPr>
        <w:autoSpaceDN w:val="0"/>
        <w:autoSpaceDE w:val="0"/>
        <w:widowControl/>
        <w:spacing w:line="230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Importance of Fragment-Based Modelling </w:t>
      </w:r>
    </w:p>
    <w:p>
      <w:pPr>
        <w:autoSpaceDN w:val="0"/>
        <w:autoSpaceDE w:val="0"/>
        <w:widowControl/>
        <w:spacing w:line="230" w:lineRule="auto" w:before="1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fragment strategy enables: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19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Reduced computational cost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19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Separate interpretation of chemical regions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19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Flexible weighted combination of spectra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19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Better understanding of phosphate, amino acid, and carbohydrate bands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19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scalable framework for future complex biomolecular modelling </w:t>
      </w:r>
    </w:p>
    <w:p>
      <w:pPr>
        <w:autoSpaceDN w:val="0"/>
        <w:autoSpaceDE w:val="0"/>
        <w:widowControl/>
        <w:spacing w:line="230" w:lineRule="auto" w:before="1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4.3.1 Computational Methodology for LTA Fragment Simulation </w:t>
      </w:r>
    </w:p>
    <w:p>
      <w:pPr>
        <w:autoSpaceDN w:val="0"/>
        <w:autoSpaceDE w:val="0"/>
        <w:widowControl/>
        <w:spacing w:line="252" w:lineRule="auto" w:before="19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theoretical Raman simulations for the selected LTA fragments were performed using Density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Functional Theory (DFT). Geometry optimization and vibrational frequency calculations were carried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out for each fragment independently. This allowed extraction of Raman-active modes associated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major structural components of LTA. </w:t>
      </w:r>
    </w:p>
    <w:p>
      <w:pPr>
        <w:autoSpaceDN w:val="0"/>
        <w:autoSpaceDE w:val="0"/>
        <w:widowControl/>
        <w:spacing w:line="252" w:lineRule="auto" w:before="19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Gaussian 16 was used as the primary quantum chemistry software. The B3LYP functional with the 6-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31G(d) basis set was selected because it provides reliable vibrational predictions with manageable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computational cost. To better represent aqueous biological environments, an implicit solvent model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(SMD, water) was applied. </w:t>
      </w:r>
    </w:p>
    <w:p>
      <w:pPr>
        <w:autoSpaceDN w:val="0"/>
        <w:autoSpaceDE w:val="0"/>
        <w:widowControl/>
        <w:spacing w:line="230" w:lineRule="auto" w:before="1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Common Simulation Parameters </w:t>
      </w:r>
    </w:p>
    <w:p>
      <w:pPr>
        <w:autoSpaceDN w:val="0"/>
        <w:autoSpaceDE w:val="0"/>
        <w:widowControl/>
        <w:spacing w:line="197" w:lineRule="auto" w:before="440" w:after="0"/>
        <w:ind w:left="0" w:right="2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16 </w:t>
      </w:r>
    </w:p>
    <w:p>
      <w:pPr>
        <w:sectPr>
          <w:pgSz w:w="11906" w:h="16838"/>
          <w:pgMar w:top="724" w:right="1000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6.0000000000002" w:type="dxa"/>
      </w:tblPr>
      <w:tblGrid>
        <w:gridCol w:w="4914"/>
        <w:gridCol w:w="4914"/>
      </w:tblGrid>
      <w:tr>
        <w:trPr>
          <w:trHeight w:hRule="exact" w:val="470"/>
        </w:trPr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Parameter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Setting </w:t>
            </w:r>
          </w:p>
        </w:tc>
      </w:tr>
      <w:tr>
        <w:trPr>
          <w:trHeight w:hRule="exact" w:val="466"/>
        </w:trPr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Method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DFT </w:t>
            </w:r>
          </w:p>
        </w:tc>
      </w:tr>
      <w:tr>
        <w:trPr>
          <w:trHeight w:hRule="exact" w:val="468"/>
        </w:trPr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Functional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B3LYP </w:t>
            </w:r>
          </w:p>
        </w:tc>
      </w:tr>
      <w:tr>
        <w:trPr>
          <w:trHeight w:hRule="exact" w:val="468"/>
        </w:trPr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Basis Set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6-31G(d) </w:t>
            </w:r>
          </w:p>
        </w:tc>
      </w:tr>
      <w:tr>
        <w:trPr>
          <w:trHeight w:hRule="exact" w:val="468"/>
        </w:trPr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Job Type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Optimization + Frequency + Raman </w:t>
            </w:r>
          </w:p>
        </w:tc>
      </w:tr>
      <w:tr>
        <w:trPr>
          <w:trHeight w:hRule="exact" w:val="470"/>
        </w:trPr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Solvation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SMD (Water) </w:t>
            </w:r>
          </w:p>
        </w:tc>
      </w:tr>
      <w:tr>
        <w:trPr>
          <w:trHeight w:hRule="exact" w:val="464"/>
        </w:trPr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Grid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UltraFine </w:t>
            </w:r>
          </w:p>
        </w:tc>
      </w:tr>
      <w:tr>
        <w:trPr>
          <w:trHeight w:hRule="exact" w:val="470"/>
        </w:trPr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SCF Convergence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Tight </w:t>
            </w:r>
          </w:p>
        </w:tc>
      </w:tr>
    </w:tbl>
    <w:p>
      <w:pPr>
        <w:autoSpaceDN w:val="0"/>
        <w:tabs>
          <w:tab w:pos="360" w:val="left"/>
        </w:tabs>
        <w:autoSpaceDE w:val="0"/>
        <w:widowControl/>
        <w:spacing w:line="367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each fragment, the computational workflow included: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Molecular structure preparation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Preliminary geometry refinement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Geometry optimization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Frequency calculation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Raman activity extraction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Frequency scaling and normalization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Spectral plotting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calculated frequencies were corrected using a standard scaling factor (0.96–0.97 range) to reduce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harmonic overestimation and improve comparison with experimental data.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58" w:lineRule="auto" w:before="192" w:after="0"/>
        <w:ind w:left="0" w:right="37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Individual Fragment Significance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Glycerol-Phosphate: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phosphate backbone vibrations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D-Alanine: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amino acid and zwitterionic features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GlcNAc: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carbohydrate and acetyl-group contributions </w:t>
      </w:r>
    </w:p>
    <w:p>
      <w:pPr>
        <w:autoSpaceDN w:val="0"/>
        <w:autoSpaceDE w:val="0"/>
        <w:widowControl/>
        <w:spacing w:line="197" w:lineRule="auto" w:before="4376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17 </w:t>
      </w:r>
    </w:p>
    <w:p>
      <w:pPr>
        <w:sectPr>
          <w:pgSz w:w="11906" w:h="16838"/>
          <w:pgMar w:top="720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70270" cy="533019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533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20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Figure 4.11: Simulated Raman spectra of individual LTA fragments: Glycerol-Phosphate, D-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Alanine, and GlcNAc.</w:t>
      </w:r>
    </w:p>
    <w:p>
      <w:pPr>
        <w:autoSpaceDN w:val="0"/>
        <w:autoSpaceDE w:val="0"/>
        <w:widowControl/>
        <w:spacing w:line="230" w:lineRule="auto" w:before="1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Scientific Value of This Step </w:t>
      </w:r>
    </w:p>
    <w:p>
      <w:pPr>
        <w:autoSpaceDN w:val="0"/>
        <w:autoSpaceDE w:val="0"/>
        <w:widowControl/>
        <w:spacing w:line="245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Independent fragment simulations made it possible to assign which chemical component contributes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specific Raman regions, improving interpretation of the final composite spectrum. </w:t>
      </w:r>
    </w:p>
    <w:p>
      <w:pPr>
        <w:autoSpaceDN w:val="0"/>
        <w:autoSpaceDE w:val="0"/>
        <w:widowControl/>
        <w:spacing w:line="230" w:lineRule="auto" w:before="1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4.3.2 Raman Features of Individual LTA Fragments </w:t>
      </w:r>
    </w:p>
    <w:p>
      <w:pPr>
        <w:autoSpaceDN w:val="0"/>
        <w:autoSpaceDE w:val="0"/>
        <w:widowControl/>
        <w:spacing w:line="250" w:lineRule="auto" w:before="19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simulated spectra of the three selected fragments revealed distinct Raman-active regions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corresponding to their chemical structures. These results were used to interpret the final LTA composite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spectrum and identify major functional contributions. </w:t>
      </w:r>
    </w:p>
    <w:p>
      <w:pPr>
        <w:autoSpaceDN w:val="0"/>
        <w:autoSpaceDE w:val="0"/>
        <w:widowControl/>
        <w:spacing w:line="230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Glycerol-Phosphate (Backbone Model) </w:t>
      </w:r>
    </w:p>
    <w:p>
      <w:pPr>
        <w:autoSpaceDN w:val="0"/>
        <w:autoSpaceDE w:val="0"/>
        <w:widowControl/>
        <w:spacing w:line="250" w:lineRule="auto" w:before="19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Glycerol-phosphate represents the phosphate-rich repeating backbone of Lipoteichoic Acid. 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spectrum showed strong contributions in regions commonly associated with phosphate vibrations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C–O linkages. </w:t>
      </w:r>
    </w:p>
    <w:p>
      <w:pPr>
        <w:autoSpaceDN w:val="0"/>
        <w:autoSpaceDE w:val="0"/>
        <w:widowControl/>
        <w:spacing w:line="197" w:lineRule="auto" w:before="804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18 </w:t>
      </w:r>
    </w:p>
    <w:p>
      <w:pPr>
        <w:sectPr>
          <w:pgSz w:w="11906" w:h="16838"/>
          <w:pgMar w:top="720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2.0" w:type="dxa"/>
      </w:tblPr>
      <w:tblGrid>
        <w:gridCol w:w="4914"/>
        <w:gridCol w:w="4914"/>
      </w:tblGrid>
      <w:tr>
        <w:trPr>
          <w:trHeight w:hRule="exact" w:val="470"/>
        </w:trPr>
        <w:tc>
          <w:tcPr>
            <w:tcW w:type="dxa" w:w="16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Region (cm⁻¹) </w:t>
            </w:r>
          </w:p>
        </w:tc>
        <w:tc>
          <w:tcPr>
            <w:tcW w:type="dxa" w:w="3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Major Interpretation </w:t>
            </w:r>
          </w:p>
        </w:tc>
      </w:tr>
      <w:tr>
        <w:trPr>
          <w:trHeight w:hRule="exact" w:val="466"/>
        </w:trPr>
        <w:tc>
          <w:tcPr>
            <w:tcW w:type="dxa" w:w="16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700–900 </w:t>
            </w:r>
          </w:p>
        </w:tc>
        <w:tc>
          <w:tcPr>
            <w:tcW w:type="dxa" w:w="3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P–O–C vibrations </w:t>
            </w:r>
          </w:p>
        </w:tc>
      </w:tr>
      <w:tr>
        <w:trPr>
          <w:trHeight w:hRule="exact" w:val="468"/>
        </w:trPr>
        <w:tc>
          <w:tcPr>
            <w:tcW w:type="dxa" w:w="16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900–1100 </w:t>
            </w:r>
          </w:p>
        </w:tc>
        <w:tc>
          <w:tcPr>
            <w:tcW w:type="dxa" w:w="3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Phosphate stretching / C–O modes </w:t>
            </w:r>
          </w:p>
        </w:tc>
      </w:tr>
      <w:tr>
        <w:trPr>
          <w:trHeight w:hRule="exact" w:val="468"/>
        </w:trPr>
        <w:tc>
          <w:tcPr>
            <w:tcW w:type="dxa" w:w="16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1170–1300 </w:t>
            </w:r>
          </w:p>
        </w:tc>
        <w:tc>
          <w:tcPr>
            <w:tcW w:type="dxa" w:w="3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Hydroxyl deformation </w:t>
            </w:r>
          </w:p>
        </w:tc>
      </w:tr>
      <w:tr>
        <w:trPr>
          <w:trHeight w:hRule="exact" w:val="468"/>
        </w:trPr>
        <w:tc>
          <w:tcPr>
            <w:tcW w:type="dxa" w:w="16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1360–1490 </w:t>
            </w:r>
          </w:p>
        </w:tc>
        <w:tc>
          <w:tcPr>
            <w:tcW w:type="dxa" w:w="3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CH₂ / skeletal modes </w:t>
            </w:r>
          </w:p>
        </w:tc>
      </w:tr>
    </w:tbl>
    <w:p>
      <w:pPr>
        <w:autoSpaceDN w:val="0"/>
        <w:autoSpaceDE w:val="0"/>
        <w:widowControl/>
        <w:spacing w:line="245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bands are important because phosphate-related peaks are characteristic markers of teichoic acid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structures. </w:t>
      </w:r>
    </w:p>
    <w:p>
      <w:pPr>
        <w:autoSpaceDN w:val="0"/>
        <w:autoSpaceDE w:val="0"/>
        <w:widowControl/>
        <w:spacing w:line="295" w:lineRule="auto" w:before="194" w:after="18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D-Alanine (Amino Substituent Model)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D-Alanine contributes amino acid signatures not captured by the phosphate backbone alone. It helps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explain methyl, amine, and carboxylate-related Raman bands.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76.0" w:type="dxa"/>
      </w:tblPr>
      <w:tblGrid>
        <w:gridCol w:w="4914"/>
        <w:gridCol w:w="4914"/>
      </w:tblGrid>
      <w:tr>
        <w:trPr>
          <w:trHeight w:hRule="exact" w:val="470"/>
        </w:trPr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Region (cm⁻¹) </w:t>
            </w:r>
          </w:p>
        </w:tc>
        <w:tc>
          <w:tcPr>
            <w:tcW w:type="dxa" w:w="3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Major Interpretation </w:t>
            </w:r>
          </w:p>
        </w:tc>
      </w:tr>
      <w:tr>
        <w:trPr>
          <w:trHeight w:hRule="exact" w:val="466"/>
        </w:trPr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500–650 </w:t>
            </w:r>
          </w:p>
        </w:tc>
        <w:tc>
          <w:tcPr>
            <w:tcW w:type="dxa" w:w="3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Skeletal deformation / COO⁻ rocking </w:t>
            </w:r>
          </w:p>
        </w:tc>
      </w:tr>
      <w:tr>
        <w:trPr>
          <w:trHeight w:hRule="exact" w:val="470"/>
        </w:trPr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1150–1250 </w:t>
            </w:r>
          </w:p>
        </w:tc>
        <w:tc>
          <w:tcPr>
            <w:tcW w:type="dxa" w:w="3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C–N stretching </w:t>
            </w:r>
          </w:p>
        </w:tc>
      </w:tr>
      <w:tr>
        <w:trPr>
          <w:trHeight w:hRule="exact" w:val="468"/>
        </w:trPr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1280–1380 </w:t>
            </w:r>
          </w:p>
        </w:tc>
        <w:tc>
          <w:tcPr>
            <w:tcW w:type="dxa" w:w="3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CH₃ deformation </w:t>
            </w:r>
          </w:p>
        </w:tc>
      </w:tr>
      <w:tr>
        <w:trPr>
          <w:trHeight w:hRule="exact" w:val="466"/>
        </w:trPr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1485–1670 </w:t>
            </w:r>
          </w:p>
        </w:tc>
        <w:tc>
          <w:tcPr>
            <w:tcW w:type="dxa" w:w="3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NH₃⁺ / coupled amino modes </w:t>
            </w:r>
          </w:p>
        </w:tc>
      </w:tr>
    </w:tbl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fragment is especially relevant for substituted LTA structures found in Gram-positive bacteria. </w:t>
      </w:r>
    </w:p>
    <w:p>
      <w:pPr>
        <w:autoSpaceDN w:val="0"/>
        <w:autoSpaceDE w:val="0"/>
        <w:widowControl/>
        <w:spacing w:line="295" w:lineRule="auto" w:before="192" w:after="18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GlcNAc (Carbohydrate Model)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GlcNAc provides sugar-ring and acetyl-group features relevant to carbohydrate-associated spectral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regions.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76.0" w:type="dxa"/>
      </w:tblPr>
      <w:tblGrid>
        <w:gridCol w:w="4914"/>
        <w:gridCol w:w="4914"/>
      </w:tblGrid>
      <w:tr>
        <w:trPr>
          <w:trHeight w:hRule="exact" w:val="470"/>
        </w:trPr>
        <w:tc>
          <w:tcPr>
            <w:tcW w:type="dxa" w:w="1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Region (cm⁻¹) </w:t>
            </w:r>
          </w:p>
        </w:tc>
        <w:tc>
          <w:tcPr>
            <w:tcW w:type="dxa" w:w="27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Major Interpretation </w:t>
            </w:r>
          </w:p>
        </w:tc>
      </w:tr>
      <w:tr>
        <w:trPr>
          <w:trHeight w:hRule="exact" w:val="468"/>
        </w:trPr>
        <w:tc>
          <w:tcPr>
            <w:tcW w:type="dxa" w:w="1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900–1100 </w:t>
            </w:r>
          </w:p>
        </w:tc>
        <w:tc>
          <w:tcPr>
            <w:tcW w:type="dxa" w:w="27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C–O–C / sugar ring modes </w:t>
            </w:r>
          </w:p>
        </w:tc>
      </w:tr>
      <w:tr>
        <w:trPr>
          <w:trHeight w:hRule="exact" w:val="468"/>
        </w:trPr>
        <w:tc>
          <w:tcPr>
            <w:tcW w:type="dxa" w:w="160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1250–1310 </w:t>
            </w:r>
          </w:p>
        </w:tc>
        <w:tc>
          <w:tcPr>
            <w:tcW w:type="dxa" w:w="2790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Amide III </w:t>
            </w:r>
          </w:p>
        </w:tc>
      </w:tr>
      <w:tr>
        <w:trPr>
          <w:trHeight w:hRule="exact" w:val="468"/>
        </w:trPr>
        <w:tc>
          <w:tcPr>
            <w:tcW w:type="dxa" w:w="1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1320–1480 </w:t>
            </w:r>
          </w:p>
        </w:tc>
        <w:tc>
          <w:tcPr>
            <w:tcW w:type="dxa" w:w="27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CH / OH deformation </w:t>
            </w:r>
          </w:p>
        </w:tc>
      </w:tr>
      <w:tr>
        <w:trPr>
          <w:trHeight w:hRule="exact" w:val="468"/>
        </w:trPr>
        <w:tc>
          <w:tcPr>
            <w:tcW w:type="dxa" w:w="1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1630–1680 </w:t>
            </w:r>
          </w:p>
        </w:tc>
        <w:tc>
          <w:tcPr>
            <w:tcW w:type="dxa" w:w="27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Amide I (C=O stretching) 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peaks improve interpretation of mixed glycan and amide regions in the reconstructed LTA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spectrum.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65" w:lineRule="auto" w:before="192" w:after="0"/>
        <w:ind w:left="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Outcome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three-fragment model successfully captured the major chemical domains of LTA: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Phosphate backbone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Amino substituents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Carbohydrate contributions </w:t>
      </w:r>
    </w:p>
    <w:p>
      <w:pPr>
        <w:autoSpaceDN w:val="0"/>
        <w:autoSpaceDE w:val="0"/>
        <w:widowControl/>
        <w:spacing w:line="197" w:lineRule="auto" w:before="646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 </w:t>
      </w:r>
    </w:p>
    <w:p>
      <w:pPr>
        <w:sectPr>
          <w:pgSz w:w="11906" w:h="16838"/>
          <w:pgMar w:top="720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formed the basis for theoretical spectrum reconstruction. </w:t>
      </w:r>
    </w:p>
    <w:p>
      <w:pPr>
        <w:autoSpaceDN w:val="0"/>
        <w:autoSpaceDE w:val="0"/>
        <w:widowControl/>
        <w:spacing w:line="281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4.3.3 Generation of Composite LTA Spectrum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Since Lipoteichoic Acid is a complex polymer, its Raman spectrum arises from the combined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contribution of multiple structural units rather than a single isolated molecule. Therefore, a composite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theoretical spectrum was generated by mathematically combining the processed spectra of the three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simulated fragments. </w:t>
      </w:r>
    </w:p>
    <w:p>
      <w:pPr>
        <w:autoSpaceDN w:val="0"/>
        <w:tabs>
          <w:tab w:pos="360" w:val="left"/>
        </w:tabs>
        <w:autoSpaceDE w:val="0"/>
        <w:widowControl/>
        <w:spacing w:line="348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three contributors used in the model were: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Glycerol-Phosphate – backbone component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D-Alanine – amino substituent component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GlcNAc – carbohydrate component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Before combination, all spectra were standardized using the same Raman shift axis, normalized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intensity scale, and selected fingerprint region. </w:t>
      </w:r>
    </w:p>
    <w:p>
      <w:pPr>
        <w:autoSpaceDN w:val="0"/>
        <w:autoSpaceDE w:val="0"/>
        <w:widowControl/>
        <w:spacing w:line="314" w:lineRule="auto" w:before="192" w:after="0"/>
        <w:ind w:left="0" w:right="547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Mathematical Model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composite spectrum was represented as: </w:t>
      </w:r>
    </w:p>
    <w:p>
      <w:pPr>
        <w:autoSpaceDN w:val="0"/>
        <w:autoSpaceDE w:val="0"/>
        <w:widowControl/>
        <w:spacing w:line="233" w:lineRule="auto" w:before="226" w:after="0"/>
        <w:ind w:left="0" w:right="0" w:firstLine="0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4"/>
        </w:rPr>
        <w:t>𝐼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𝐿𝑇𝐴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= 𝑤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1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(𝐼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𝐺𝑃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) + 𝑤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(𝐼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𝐷𝐴𝑙𝑎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) + 𝑤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3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(𝐼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𝐺𝑙𝑐𝑁𝐴𝑐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62" w:lineRule="auto" w:before="45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Where: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𝐼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𝐿𝑇𝐴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= reconstructed theoretical LTA spectrum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𝐼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𝐺𝑃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= glycerol-phosphate spectrum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𝐼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𝐷𝐴𝑙𝑎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= D-alanine spectrum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br/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𝐼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𝐺𝑙𝑐𝑁𝐴𝑐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= GlcNAc spectrum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𝑤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1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, 𝑤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, 𝑤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= contribution weights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Weight Optimization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 equal-weight model was first tested. Subsequently, optimized weights were estimated using Non-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Negative Least Squares (NNLS) to improve agreement with the measured experimental spectrum. </w:t>
      </w:r>
    </w:p>
    <w:p>
      <w:pPr>
        <w:autoSpaceDN w:val="0"/>
        <w:autoSpaceDE w:val="0"/>
        <w:widowControl/>
        <w:spacing w:line="230" w:lineRule="auto" w:before="192" w:after="18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Example Contribution Trend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22.0" w:type="dxa"/>
      </w:tblPr>
      <w:tblGrid>
        <w:gridCol w:w="4913"/>
        <w:gridCol w:w="4913"/>
      </w:tblGrid>
      <w:tr>
        <w:trPr>
          <w:trHeight w:hRule="exact" w:val="468"/>
        </w:trPr>
        <w:tc>
          <w:tcPr>
            <w:tcW w:type="dxa" w:w="21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Component </w:t>
            </w:r>
          </w:p>
        </w:tc>
        <w:tc>
          <w:tcPr>
            <w:tcW w:type="dxa" w:w="29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Approximate Contribution </w:t>
            </w:r>
          </w:p>
        </w:tc>
      </w:tr>
      <w:tr>
        <w:trPr>
          <w:trHeight w:hRule="exact" w:val="468"/>
        </w:trPr>
        <w:tc>
          <w:tcPr>
            <w:tcW w:type="dxa" w:w="21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Glycerol-Phosphate </w:t>
            </w:r>
          </w:p>
        </w:tc>
        <w:tc>
          <w:tcPr>
            <w:tcW w:type="dxa" w:w="29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20–25% </w:t>
            </w:r>
          </w:p>
        </w:tc>
      </w:tr>
      <w:tr>
        <w:trPr>
          <w:trHeight w:hRule="exact" w:val="470"/>
        </w:trPr>
        <w:tc>
          <w:tcPr>
            <w:tcW w:type="dxa" w:w="21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D-Alanine </w:t>
            </w:r>
          </w:p>
        </w:tc>
        <w:tc>
          <w:tcPr>
            <w:tcW w:type="dxa" w:w="29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34–40% </w:t>
            </w:r>
          </w:p>
        </w:tc>
      </w:tr>
      <w:tr>
        <w:trPr>
          <w:trHeight w:hRule="exact" w:val="468"/>
        </w:trPr>
        <w:tc>
          <w:tcPr>
            <w:tcW w:type="dxa" w:w="21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GlcNAc </w:t>
            </w:r>
          </w:p>
        </w:tc>
        <w:tc>
          <w:tcPr>
            <w:tcW w:type="dxa" w:w="29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40–43% 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values indicate that multiple structural motifs contribute significantly to the final Raman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response. </w:t>
      </w:r>
    </w:p>
    <w:p>
      <w:pPr>
        <w:autoSpaceDN w:val="0"/>
        <w:autoSpaceDE w:val="0"/>
        <w:widowControl/>
        <w:spacing w:line="197" w:lineRule="auto" w:before="764" w:after="0"/>
        <w:ind w:left="0" w:right="2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 </w:t>
      </w:r>
    </w:p>
    <w:p>
      <w:pPr>
        <w:sectPr>
          <w:pgSz w:w="11906" w:h="16838"/>
          <w:pgMar w:top="724" w:right="1000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5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64860" cy="19151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191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204" w:after="0"/>
        <w:ind w:left="288" w:right="288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Figure 4.12: Composite theoretical Raman spectrum of Lipoteichoic Acid generated from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weighted combination of simulated fragments.</w:t>
      </w:r>
    </w:p>
    <w:p>
      <w:pPr>
        <w:autoSpaceDN w:val="0"/>
        <w:autoSpaceDE w:val="0"/>
        <w:widowControl/>
        <w:spacing w:line="230" w:lineRule="auto" w:before="1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Scientific Importance </w:t>
      </w:r>
    </w:p>
    <w:p>
      <w:pPr>
        <w:autoSpaceDN w:val="0"/>
        <w:autoSpaceDE w:val="0"/>
        <w:widowControl/>
        <w:spacing w:line="245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composite strategy demonstrates how molecular fragments can be integrated to model large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biomolecules that are otherwise difficult to simulate directly using conventional quantum methods. </w:t>
      </w:r>
    </w:p>
    <w:p>
      <w:pPr>
        <w:autoSpaceDN w:val="0"/>
        <w:autoSpaceDE w:val="0"/>
        <w:widowControl/>
        <w:spacing w:line="230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4.3.4 Experimental Validation of LTA Model </w:t>
      </w:r>
    </w:p>
    <w:p>
      <w:pPr>
        <w:autoSpaceDN w:val="0"/>
        <w:autoSpaceDE w:val="0"/>
        <w:widowControl/>
        <w:spacing w:line="252" w:lineRule="auto" w:before="19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Experimental Raman measurements were performed on the prepared LTA-related sample to compare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real spectral behavior with the fragment-based theoretical model. The measured data were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preprocessed using standard procedures such as spectral window selection, baseline correction,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smoothing (if required), and Min–Max normalization. </w:t>
      </w:r>
    </w:p>
    <w:p>
      <w:pPr>
        <w:autoSpaceDN w:val="0"/>
        <w:autoSpaceDE w:val="0"/>
        <w:widowControl/>
        <w:spacing w:line="245" w:lineRule="auto" w:before="1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purpose of this stage was to determine whether the simulated fragment combination could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reproduce the key chemical regions observed in the experimental spectrum. </w:t>
      </w:r>
    </w:p>
    <w:p>
      <w:pPr>
        <w:autoSpaceDN w:val="0"/>
        <w:autoSpaceDE w:val="0"/>
        <w:widowControl/>
        <w:spacing w:line="230" w:lineRule="auto" w:before="1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Overlay Comparison </w:t>
      </w:r>
    </w:p>
    <w:p>
      <w:pPr>
        <w:autoSpaceDN w:val="0"/>
        <w:autoSpaceDE w:val="0"/>
        <w:widowControl/>
        <w:spacing w:line="250" w:lineRule="auto" w:before="19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normalized experimental spectrum was overlaid with the reconstructed theoretical spectrum.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Visual comparison showed agreement in several important Raman regions associated with phosphate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vibrations, carbohydrate bands, CH deformation modes, and amide-related features. </w:t>
      </w:r>
    </w:p>
    <w:p>
      <w:pPr>
        <w:autoSpaceDN w:val="0"/>
        <w:autoSpaceDE w:val="0"/>
        <w:widowControl/>
        <w:spacing w:line="197" w:lineRule="auto" w:before="5124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21 </w:t>
      </w:r>
    </w:p>
    <w:p>
      <w:pPr>
        <w:sectPr>
          <w:pgSz w:w="11906" w:h="16838"/>
          <w:pgMar w:top="720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88709" cy="30607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09" cy="306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4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Figure 4.13: Comparison of experimental Raman spectrum with reconstructed theoretical LTA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spectrum.</w:t>
      </w:r>
    </w:p>
    <w:p>
      <w:pPr>
        <w:autoSpaceDN w:val="0"/>
        <w:autoSpaceDE w:val="0"/>
        <w:widowControl/>
        <w:spacing w:line="230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Quantitative Fitting Metrics </w:t>
      </w:r>
    </w:p>
    <w:p>
      <w:pPr>
        <w:autoSpaceDN w:val="0"/>
        <w:autoSpaceDE w:val="0"/>
        <w:widowControl/>
        <w:spacing w:line="230" w:lineRule="auto" w:before="194" w:after="182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evaluate model performance, statistical fitting parameters were considered.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8.0" w:type="dxa"/>
      </w:tblPr>
      <w:tblGrid>
        <w:gridCol w:w="3275"/>
        <w:gridCol w:w="3275"/>
        <w:gridCol w:w="3275"/>
      </w:tblGrid>
      <w:tr>
        <w:trPr>
          <w:trHeight w:hRule="exact" w:val="470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Metric </w:t>
            </w:r>
          </w:p>
        </w:tc>
        <w:tc>
          <w:tcPr>
            <w:tcW w:type="dxa" w:w="2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Interpretation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Desired Trend </w:t>
            </w:r>
          </w:p>
        </w:tc>
      </w:tr>
      <w:tr>
        <w:trPr>
          <w:trHeight w:hRule="exact" w:val="466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RMSE </w:t>
            </w:r>
          </w:p>
        </w:tc>
        <w:tc>
          <w:tcPr>
            <w:tcW w:type="dxa" w:w="2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Average fitting error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Lower </w:t>
            </w:r>
          </w:p>
        </w:tc>
      </w:tr>
      <w:tr>
        <w:trPr>
          <w:trHeight w:hRule="exact" w:val="468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R² </w:t>
            </w:r>
          </w:p>
        </w:tc>
        <w:tc>
          <w:tcPr>
            <w:tcW w:type="dxa" w:w="2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Variance explained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Higher </w:t>
            </w:r>
          </w:p>
        </w:tc>
      </w:tr>
      <w:tr>
        <w:trPr>
          <w:trHeight w:hRule="exact" w:val="470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Pearson Correlation </w:t>
            </w:r>
          </w:p>
        </w:tc>
        <w:tc>
          <w:tcPr>
            <w:tcW w:type="dxa" w:w="2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Spectral similarity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Higher 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Representative fitting values indicated that the model captured broad spectral trends while maintaining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chemical relevance. </w:t>
      </w:r>
    </w:p>
    <w:p>
      <w:pPr>
        <w:autoSpaceDN w:val="0"/>
        <w:autoSpaceDE w:val="0"/>
        <w:widowControl/>
        <w:spacing w:line="230" w:lineRule="auto" w:before="192" w:after="18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Region-Based Interpretation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92.0" w:type="dxa"/>
      </w:tblPr>
      <w:tblGrid>
        <w:gridCol w:w="4913"/>
        <w:gridCol w:w="4913"/>
      </w:tblGrid>
      <w:tr>
        <w:trPr>
          <w:trHeight w:hRule="exact" w:val="468"/>
        </w:trPr>
        <w:tc>
          <w:tcPr>
            <w:tcW w:type="dxa" w:w="16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Region (cm⁻¹) </w:t>
            </w:r>
          </w:p>
        </w:tc>
        <w:tc>
          <w:tcPr>
            <w:tcW w:type="dxa" w:w="3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Dominant Contribution </w:t>
            </w:r>
          </w:p>
        </w:tc>
      </w:tr>
      <w:tr>
        <w:trPr>
          <w:trHeight w:hRule="exact" w:val="470"/>
        </w:trPr>
        <w:tc>
          <w:tcPr>
            <w:tcW w:type="dxa" w:w="16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700–900 </w:t>
            </w:r>
          </w:p>
        </w:tc>
        <w:tc>
          <w:tcPr>
            <w:tcW w:type="dxa" w:w="3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Phosphate ester / P–O–C </w:t>
            </w:r>
          </w:p>
        </w:tc>
      </w:tr>
      <w:tr>
        <w:trPr>
          <w:trHeight w:hRule="exact" w:val="468"/>
        </w:trPr>
        <w:tc>
          <w:tcPr>
            <w:tcW w:type="dxa" w:w="16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900–1100 </w:t>
            </w:r>
          </w:p>
        </w:tc>
        <w:tc>
          <w:tcPr>
            <w:tcW w:type="dxa" w:w="3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Carbohydrate + phosphate stretching </w:t>
            </w:r>
          </w:p>
        </w:tc>
      </w:tr>
      <w:tr>
        <w:trPr>
          <w:trHeight w:hRule="exact" w:val="468"/>
        </w:trPr>
        <w:tc>
          <w:tcPr>
            <w:tcW w:type="dxa" w:w="16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1200–1300 </w:t>
            </w:r>
          </w:p>
        </w:tc>
        <w:tc>
          <w:tcPr>
            <w:tcW w:type="dxa" w:w="3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Amide III / C–N </w:t>
            </w:r>
          </w:p>
        </w:tc>
      </w:tr>
      <w:tr>
        <w:trPr>
          <w:trHeight w:hRule="exact" w:val="466"/>
        </w:trPr>
        <w:tc>
          <w:tcPr>
            <w:tcW w:type="dxa" w:w="16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1400–1500 </w:t>
            </w:r>
          </w:p>
        </w:tc>
        <w:tc>
          <w:tcPr>
            <w:tcW w:type="dxa" w:w="3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CH₃ / CH₂ deformation </w:t>
            </w:r>
          </w:p>
        </w:tc>
      </w:tr>
      <w:tr>
        <w:trPr>
          <w:trHeight w:hRule="exact" w:val="468"/>
        </w:trPr>
        <w:tc>
          <w:tcPr>
            <w:tcW w:type="dxa" w:w="16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1500–1650 </w:t>
            </w:r>
          </w:p>
        </w:tc>
        <w:tc>
          <w:tcPr>
            <w:tcW w:type="dxa" w:w="3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NH₃⁺ / COO⁻ / Amide I </w:t>
            </w:r>
          </w:p>
        </w:tc>
      </w:tr>
    </w:tbl>
    <w:p>
      <w:pPr>
        <w:autoSpaceDN w:val="0"/>
        <w:autoSpaceDE w:val="0"/>
        <w:widowControl/>
        <w:spacing w:line="230" w:lineRule="auto" w:before="47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Conclusion </w:t>
      </w:r>
    </w:p>
    <w:p>
      <w:pPr>
        <w:autoSpaceDN w:val="0"/>
        <w:autoSpaceDE w:val="0"/>
        <w:widowControl/>
        <w:spacing w:line="247" w:lineRule="auto" w:before="19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LTA study established a practical framework for interpreting Raman spectra of complex Gram-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positive bacterial biomarkers using fragment-based computational modelling. The agreement between </w:t>
      </w:r>
    </w:p>
    <w:p>
      <w:pPr>
        <w:autoSpaceDN w:val="0"/>
        <w:autoSpaceDE w:val="0"/>
        <w:widowControl/>
        <w:spacing w:line="197" w:lineRule="auto" w:before="272" w:after="0"/>
        <w:ind w:left="0" w:right="2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22 </w:t>
      </w:r>
    </w:p>
    <w:p>
      <w:pPr>
        <w:sectPr>
          <w:pgSz w:w="11906" w:h="16838"/>
          <w:pgMar w:top="720" w:right="1000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experimental and theoretical data supports the feasibility of using Raman spectroscopy and simulation-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assisted analysis for future bacterial diagnostics and SERS biosensor development. </w:t>
      </w:r>
    </w:p>
    <w:p>
      <w:pPr>
        <w:autoSpaceDN w:val="0"/>
        <w:autoSpaceDE w:val="0"/>
        <w:widowControl/>
        <w:spacing w:line="278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4.3.5 Limitations and Future Scope of LTA Analysis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Although the fragment-based modelling strategy produced meaningful agreement with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experimental Raman spectrum, certain limitations should be recognized. Lipoteichoic Acid is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structurally diverse polymer, and the present model used only three representative fragments.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Therefore, some weak or complex Raman bands may not be fully captured by the simplified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reconstruction. </w:t>
      </w:r>
    </w:p>
    <w:p>
      <w:pPr>
        <w:autoSpaceDN w:val="0"/>
        <w:autoSpaceDE w:val="0"/>
        <w:widowControl/>
        <w:spacing w:line="322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Limitations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Structural Simplification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complete polymeric architecture of LTA, including repeating units, branching patterns,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species-specific substitutions, was not explicitly simulated. </w:t>
      </w:r>
    </w:p>
    <w:p>
      <w:pPr>
        <w:autoSpaceDN w:val="0"/>
        <w:autoSpaceDE w:val="0"/>
        <w:widowControl/>
        <w:spacing w:line="295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Harmonic Approximation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theoretical calculations were based on harmonic vibrational analysis. Real molecular systems may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exhibit anharmonic effects that can shift peak positions or alter intensities. </w:t>
      </w:r>
    </w:p>
    <w:p>
      <w:pPr>
        <w:autoSpaceDN w:val="0"/>
        <w:autoSpaceDE w:val="0"/>
        <w:widowControl/>
        <w:spacing w:line="288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Environmental Effects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Experimental spectra are influenced by intermolecular interactions, hydration state, and sample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morphology, whereas the theoretical model represents idealized isolated molecules with implicit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solvent treatment. </w:t>
      </w:r>
    </w:p>
    <w:p>
      <w:pPr>
        <w:autoSpaceDN w:val="0"/>
        <w:autoSpaceDE w:val="0"/>
        <w:widowControl/>
        <w:spacing w:line="295" w:lineRule="auto" w:before="1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Limited Fragment Set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Additional biomolecular contributors present in real bacterial samples may also influence Raman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signatures. </w:t>
      </w:r>
    </w:p>
    <w:p>
      <w:pPr>
        <w:autoSpaceDN w:val="0"/>
        <w:tabs>
          <w:tab w:pos="360" w:val="left"/>
        </w:tabs>
        <w:autoSpaceDE w:val="0"/>
        <w:widowControl/>
        <w:spacing w:line="353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Future Scope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present framework can be extended in several important directions: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Inclusion of additional LTA structural fragments for improved realism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 of advanced fitting methods and machine learning models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Integration with SERS substrates for trace-level detection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Comparison with real Gram-positive bacterial samples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Expansion into multiplex biomarker analysis for sepsis diagnostics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Development of portable point-of-care Raman devices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Overall Significance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Despite simplifications, this study demonstrates that fragment-based computational spectroscopy is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practical and scientifically valuable approach for analyzing complex bacterial biomarkers.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methodology developed here provides a strong foundation for future diagnostic research involving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Gram-positive infection markers. </w:t>
      </w:r>
    </w:p>
    <w:p>
      <w:pPr>
        <w:autoSpaceDN w:val="0"/>
        <w:autoSpaceDE w:val="0"/>
        <w:widowControl/>
        <w:spacing w:line="197" w:lineRule="auto" w:before="436" w:after="0"/>
        <w:ind w:left="0" w:right="2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23 </w:t>
      </w:r>
    </w:p>
    <w:p>
      <w:pPr>
        <w:sectPr>
          <w:pgSz w:w="11906" w:h="16838"/>
          <w:pgMar w:top="724" w:right="1000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4.4 Work Completed on Lipopolysaccharide (LPS) </w:t>
      </w:r>
    </w:p>
    <w:p>
      <w:pPr>
        <w:autoSpaceDN w:val="0"/>
        <w:autoSpaceDE w:val="0"/>
        <w:widowControl/>
        <w:spacing w:line="252" w:lineRule="auto" w:before="19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Lipopolysaccharide (LPS) was selected as a major biomarker in this study because it is a key structural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component of the outer membrane of Gram-negative bacteria and is strongly associated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endotoxin-mediated inflammatory responses, including sepsis. Detection of LPS-related molecular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signatures can therefore support rapid identification of Gram-negative bacterial infection. </w:t>
      </w:r>
    </w:p>
    <w:p>
      <w:pPr>
        <w:autoSpaceDN w:val="0"/>
        <w:autoSpaceDE w:val="0"/>
        <w:widowControl/>
        <w:spacing w:line="230" w:lineRule="auto" w:before="1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LPS is a structurally complex glycolipid composed of three major regions: </w:t>
      </w:r>
    </w:p>
    <w:p>
      <w:pPr>
        <w:autoSpaceDN w:val="0"/>
        <w:autoSpaceDE w:val="0"/>
        <w:widowControl/>
        <w:spacing w:line="230" w:lineRule="auto" w:before="192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Lipid 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membrane-anchoring region responsible for endotoxin activity </w:t>
      </w:r>
    </w:p>
    <w:p>
      <w:pPr>
        <w:autoSpaceDN w:val="0"/>
        <w:autoSpaceDE w:val="0"/>
        <w:widowControl/>
        <w:spacing w:line="230" w:lineRule="auto" w:before="19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Core Oligosaccharide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sugar-rich intermediate region </w:t>
      </w:r>
    </w:p>
    <w:p>
      <w:pPr>
        <w:autoSpaceDN w:val="0"/>
        <w:autoSpaceDE w:val="0"/>
        <w:widowControl/>
        <w:spacing w:line="230" w:lineRule="auto" w:before="192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O-Antigen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variable polysaccharide chain </w:t>
      </w:r>
    </w:p>
    <w:p>
      <w:pPr>
        <w:autoSpaceDN w:val="0"/>
        <w:autoSpaceDE w:val="0"/>
        <w:widowControl/>
        <w:spacing w:line="250" w:lineRule="auto" w:before="19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Because of its large molecular size, conformational flexibility, and structural heterogeneity, direct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quantum simulation of the full LPS molecule is computationally difficult. Therefore, a fragment-based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modelling strategy was adopted. </w:t>
      </w:r>
    </w:p>
    <w:p>
      <w:pPr>
        <w:autoSpaceDN w:val="0"/>
        <w:autoSpaceDE w:val="0"/>
        <w:widowControl/>
        <w:spacing w:line="250" w:lineRule="auto" w:before="19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Representative molecular fragments corresponding to the major chemical domains of LPS were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selected and individually simulated. Their spectra were later combined mathematically to reconstruct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observed Raman fingerprint. </w:t>
      </w:r>
    </w:p>
    <w:p>
      <w:pPr>
        <w:autoSpaceDN w:val="0"/>
        <w:autoSpaceDE w:val="0"/>
        <w:widowControl/>
        <w:spacing w:line="230" w:lineRule="auto" w:before="192" w:after="184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Selected Fragments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76.0" w:type="dxa"/>
      </w:tblPr>
      <w:tblGrid>
        <w:gridCol w:w="4914"/>
        <w:gridCol w:w="4914"/>
      </w:tblGrid>
      <w:tr>
        <w:trPr>
          <w:trHeight w:hRule="exact" w:val="466"/>
        </w:trPr>
        <w:tc>
          <w:tcPr>
            <w:tcW w:type="dxa" w:w="1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Fragment </w:t>
            </w:r>
          </w:p>
        </w:tc>
        <w:tc>
          <w:tcPr>
            <w:tcW w:type="dxa" w:w="2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Structural Role </w:t>
            </w:r>
          </w:p>
        </w:tc>
      </w:tr>
      <w:tr>
        <w:trPr>
          <w:trHeight w:hRule="exact" w:val="468"/>
        </w:trPr>
        <w:tc>
          <w:tcPr>
            <w:tcW w:type="dxa" w:w="18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KDO </w:t>
            </w:r>
          </w:p>
        </w:tc>
        <w:tc>
          <w:tcPr>
            <w:tcW w:type="dxa" w:w="2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Core oligosaccharide marker </w:t>
            </w:r>
          </w:p>
        </w:tc>
      </w:tr>
      <w:tr>
        <w:trPr>
          <w:trHeight w:hRule="exact" w:val="468"/>
        </w:trPr>
        <w:tc>
          <w:tcPr>
            <w:tcW w:type="dxa" w:w="1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Heptose </w:t>
            </w:r>
          </w:p>
        </w:tc>
        <w:tc>
          <w:tcPr>
            <w:tcW w:type="dxa" w:w="29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Core sugar region </w:t>
            </w:r>
          </w:p>
        </w:tc>
      </w:tr>
      <w:tr>
        <w:trPr>
          <w:trHeight w:hRule="exact" w:val="468"/>
        </w:trPr>
        <w:tc>
          <w:tcPr>
            <w:tcW w:type="dxa" w:w="1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D-Glucosamine </w:t>
            </w:r>
          </w:p>
        </w:tc>
        <w:tc>
          <w:tcPr>
            <w:tcW w:type="dxa" w:w="29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Lipid A backbone </w:t>
            </w:r>
          </w:p>
        </w:tc>
      </w:tr>
      <w:tr>
        <w:trPr>
          <w:trHeight w:hRule="exact" w:val="470"/>
        </w:trPr>
        <w:tc>
          <w:tcPr>
            <w:tcW w:type="dxa" w:w="1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Myristic Acid </w:t>
            </w:r>
          </w:p>
        </w:tc>
        <w:tc>
          <w:tcPr>
            <w:tcW w:type="dxa" w:w="2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Fatty acid chain </w:t>
            </w:r>
          </w:p>
        </w:tc>
      </w:tr>
      <w:tr>
        <w:trPr>
          <w:trHeight w:hRule="exact" w:val="466"/>
        </w:trPr>
        <w:tc>
          <w:tcPr>
            <w:tcW w:type="dxa" w:w="18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Phosphoric Acid </w:t>
            </w:r>
          </w:p>
        </w:tc>
        <w:tc>
          <w:tcPr>
            <w:tcW w:type="dxa" w:w="2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Phosphate functionality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fragments were chosen because they collectively represent the dominant carbohydrate, lipid,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phosphate contributions expected in LPS. </w:t>
      </w:r>
    </w:p>
    <w:p>
      <w:pPr>
        <w:autoSpaceDN w:val="0"/>
        <w:autoSpaceDE w:val="0"/>
        <w:widowControl/>
        <w:spacing w:line="240" w:lineRule="auto" w:before="182" w:after="0"/>
        <w:ind w:left="0" w:right="327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39949" cy="9855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39949" cy="98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31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3-Deoxy-D-manno-octulosonic acid (KDO) </w:t>
      </w:r>
    </w:p>
    <w:p>
      <w:pPr>
        <w:autoSpaceDN w:val="0"/>
        <w:autoSpaceDE w:val="0"/>
        <w:widowControl/>
        <w:spacing w:line="197" w:lineRule="auto" w:before="2292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24 </w:t>
      </w:r>
    </w:p>
    <w:p>
      <w:pPr>
        <w:sectPr>
          <w:pgSz w:w="11906" w:h="16838"/>
          <w:pgMar w:top="72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53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788160" cy="156591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88160" cy="1565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306" w:after="0"/>
        <w:ind w:left="0" w:right="404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Phosphoric Acid </w:t>
      </w:r>
    </w:p>
    <w:p>
      <w:pPr>
        <w:autoSpaceDN w:val="0"/>
        <w:autoSpaceDE w:val="0"/>
        <w:widowControl/>
        <w:spacing w:line="240" w:lineRule="auto" w:before="300" w:after="0"/>
        <w:ind w:left="0" w:right="327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25980" cy="166750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1667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308" w:after="0"/>
        <w:ind w:left="0" w:right="344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L-glycero-D-manno-heptose </w:t>
      </w:r>
    </w:p>
    <w:p>
      <w:pPr>
        <w:autoSpaceDN w:val="0"/>
        <w:autoSpaceDE w:val="0"/>
        <w:widowControl/>
        <w:spacing w:line="240" w:lineRule="auto" w:before="298" w:after="0"/>
        <w:ind w:left="0" w:right="316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261870" cy="206120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61870" cy="2061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310" w:after="0"/>
        <w:ind w:left="0" w:right="409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D-Glucosamine </w:t>
      </w:r>
    </w:p>
    <w:p>
      <w:pPr>
        <w:autoSpaceDN w:val="0"/>
        <w:autoSpaceDE w:val="0"/>
        <w:widowControl/>
        <w:spacing w:line="240" w:lineRule="auto" w:before="296" w:after="0"/>
        <w:ind w:left="0" w:right="315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275840" cy="80899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75840" cy="808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310" w:after="0"/>
        <w:ind w:left="0" w:right="418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Myristic Acid </w:t>
      </w:r>
    </w:p>
    <w:p>
      <w:pPr>
        <w:autoSpaceDN w:val="0"/>
        <w:autoSpaceDE w:val="0"/>
        <w:widowControl/>
        <w:spacing w:line="197" w:lineRule="auto" w:before="108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25 </w:t>
      </w:r>
    </w:p>
    <w:p>
      <w:pPr>
        <w:sectPr>
          <w:pgSz w:w="11906" w:h="16838"/>
          <w:pgMar w:top="878" w:right="1008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Figure 4.14: Representative molecular fragments selected for Lipopolysaccharide (LPS)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modelling.</w:t>
      </w:r>
    </w:p>
    <w:p>
      <w:pPr>
        <w:autoSpaceDN w:val="0"/>
        <w:autoSpaceDE w:val="0"/>
        <w:widowControl/>
        <w:spacing w:line="295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Importance of LPS Analysis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LPS model is significant because it provides a framework for studying Gram-negative bacterial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biomarkers relevant to sepsis diagnostics and future Raman/SERS sensor development. </w:t>
      </w:r>
    </w:p>
    <w:p>
      <w:pPr>
        <w:autoSpaceDN w:val="0"/>
        <w:autoSpaceDE w:val="0"/>
        <w:widowControl/>
        <w:spacing w:line="307" w:lineRule="auto" w:before="19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4.4.1 Computational Methodology for LPS Fragment Simulation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selecting the representative molecular fragments, quantum chemical simulations were performed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generate theoretical Raman spectra for each component. The objective of this step was to understand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 individual chemical regions of LPS contribute to the final experimental Raman fingerprint.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calculations were carried out using Density Functional Theory (DFT), which provides a suitable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balance between predictive accuracy and computational feasibility for medium-sized biomolecules.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Gaussian software was used for geometry optimization, vibrational frequency calculations, and Raman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activity estimation. </w:t>
      </w:r>
    </w:p>
    <w:p>
      <w:pPr>
        <w:autoSpaceDN w:val="0"/>
        <w:autoSpaceDE w:val="0"/>
        <w:widowControl/>
        <w:spacing w:line="314" w:lineRule="auto" w:before="192" w:after="182"/>
        <w:ind w:left="0" w:right="115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Level of Theory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following computational settings were applied consistently to all selected fragments: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6.0000000000002" w:type="dxa"/>
      </w:tblPr>
      <w:tblGrid>
        <w:gridCol w:w="4913"/>
        <w:gridCol w:w="4913"/>
      </w:tblGrid>
      <w:tr>
        <w:trPr>
          <w:trHeight w:hRule="exact" w:val="468"/>
        </w:trPr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Parameter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Setting </w:t>
            </w:r>
          </w:p>
        </w:tc>
      </w:tr>
      <w:tr>
        <w:trPr>
          <w:trHeight w:hRule="exact" w:val="468"/>
        </w:trPr>
        <w:tc>
          <w:tcPr>
            <w:tcW w:type="dxa" w:w="19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Method </w:t>
            </w:r>
          </w:p>
        </w:tc>
        <w:tc>
          <w:tcPr>
            <w:tcW w:type="dxa" w:w="368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DFT </w:t>
            </w:r>
          </w:p>
        </w:tc>
      </w:tr>
      <w:tr>
        <w:trPr>
          <w:trHeight w:hRule="exact" w:val="470"/>
        </w:trPr>
        <w:tc>
          <w:tcPr>
            <w:tcW w:type="dxa" w:w="19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Functional </w:t>
            </w:r>
          </w:p>
        </w:tc>
        <w:tc>
          <w:tcPr>
            <w:tcW w:type="dxa" w:w="36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B3LYP </w:t>
            </w:r>
          </w:p>
        </w:tc>
      </w:tr>
      <w:tr>
        <w:trPr>
          <w:trHeight w:hRule="exact" w:val="466"/>
        </w:trPr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Basis Set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6-31G(d) </w:t>
            </w:r>
          </w:p>
        </w:tc>
      </w:tr>
      <w:tr>
        <w:trPr>
          <w:trHeight w:hRule="exact" w:val="468"/>
        </w:trPr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Job Type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Optimization + Frequency + Raman </w:t>
            </w:r>
          </w:p>
        </w:tc>
      </w:tr>
      <w:tr>
        <w:trPr>
          <w:trHeight w:hRule="exact" w:val="470"/>
        </w:trPr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SCF Convergence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Tight </w:t>
            </w:r>
          </w:p>
        </w:tc>
      </w:tr>
      <w:tr>
        <w:trPr>
          <w:trHeight w:hRule="exact" w:val="468"/>
        </w:trPr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Integration Grid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UltraFine </w:t>
            </w:r>
          </w:p>
        </w:tc>
      </w:tr>
      <w:tr>
        <w:trPr>
          <w:trHeight w:hRule="exact" w:val="468"/>
        </w:trPr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Processing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Multi-core </w:t>
            </w:r>
          </w:p>
        </w:tc>
      </w:tr>
    </w:tbl>
    <w:p>
      <w:pPr>
        <w:autoSpaceDN w:val="0"/>
        <w:autoSpaceDE w:val="0"/>
        <w:widowControl/>
        <w:spacing w:line="377" w:lineRule="auto" w:before="468" w:after="0"/>
        <w:ind w:left="360" w:right="5184" w:hanging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Workflow Followed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Import molecular structure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Geometry cleanup and pre-optimization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Geometry optimization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Frequency calculation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Raman activity extraction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Spectral post-processing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Plot generation </w:t>
      </w:r>
    </w:p>
    <w:p>
      <w:pPr>
        <w:autoSpaceDN w:val="0"/>
        <w:autoSpaceDE w:val="0"/>
        <w:widowControl/>
        <w:spacing w:line="197" w:lineRule="auto" w:before="598" w:after="0"/>
        <w:ind w:left="0" w:right="2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26 </w:t>
      </w:r>
    </w:p>
    <w:p>
      <w:pPr>
        <w:sectPr>
          <w:pgSz w:w="11906" w:h="16838"/>
          <w:pgMar w:top="724" w:right="1000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optimized structures were validated by checking the absence of significant imaginary frequencies,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confirming stable molecular minima.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74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Spectral Processing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raw frequencies and Raman activities were converted into usable spectra using the following steps: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Frequency scaling to improve experimental agreement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Intensity normalization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Interpolation to a common Raman grid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Selection of fingerprint region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Plot generation for each fragment </w:t>
      </w:r>
    </w:p>
    <w:p>
      <w:pPr>
        <w:autoSpaceDN w:val="0"/>
        <w:autoSpaceDE w:val="0"/>
        <w:widowControl/>
        <w:spacing w:line="240" w:lineRule="auto" w:before="182" w:after="0"/>
        <w:ind w:left="69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00980" cy="572515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5725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4" w:lineRule="auto" w:before="206" w:after="0"/>
        <w:ind w:left="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Figure 4.15: Simulated Raman spectra of representative LPS molecular fragments.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Scientific Value </w:t>
      </w:r>
    </w:p>
    <w:p>
      <w:pPr>
        <w:autoSpaceDN w:val="0"/>
        <w:autoSpaceDE w:val="0"/>
        <w:widowControl/>
        <w:spacing w:line="197" w:lineRule="auto" w:before="292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27 </w:t>
      </w:r>
    </w:p>
    <w:p>
      <w:pPr>
        <w:sectPr>
          <w:pgSz w:w="11906" w:h="16838"/>
          <w:pgMar w:top="72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step produced chemically interpretable Raman fingerprints for each fragment, enabling later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reconstruction of the complex LPS spectrum from simpler structural units. </w:t>
      </w:r>
    </w:p>
    <w:p>
      <w:pPr>
        <w:autoSpaceDN w:val="0"/>
        <w:autoSpaceDE w:val="0"/>
        <w:widowControl/>
        <w:spacing w:line="281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4.4.2 Experimental Raman Measurement and Optimization of Acquisition Parameters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Following theoretical simulation, experimental Raman measurements were performed using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commercially available lyophilized powder sample of Lipopolysaccharide obtained from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Escherichia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coli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O111:B4. The purpose of this stage was to obtain a high-quality experimental spectrum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comparison with the fragment-based theoretical model. </w:t>
      </w:r>
    </w:p>
    <w:p>
      <w:pPr>
        <w:autoSpaceDN w:val="0"/>
        <w:autoSpaceDE w:val="0"/>
        <w:widowControl/>
        <w:spacing w:line="230" w:lineRule="auto" w:before="1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sample was measured in dry powder form without chemical labeling or additional treatment.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74" w:lineRule="auto" w:before="1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Experimental Objective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experimental study was designed to: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Record Raman spectra of the LPS powder sample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Evaluate the effect of acquisition settings on signal quality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Identify the optimum condition for analysis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 the best spectrum for theoretical fitting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Parameters Varied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Several acquisition parameters were tested systematically: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Integration time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Laser power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Number of accumulations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Different combinations were examined to improve signal intensity while maintaining baseline stability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avoiding sample damage. </w:t>
      </w:r>
    </w:p>
    <w:p>
      <w:pPr>
        <w:autoSpaceDN w:val="0"/>
        <w:autoSpaceDE w:val="0"/>
        <w:widowControl/>
        <w:spacing w:line="314" w:lineRule="auto" w:before="192" w:after="182"/>
        <w:ind w:left="0" w:right="331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Final Optimized Condition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condition that produced the best overall spectrum quality was: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68.0" w:type="dxa"/>
      </w:tblPr>
      <w:tblGrid>
        <w:gridCol w:w="4914"/>
        <w:gridCol w:w="4914"/>
      </w:tblGrid>
      <w:tr>
        <w:trPr>
          <w:trHeight w:hRule="exact" w:val="468"/>
        </w:trPr>
        <w:tc>
          <w:tcPr>
            <w:tcW w:type="dxa" w:w="18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Parameter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Final Value </w:t>
            </w:r>
          </w:p>
        </w:tc>
      </w:tr>
      <w:tr>
        <w:trPr>
          <w:trHeight w:hRule="exact" w:val="468"/>
        </w:trPr>
        <w:tc>
          <w:tcPr>
            <w:tcW w:type="dxa" w:w="182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Integration Time </w:t>
            </w:r>
          </w:p>
        </w:tc>
        <w:tc>
          <w:tcPr>
            <w:tcW w:type="dxa" w:w="138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60 s </w:t>
            </w:r>
          </w:p>
        </w:tc>
      </w:tr>
      <w:tr>
        <w:trPr>
          <w:trHeight w:hRule="exact" w:val="468"/>
        </w:trPr>
        <w:tc>
          <w:tcPr>
            <w:tcW w:type="dxa" w:w="18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Laser Power </w:t>
            </w:r>
          </w:p>
        </w:tc>
        <w:tc>
          <w:tcPr>
            <w:tcW w:type="dxa" w:w="13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20% </w:t>
            </w:r>
          </w:p>
        </w:tc>
      </w:tr>
      <w:tr>
        <w:trPr>
          <w:trHeight w:hRule="exact" w:val="470"/>
        </w:trPr>
        <w:tc>
          <w:tcPr>
            <w:tcW w:type="dxa" w:w="1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Accumulations </w:t>
            </w:r>
          </w:p>
        </w:tc>
        <w:tc>
          <w:tcPr>
            <w:tcW w:type="dxa" w:w="1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30 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setting provided strong Raman intensity, improved signal-to-noise ratio, stable baseline behavior,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good reproducibility. </w:t>
      </w:r>
    </w:p>
    <w:p>
      <w:pPr>
        <w:autoSpaceDN w:val="0"/>
        <w:autoSpaceDE w:val="0"/>
        <w:widowControl/>
        <w:spacing w:line="197" w:lineRule="auto" w:before="2012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28 </w:t>
      </w:r>
    </w:p>
    <w:p>
      <w:pPr>
        <w:sectPr>
          <w:pgSz w:w="11906" w:h="16838"/>
          <w:pgMar w:top="72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5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922270" cy="20358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22270" cy="2035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Figure 4.16: Optimized experimental Raman spectrum of Lipopolysaccharide (LPS).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50" w:lineRule="auto" w:before="1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Why Optimization Was Important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Selection of the correct acquisition parameters ensured: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Clearer peak visibility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Better comparison with theory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Reduced noise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Reliable repeatability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Improved scientific confidence in the dataset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4.4.3 Preprocessing and Composite Spectrum Construction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optimized experimental Raman spectrum was further processed before comparison with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simulated fragment spectra. Raw experimental data may contain baseline drift, random noise,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intensity variations that can affect quantitative fitting. Therefore, preprocessing was performed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generate a clean and comparable dataset. </w:t>
      </w:r>
    </w:p>
    <w:p>
      <w:pPr>
        <w:autoSpaceDN w:val="0"/>
        <w:tabs>
          <w:tab w:pos="360" w:val="left"/>
        </w:tabs>
        <w:autoSpaceDE w:val="0"/>
        <w:widowControl/>
        <w:spacing w:line="379" w:lineRule="auto" w:before="192" w:after="0"/>
        <w:ind w:left="0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Experimental Data Preprocessing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following steps were applied to the selected spectrum: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Removal of blank or invalid rows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Numeric conversion and sorting of Raman shift values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Selection of analysis range (200–2000 cm⁻¹)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Baseline correction using Asymmetric Least Squares (ALS)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Noise reduction using Savitzky–Golay smoothing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Min–Max intensity normalization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preprocessing, the spectrum was ready for direct comparison with theoretical models. </w:t>
      </w:r>
    </w:p>
    <w:p>
      <w:pPr>
        <w:autoSpaceDN w:val="0"/>
        <w:autoSpaceDE w:val="0"/>
        <w:widowControl/>
        <w:spacing w:line="230" w:lineRule="auto" w:before="1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Why Baseline Correction Was Applied Only to Experimental Data </w:t>
      </w:r>
    </w:p>
    <w:p>
      <w:pPr>
        <w:autoSpaceDN w:val="0"/>
        <w:autoSpaceDE w:val="0"/>
        <w:widowControl/>
        <w:spacing w:line="197" w:lineRule="auto" w:before="936" w:after="0"/>
        <w:ind w:left="0" w:right="2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29 </w:t>
      </w:r>
    </w:p>
    <w:p>
      <w:pPr>
        <w:sectPr>
          <w:pgSz w:w="11906" w:h="16838"/>
          <w:pgMar w:top="720" w:right="1000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Theoretical Raman spectra do not contain fluorescence background, detector drift, or instrumental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artifacts. Therefore, baseline correction was required only for the measured spectrum. </w:t>
      </w:r>
    </w:p>
    <w:p>
      <w:pPr>
        <w:autoSpaceDN w:val="0"/>
        <w:autoSpaceDE w:val="0"/>
        <w:widowControl/>
        <w:spacing w:line="295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Composite Spectrum Modelling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Since the experimental LPS spectrum arises from multiple chemical domains, the individual fragment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spectra were combined mathematically to reconstruct the observed fingerprint. </w:t>
      </w:r>
    </w:p>
    <w:p>
      <w:pPr>
        <w:autoSpaceDN w:val="0"/>
        <w:autoSpaceDE w:val="0"/>
        <w:widowControl/>
        <w:spacing w:line="343" w:lineRule="auto" w:before="190" w:after="0"/>
        <w:ind w:left="0" w:right="27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Two modelling approaches were considered: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Equal-Weight Model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fragments were averaged equally as an unbiased first approximation. </w:t>
      </w:r>
    </w:p>
    <w:p>
      <w:pPr>
        <w:autoSpaceDN w:val="0"/>
        <w:autoSpaceDE w:val="0"/>
        <w:widowControl/>
        <w:spacing w:line="288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Optimized Weighted Model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more realistic model was generated using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Non-Negative Least Squares (NNLS)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where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contribution of each fragment was adjusted to minimize fitting error while keeping all weights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physically meaningful (non-negative). </w:t>
      </w:r>
    </w:p>
    <w:p>
      <w:pPr>
        <w:autoSpaceDN w:val="0"/>
        <w:autoSpaceDE w:val="0"/>
        <w:widowControl/>
        <w:spacing w:line="240" w:lineRule="auto" w:before="182" w:after="0"/>
        <w:ind w:left="3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31510" cy="28346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20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Figure 4.17: Comparison of reconstructed composite spectrum with experimental Raman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spectrum of LPS.</w:t>
      </w:r>
    </w:p>
    <w:p>
      <w:pPr>
        <w:autoSpaceDN w:val="0"/>
        <w:autoSpaceDE w:val="0"/>
        <w:widowControl/>
        <w:spacing w:line="295" w:lineRule="auto" w:before="1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Importance of This Step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Composite modelling enabled interpretation of a complex biomolecular spectrum using chemically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meaningful smaller units, which is valuable for future biosensing applications. </w:t>
      </w:r>
    </w:p>
    <w:p>
      <w:pPr>
        <w:autoSpaceDN w:val="0"/>
        <w:autoSpaceDE w:val="0"/>
        <w:widowControl/>
        <w:spacing w:line="295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4.4.4 Model Evaluation and Scientific Interpretation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generating the composite spectra, quantitative evaluation was performed to determine how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effectively the simulated fragments reproduced the measured Raman fingerprint of LPS. </w:t>
      </w:r>
    </w:p>
    <w:p>
      <w:pPr>
        <w:autoSpaceDN w:val="0"/>
        <w:autoSpaceDE w:val="0"/>
        <w:widowControl/>
        <w:spacing w:line="314" w:lineRule="auto" w:before="192" w:after="0"/>
        <w:ind w:left="0" w:right="51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Performance Metrics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following statistical parameters were used: </w:t>
      </w:r>
    </w:p>
    <w:p>
      <w:pPr>
        <w:autoSpaceDN w:val="0"/>
        <w:autoSpaceDE w:val="0"/>
        <w:widowControl/>
        <w:spacing w:line="197" w:lineRule="auto" w:before="774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30 </w:t>
      </w:r>
    </w:p>
    <w:p>
      <w:pPr>
        <w:sectPr>
          <w:pgSz w:w="11906" w:h="16838"/>
          <w:pgMar w:top="72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76.0000000000002" w:type="dxa"/>
      </w:tblPr>
      <w:tblGrid>
        <w:gridCol w:w="3276"/>
        <w:gridCol w:w="3276"/>
        <w:gridCol w:w="3276"/>
      </w:tblGrid>
      <w:tr>
        <w:trPr>
          <w:trHeight w:hRule="exact" w:val="470"/>
        </w:trPr>
        <w:tc>
          <w:tcPr>
            <w:tcW w:type="dxa" w:w="1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Metric </w:t>
            </w:r>
          </w:p>
        </w:tc>
        <w:tc>
          <w:tcPr>
            <w:tcW w:type="dxa" w:w="30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Meaning </w:t>
            </w:r>
          </w:p>
        </w:tc>
        <w:tc>
          <w:tcPr>
            <w:tcW w:type="dxa" w:w="16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Desired Trend </w:t>
            </w:r>
          </w:p>
        </w:tc>
      </w:tr>
      <w:tr>
        <w:trPr>
          <w:trHeight w:hRule="exact" w:val="466"/>
        </w:trPr>
        <w:tc>
          <w:tcPr>
            <w:tcW w:type="dxa" w:w="1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RMSE </w:t>
            </w:r>
          </w:p>
        </w:tc>
        <w:tc>
          <w:tcPr>
            <w:tcW w:type="dxa" w:w="30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Average fitting error </w:t>
            </w:r>
          </w:p>
        </w:tc>
        <w:tc>
          <w:tcPr>
            <w:tcW w:type="dxa" w:w="16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Lower </w:t>
            </w:r>
          </w:p>
        </w:tc>
      </w:tr>
      <w:tr>
        <w:trPr>
          <w:trHeight w:hRule="exact" w:val="468"/>
        </w:trPr>
        <w:tc>
          <w:tcPr>
            <w:tcW w:type="dxa" w:w="1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R² </w:t>
            </w:r>
          </w:p>
        </w:tc>
        <w:tc>
          <w:tcPr>
            <w:tcW w:type="dxa" w:w="30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Variance explained by model </w:t>
            </w:r>
          </w:p>
        </w:tc>
        <w:tc>
          <w:tcPr>
            <w:tcW w:type="dxa" w:w="16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Higher </w:t>
            </w:r>
          </w:p>
        </w:tc>
      </w:tr>
      <w:tr>
        <w:trPr>
          <w:trHeight w:hRule="exact" w:val="468"/>
        </w:trPr>
        <w:tc>
          <w:tcPr>
            <w:tcW w:type="dxa" w:w="1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Correlation </w:t>
            </w:r>
          </w:p>
        </w:tc>
        <w:tc>
          <w:tcPr>
            <w:tcW w:type="dxa" w:w="30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Similarity of spectral shape </w:t>
            </w:r>
          </w:p>
        </w:tc>
        <w:tc>
          <w:tcPr>
            <w:tcW w:type="dxa" w:w="16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Higher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optimized weighted model performed better than the equal-weight model, indicating that selective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fragment contributions provide a more realistic representation of the experimental spectrum. </w:t>
      </w:r>
    </w:p>
    <w:p>
      <w:pPr>
        <w:autoSpaceDN w:val="0"/>
        <w:autoSpaceDE w:val="0"/>
        <w:widowControl/>
        <w:spacing w:line="230" w:lineRule="auto" w:before="194" w:after="18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Representative Results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14.0" w:type="dxa"/>
      </w:tblPr>
      <w:tblGrid>
        <w:gridCol w:w="2457"/>
        <w:gridCol w:w="2457"/>
        <w:gridCol w:w="2457"/>
        <w:gridCol w:w="2457"/>
      </w:tblGrid>
      <w:tr>
        <w:trPr>
          <w:trHeight w:hRule="exact" w:val="468"/>
        </w:trPr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Model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RMSE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R²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Correlation </w:t>
            </w:r>
          </w:p>
        </w:tc>
      </w:tr>
      <w:tr>
        <w:trPr>
          <w:trHeight w:hRule="exact" w:val="470"/>
        </w:trPr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Equal Weight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0.18853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0.14877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0.41652 </w:t>
            </w:r>
          </w:p>
        </w:tc>
      </w:tr>
      <w:tr>
        <w:trPr>
          <w:trHeight w:hRule="exact" w:val="466"/>
        </w:trPr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NNLS Optimized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0.18505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0.17995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0.50784 </w:t>
            </w:r>
          </w:p>
        </w:tc>
      </w:tr>
    </w:tbl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results confirm measurable improvement after optimization. </w:t>
      </w:r>
    </w:p>
    <w:p>
      <w:pPr>
        <w:autoSpaceDN w:val="0"/>
        <w:autoSpaceDE w:val="0"/>
        <w:widowControl/>
        <w:spacing w:line="230" w:lineRule="auto" w:before="192" w:after="18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Final Optimized Fragment Contributions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58.0" w:type="dxa"/>
      </w:tblPr>
      <w:tblGrid>
        <w:gridCol w:w="4914"/>
        <w:gridCol w:w="4914"/>
      </w:tblGrid>
      <w:tr>
        <w:trPr>
          <w:trHeight w:hRule="exact" w:val="470"/>
        </w:trPr>
        <w:tc>
          <w:tcPr>
            <w:tcW w:type="dxa" w:w="18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Fragment </w:t>
            </w:r>
          </w:p>
        </w:tc>
        <w:tc>
          <w:tcPr>
            <w:tcW w:type="dxa" w:w="20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Contribution (%) </w:t>
            </w:r>
          </w:p>
        </w:tc>
      </w:tr>
      <w:tr>
        <w:trPr>
          <w:trHeight w:hRule="exact" w:val="468"/>
        </w:trPr>
        <w:tc>
          <w:tcPr>
            <w:tcW w:type="dxa" w:w="18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KDO </w:t>
            </w:r>
          </w:p>
        </w:tc>
        <w:tc>
          <w:tcPr>
            <w:tcW w:type="dxa" w:w="20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47.3 </w:t>
            </w:r>
          </w:p>
        </w:tc>
      </w:tr>
      <w:tr>
        <w:trPr>
          <w:trHeight w:hRule="exact" w:val="466"/>
        </w:trPr>
        <w:tc>
          <w:tcPr>
            <w:tcW w:type="dxa" w:w="181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Heptose </w:t>
            </w:r>
          </w:p>
        </w:tc>
        <w:tc>
          <w:tcPr>
            <w:tcW w:type="dxa" w:w="20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25.8 </w:t>
            </w:r>
          </w:p>
        </w:tc>
      </w:tr>
      <w:tr>
        <w:trPr>
          <w:trHeight w:hRule="exact" w:val="470"/>
        </w:trPr>
        <w:tc>
          <w:tcPr>
            <w:tcW w:type="dxa" w:w="18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D-Glucosamine </w:t>
            </w:r>
          </w:p>
        </w:tc>
        <w:tc>
          <w:tcPr>
            <w:tcW w:type="dxa" w:w="20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15.3 </w:t>
            </w:r>
          </w:p>
        </w:tc>
      </w:tr>
      <w:tr>
        <w:trPr>
          <w:trHeight w:hRule="exact" w:val="470"/>
        </w:trPr>
        <w:tc>
          <w:tcPr>
            <w:tcW w:type="dxa" w:w="181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Myristic Acid </w:t>
            </w:r>
          </w:p>
        </w:tc>
        <w:tc>
          <w:tcPr>
            <w:tcW w:type="dxa" w:w="20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11.7 </w:t>
            </w:r>
          </w:p>
        </w:tc>
      </w:tr>
      <w:tr>
        <w:trPr>
          <w:trHeight w:hRule="exact" w:val="466"/>
        </w:trPr>
        <w:tc>
          <w:tcPr>
            <w:tcW w:type="dxa" w:w="18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Phosphoric Acid </w:t>
            </w:r>
          </w:p>
        </w:tc>
        <w:tc>
          <w:tcPr>
            <w:tcW w:type="dxa" w:w="20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0.0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dominant contribution from carbohydrate-rich fragments suggests that sugar-region vibrations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strongly influence the measured Raman spectrum. </w:t>
      </w:r>
    </w:p>
    <w:p>
      <w:pPr>
        <w:autoSpaceDN w:val="0"/>
        <w:autoSpaceDE w:val="0"/>
        <w:widowControl/>
        <w:spacing w:line="240" w:lineRule="auto" w:before="180" w:after="0"/>
        <w:ind w:left="16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081779" cy="244348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81779" cy="244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1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Figure 4.18: Quantitative fitted composite Raman spectrum of Lipopolysaccharide using NNLS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optimization.</w:t>
      </w:r>
    </w:p>
    <w:p>
      <w:pPr>
        <w:autoSpaceDN w:val="0"/>
        <w:autoSpaceDE w:val="0"/>
        <w:widowControl/>
        <w:spacing w:line="197" w:lineRule="auto" w:before="596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31 </w:t>
      </w:r>
    </w:p>
    <w:p>
      <w:pPr>
        <w:sectPr>
          <w:pgSz w:w="11906" w:h="16838"/>
          <w:pgMar w:top="720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6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Scientific Interpretation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fitted model demonstrated useful agreement in several important Raman regions: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900–1100 cm⁻¹: Sugar / ring / backbone modes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~1130 cm⁻¹: Hydrocarbon chain vibrations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1300–1450 cm⁻¹: CH deformation modes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Higher regions: Complex structural vibrations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findings show that fragment-based computational modelling can provide chemically meaningful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interpretation of complex Gram-negative bacterial biomarkers. </w:t>
      </w:r>
    </w:p>
    <w:p>
      <w:pPr>
        <w:autoSpaceDN w:val="0"/>
        <w:autoSpaceDE w:val="0"/>
        <w:widowControl/>
        <w:spacing w:line="300" w:lineRule="auto" w:before="19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4.4.5 Conclusion, Limitations, and Future Scope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Conclusion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study established a complete workflow for interpreting the Raman spectrum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Lipopolysaccharide through the integration of experimental spectroscopy, quantum chemical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simulation, and mathematical fitting. A fragment-based strategy was successfully used to overcome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difficulty of modelling a large and heterogeneous biomolecular system directly. </w:t>
      </w:r>
    </w:p>
    <w:p>
      <w:pPr>
        <w:autoSpaceDN w:val="0"/>
        <w:autoSpaceDE w:val="0"/>
        <w:widowControl/>
        <w:spacing w:line="254" w:lineRule="auto" w:before="19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optimized weighted model showed better agreement with the experimental spectrum than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equal-weight model, confirming that selective fragment contributions provide a more realistic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representation of the measured Raman response. The results also indicated that carbohydrate-rich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fragments were dominant contributors, while lipid-chain and backbone regions contributed additional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structural information. </w:t>
      </w:r>
    </w:p>
    <w:p>
      <w:pPr>
        <w:autoSpaceDN w:val="0"/>
        <w:autoSpaceDE w:val="0"/>
        <w:widowControl/>
        <w:spacing w:line="250" w:lineRule="auto" w:before="19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Overall, the LPS study demonstrates that Raman spectroscopy combined with computational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modelling is a powerful approach for analyzing Gram-negative bacterial biomarkers relevant to sepsis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diagnostics. </w:t>
      </w:r>
    </w:p>
    <w:p>
      <w:pPr>
        <w:autoSpaceDN w:val="0"/>
        <w:tabs>
          <w:tab w:pos="360" w:val="left"/>
        </w:tabs>
        <w:autoSpaceDE w:val="0"/>
        <w:widowControl/>
        <w:spacing w:line="343" w:lineRule="auto" w:before="192" w:after="0"/>
        <w:ind w:left="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Limitations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present work has certain limitations: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Intermolecular interactions were not fully captured by isolated fragment models. </w:t>
      </w:r>
    </w:p>
    <w:p>
      <w:pPr>
        <w:autoSpaceDN w:val="0"/>
        <w:autoSpaceDE w:val="0"/>
        <w:widowControl/>
        <w:spacing w:line="230" w:lineRule="auto" w:before="19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Hydration, packing effects, and environmental influences were simplified. </w:t>
      </w:r>
    </w:p>
    <w:p>
      <w:pPr>
        <w:autoSpaceDN w:val="0"/>
        <w:autoSpaceDE w:val="0"/>
        <w:widowControl/>
        <w:spacing w:line="230" w:lineRule="auto" w:before="192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Harmonic frequency calculations may not reproduce every peak exactly. </w:t>
      </w:r>
    </w:p>
    <w:p>
      <w:pPr>
        <w:autoSpaceDN w:val="0"/>
        <w:autoSpaceDE w:val="0"/>
        <w:widowControl/>
        <w:spacing w:line="230" w:lineRule="auto" w:before="192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Only a limited number of representative fragments were included. </w:t>
      </w:r>
    </w:p>
    <w:p>
      <w:pPr>
        <w:autoSpaceDN w:val="0"/>
        <w:autoSpaceDE w:val="0"/>
        <w:widowControl/>
        <w:spacing w:line="230" w:lineRule="auto" w:before="194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Real biological matrices were not studied in the current stage. </w:t>
      </w:r>
    </w:p>
    <w:p>
      <w:pPr>
        <w:autoSpaceDN w:val="0"/>
        <w:tabs>
          <w:tab w:pos="360" w:val="left"/>
        </w:tabs>
        <w:autoSpaceDE w:val="0"/>
        <w:widowControl/>
        <w:spacing w:line="365" w:lineRule="auto" w:before="190" w:after="0"/>
        <w:ind w:left="0" w:right="331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Future Scope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developed framework can be extended through: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 of more structural fragments or connected models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Advanced DFT methods and solvent-aware simulations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Conformer averaging for flexible molecules </w:t>
      </w:r>
    </w:p>
    <w:p>
      <w:pPr>
        <w:autoSpaceDN w:val="0"/>
        <w:autoSpaceDE w:val="0"/>
        <w:widowControl/>
        <w:spacing w:line="197" w:lineRule="auto" w:before="414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32 </w:t>
      </w:r>
    </w:p>
    <w:p>
      <w:pPr>
        <w:sectPr>
          <w:pgSz w:w="11906" w:h="16838"/>
          <w:pgMar w:top="72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Region-wise fitting and machine learning classification </w:t>
      </w:r>
    </w:p>
    <w:p>
      <w:pPr>
        <w:autoSpaceDN w:val="0"/>
        <w:autoSpaceDE w:val="0"/>
        <w:widowControl/>
        <w:spacing w:line="230" w:lineRule="auto" w:before="192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Integration with SERS substrates for trace-level detection </w:t>
      </w:r>
    </w:p>
    <w:p>
      <w:pPr>
        <w:autoSpaceDN w:val="0"/>
        <w:autoSpaceDE w:val="0"/>
        <w:widowControl/>
        <w:spacing w:line="230" w:lineRule="auto" w:before="192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Validation using serum, plasma, or clinical samples </w:t>
      </w:r>
    </w:p>
    <w:p>
      <w:pPr>
        <w:autoSpaceDN w:val="0"/>
        <w:autoSpaceDE w:val="0"/>
        <w:widowControl/>
        <w:spacing w:line="230" w:lineRule="auto" w:before="19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Development of rapid portable diagnostic devices </w:t>
      </w:r>
    </w:p>
    <w:p>
      <w:pPr>
        <w:autoSpaceDN w:val="0"/>
        <w:autoSpaceDE w:val="0"/>
        <w:widowControl/>
        <w:spacing w:line="230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Overall Significance </w:t>
      </w:r>
    </w:p>
    <w:p>
      <w:pPr>
        <w:autoSpaceDN w:val="0"/>
        <w:autoSpaceDE w:val="0"/>
        <w:widowControl/>
        <w:spacing w:line="245" w:lineRule="auto" w:before="1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LPS workflow provides a strong scientific foundation for future translational research in rapid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Gram-negative infection detection, biosensor development, and early sepsis screening systems. </w:t>
      </w:r>
    </w:p>
    <w:p>
      <w:pPr>
        <w:autoSpaceDN w:val="0"/>
        <w:autoSpaceDE w:val="0"/>
        <w:widowControl/>
        <w:spacing w:line="230" w:lineRule="auto" w:before="122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4.5 COMPARATIVE ANALYSIS OF BIOMARKERS </w:t>
      </w:r>
    </w:p>
    <w:p>
      <w:pPr>
        <w:autoSpaceDN w:val="0"/>
        <w:autoSpaceDE w:val="0"/>
        <w:widowControl/>
        <w:spacing w:line="341" w:lineRule="auto" w:before="308" w:after="298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Three significant bacterial biomarkers—N-acetylmuramic acid (NAM), lipoteichoic acid (LTA),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lipopolysaccharide (LPS)—were examined using computational modeling and experimental Raman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spectroscopy in order to assess the viability of Raman/SERS-based sepsis biomarker detection.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biomarkers were chosen because they are clinically significant markers of both Gram-positive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Gram-negative infections and because they reflect important structural elements of bacterial cell walls.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evaluate their spectral behavior, theoretical–experimental agreement, modeling strategy,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diagnostic potential, a comparative analysis was carried out.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457"/>
        <w:gridCol w:w="2457"/>
        <w:gridCol w:w="2457"/>
        <w:gridCol w:w="2457"/>
      </w:tblGrid>
      <w:tr>
        <w:trPr>
          <w:trHeight w:hRule="exact" w:val="422"/>
        </w:trPr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Biomarker </w:t>
            </w:r>
          </w:p>
        </w:tc>
        <w:tc>
          <w:tcPr>
            <w:tcW w:type="dxa" w:w="2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Type </w:t>
            </w:r>
          </w:p>
        </w:tc>
        <w:tc>
          <w:tcPr>
            <w:tcW w:type="dxa" w:w="2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Method Used </w:t>
            </w:r>
          </w:p>
        </w:tc>
        <w:tc>
          <w:tcPr>
            <w:tcW w:type="dxa" w:w="20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Key Result </w:t>
            </w:r>
          </w:p>
        </w:tc>
      </w:tr>
      <w:tr>
        <w:trPr>
          <w:trHeight w:hRule="exact" w:val="424"/>
        </w:trPr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NAM </w:t>
            </w:r>
          </w:p>
        </w:tc>
        <w:tc>
          <w:tcPr>
            <w:tcW w:type="dxa" w:w="2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Gram + / PGN marker </w:t>
            </w:r>
          </w:p>
        </w:tc>
        <w:tc>
          <w:tcPr>
            <w:tcW w:type="dxa" w:w="2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Full molecule DFT + Raman </w:t>
            </w:r>
          </w:p>
        </w:tc>
        <w:tc>
          <w:tcPr>
            <w:tcW w:type="dxa" w:w="20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Strong validation </w:t>
            </w:r>
          </w:p>
        </w:tc>
      </w:tr>
      <w:tr>
        <w:trPr>
          <w:trHeight w:hRule="exact" w:val="426"/>
        </w:trPr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LTA </w:t>
            </w:r>
          </w:p>
        </w:tc>
        <w:tc>
          <w:tcPr>
            <w:tcW w:type="dxa" w:w="2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Gram + marker </w:t>
            </w:r>
          </w:p>
        </w:tc>
        <w:tc>
          <w:tcPr>
            <w:tcW w:type="dxa" w:w="2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Fragment model + Raman </w:t>
            </w:r>
          </w:p>
        </w:tc>
        <w:tc>
          <w:tcPr>
            <w:tcW w:type="dxa" w:w="20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Good composite fit </w:t>
            </w:r>
          </w:p>
        </w:tc>
      </w:tr>
      <w:tr>
        <w:trPr>
          <w:trHeight w:hRule="exact" w:val="424"/>
        </w:trPr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LPS </w:t>
            </w:r>
          </w:p>
        </w:tc>
        <w:tc>
          <w:tcPr>
            <w:tcW w:type="dxa" w:w="23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Gram – marker </w:t>
            </w:r>
          </w:p>
        </w:tc>
        <w:tc>
          <w:tcPr>
            <w:tcW w:type="dxa" w:w="29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Fragment model + Raman </w:t>
            </w:r>
          </w:p>
        </w:tc>
        <w:tc>
          <w:tcPr>
            <w:tcW w:type="dxa" w:w="20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Quantitative fitting </w:t>
            </w:r>
          </w:p>
        </w:tc>
      </w:tr>
    </w:tbl>
    <w:p>
      <w:pPr>
        <w:autoSpaceDN w:val="0"/>
        <w:autoSpaceDE w:val="0"/>
        <w:widowControl/>
        <w:spacing w:line="346" w:lineRule="auto" w:before="58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several distinctive peaks satisfactorily validated, NAM showed the best consistency between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simulated and experimental Raman spectra among the three biomarkers. This suggests that NAM is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reliable and chemically understandable target for the detection of bacterial biomarkers. A fragment-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based modeling approach utilizing typical subunits like glycerol-phosphate, D-alanine, and GlcNAc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 necessary for LTA because of its larger and more complex polymeric structure. The usefulness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fragment technique was validated by the reconstructed composite spectra, which demonstrated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significant consistency with experimental results. The importance of LPS, a significant Gram-negative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endotoxin marker, for the diagnosis of Gram-negative sepsis was highlighted by the fact that it also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required fragment-based simulation and showed good quantitative fitting. </w:t>
      </w:r>
    </w:p>
    <w:p>
      <w:pPr>
        <w:autoSpaceDN w:val="0"/>
        <w:autoSpaceDE w:val="0"/>
        <w:widowControl/>
        <w:spacing w:line="197" w:lineRule="auto" w:before="620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33 </w:t>
      </w:r>
    </w:p>
    <w:p>
      <w:pPr>
        <w:sectPr>
          <w:pgSz w:w="11906" w:h="16838"/>
          <w:pgMar w:top="72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Overall, the comparison analysis demonstrates that all three biomarkers have Raman signatures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diagnostically significant and are viable options for upcoming SERS-based rapid sepsis diagnostic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systems. 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 CONCLUSION </w:t>
      </w:r>
    </w:p>
    <w:p>
      <w:pPr>
        <w:autoSpaceDN w:val="0"/>
        <w:autoSpaceDE w:val="0"/>
        <w:widowControl/>
        <w:spacing w:line="348" w:lineRule="auto" w:before="30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Because of its quick course, high death rate, and reliance on prompt diagnosis, sepsis continues to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significant global healthcare concern. Critical clinical intervention may be delayed by the lengthy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processing times, specialized laboratory infrastructure, and skilled staff required by conventional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diagnostic methods including blood culture, immunoassays, and molecular procedures. In order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overcome this difficulty, the current project investigated an analytical framework based on Raman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spectroscopy for the quick identification of bacterial biomarkers associated with sepsis employing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Surface-Enhanced Raman Spectroscopy (SERS)-oriented sensing ideas. The study concentrated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three significant types of bacterial biomarkers: lipopolysaccharide (LPS), lipoteichoic acid (LTA),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N-acetylmuramic acid (NAM), which are major structural markers of both Gram-positive and Gram-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negative infections. </w:t>
      </w:r>
    </w:p>
    <w:p>
      <w:pPr>
        <w:autoSpaceDN w:val="0"/>
        <w:autoSpaceDE w:val="0"/>
        <w:widowControl/>
        <w:spacing w:line="346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successful creation of an integrated computational–experimental workflow for biomarker analysis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 the study's main accomplishment. Gaussian software was used to perform Raman simulations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based on Density Functional Theory (DFT) in order to anticipate the vibrational fingerprints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chosen biomarkers. Fragment-based modeling techniques were developed to get around computational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constraints while maintaining chemical interpretability for structurally complicated compounds like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LTA and LPS. After obtaining experimental Raman spectra of biomarker powders under ideal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acquisition conditions, the spectra were preprocessed utilizing baseline correction, smoothing,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normalization, and spectral quality assessment. Theoretical and experimental spectra were compared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using quantitative fitting techniques, such as Non-Negative Least Squares (NNLS). </w:t>
      </w:r>
    </w:p>
    <w:p>
      <w:pPr>
        <w:autoSpaceDN w:val="0"/>
        <w:autoSpaceDE w:val="0"/>
        <w:widowControl/>
        <w:spacing w:line="341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Strong agreement between the simulated and measured spectra was shown by the results, especially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NAM, where several distinctive peaks were successfully validated with low frequency error. Key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biochemical regions linked to phosphate groups, carbohydrate structures, amino substituents,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hydrocarbon chains might be explained by representative molecular units, according to fragment-based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reconstruction of LTA and LPS spectra. These results demonstrate that Raman spectroscopy, when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combined with computer modeling, can yield chemically significant fingerprints for the identification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bacterial biomarkers. </w:t>
      </w:r>
    </w:p>
    <w:p>
      <w:pPr>
        <w:autoSpaceDN w:val="0"/>
        <w:autoSpaceDE w:val="0"/>
        <w:widowControl/>
        <w:spacing w:line="295" w:lineRule="auto" w:before="30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project's potential use in quick, portable, label-free diagnostic tools for early sepsis screening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makes it practically significant. By facilitating quicker decision-making and earlier treatment start, a </w:t>
      </w:r>
    </w:p>
    <w:p>
      <w:pPr>
        <w:autoSpaceDN w:val="0"/>
        <w:autoSpaceDE w:val="0"/>
        <w:widowControl/>
        <w:spacing w:line="197" w:lineRule="auto" w:before="290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34 </w:t>
      </w:r>
    </w:p>
    <w:p>
      <w:pPr>
        <w:sectPr>
          <w:pgSz w:w="11906" w:h="16838"/>
          <w:pgMar w:top="72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26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future SERS-based biosensor based on these verified biomarker fingerprints could benefit neonatal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care, intensive care units, emergency rooms, and settings with limited resources. The new technology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 be used for point-of-care molecular diagnostics, pathogen identification, and infection monitoring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addition to sepsis. </w:t>
      </w:r>
    </w:p>
    <w:p>
      <w:pPr>
        <w:autoSpaceDN w:val="0"/>
        <w:autoSpaceDE w:val="0"/>
        <w:widowControl/>
        <w:spacing w:line="334" w:lineRule="auto" w:before="31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current work still has certain limitations. Instead of using complicated biological samples like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serum or plasma, the study mostly employed pure powder standards. Fragment models were used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mimic whole macromolecular structures, and empirical scaling was necessary for harmonic DFT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calculations. Furthermore, real-time sensor integration and clinical validation were outside the current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project's purview. </w:t>
      </w:r>
    </w:p>
    <w:p>
      <w:pPr>
        <w:autoSpaceDN w:val="0"/>
        <w:autoSpaceDE w:val="0"/>
        <w:widowControl/>
        <w:spacing w:line="334" w:lineRule="auto" w:before="30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creation of optimal plasmonic SERS substrates, biomarker identification in biological fluids,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machine learning-based spectral categorization, multiplex biomarker sensing, and validation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clinical samples should be the main areas of future research. The suggested strategy has a great chance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developing into a translational diagnostic platform for quick sepsis identification and more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comprehensive infectious illness management. 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 NOVELTY 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6.1 Unique Idea / Innovation </w:t>
      </w:r>
    </w:p>
    <w:p>
      <w:pPr>
        <w:autoSpaceDN w:val="0"/>
        <w:autoSpaceDE w:val="0"/>
        <w:widowControl/>
        <w:spacing w:line="343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novel computational-experimental framework for the quick identification of sepsis-associated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biomarkers utilizing Raman spectroscopy and Surface-Enhanced Raman Spectroscopy (SERS)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principles is presented in the project Sepsis Biomarkers Analysis utilizing SERS-Based Sensor.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main innovation is the integration of theoretical Raman modeling, multi-biomarker spectrum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validation, and plasmonic nanostructure-based sensing into a single diagnostic approach.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suggested work employs inherent molecular vibrational signatures of biomarkers including 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acetylmuramic acid (NAM), lipoteichoic acid (LTA), and lipopolysaccharide (LPS) for label-free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detection rather than only depending on traditional biochemical procedures. </w:t>
      </w:r>
    </w:p>
    <w:p>
      <w:pPr>
        <w:autoSpaceDN w:val="0"/>
        <w:autoSpaceDE w:val="0"/>
        <w:widowControl/>
        <w:spacing w:line="334" w:lineRule="auto" w:before="31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second important innovation is the use of fragment-based DFT spectral reconstruction for large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complex bacterial biomolecules. This approach enables theoretical interpretation of macromolecular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Raman spectra that are otherwise computationally expensive to model as full structures.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integration of simulation, experimental spectroscopy, and quantitative spectral fitting creates a scalable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pathway for future intelligent biosensor development. </w:t>
      </w:r>
    </w:p>
    <w:p>
      <w:pPr>
        <w:autoSpaceDN w:val="0"/>
        <w:autoSpaceDE w:val="0"/>
        <w:widowControl/>
        <w:spacing w:line="197" w:lineRule="auto" w:before="1368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35 </w:t>
      </w:r>
    </w:p>
    <w:p>
      <w:pPr>
        <w:sectPr>
          <w:pgSz w:w="11906" w:h="16838"/>
          <w:pgMar w:top="72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6.2 Difference from Existing Solutions </w:t>
      </w:r>
    </w:p>
    <w:p>
      <w:pPr>
        <w:autoSpaceDN w:val="0"/>
        <w:autoSpaceDE w:val="0"/>
        <w:widowControl/>
        <w:spacing w:line="329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Current sepsis diagnostic methods such as blood culture, ELISA, chemiluminescence assays, and PCR-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based systems primarily depend on centralized laboratories, reagents, and multi-step workflows.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methods often require several hours to days for actionable results. Existing biosensors may focus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single biomarkers and may not provide molecular-level spectral interpretation. </w:t>
      </w:r>
    </w:p>
    <w:p>
      <w:pPr>
        <w:autoSpaceDN w:val="0"/>
        <w:autoSpaceDE w:val="0"/>
        <w:widowControl/>
        <w:spacing w:line="334" w:lineRule="auto" w:before="30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the other hand, the suggested approach relies on Raman/SERS signals for direct optical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fingerprinting of biomarkers. It offers quick analysis with little sample preparation and does away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requirement for complicated labeling chemicals. This study creates a validated computational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reference library using DFT simulations, increasing confidence in biomarker peak assignments,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contrast to many published studies that merely provide experimental spectra. </w:t>
      </w:r>
    </w:p>
    <w:p>
      <w:pPr>
        <w:autoSpaceDN w:val="0"/>
        <w:autoSpaceDE w:val="0"/>
        <w:widowControl/>
        <w:spacing w:line="230" w:lineRule="auto" w:before="88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6.3 Technical Advantages </w:t>
      </w:r>
    </w:p>
    <w:p>
      <w:pPr>
        <w:autoSpaceDN w:val="0"/>
        <w:autoSpaceDE w:val="0"/>
        <w:widowControl/>
        <w:spacing w:line="338" w:lineRule="auto" w:before="30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 are several technical benefits to the suggested system. High molecular specificity offered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Raman/SERS sensing allows for the selective detection of biomarker signatures. Weak Raman signals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 be greatly amplified by using plasmonic Ag/Au substrates, increasing sensitivity for low-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concentration detection. Assay development is accelerated and spectrum interpretation uncertainty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decreased by computational modeling. Future machine learning integration for multiplex decision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assistance, automated classification, and anomaly detection is compatible with the framework. 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Furthermore, the technique may be scaled down to provide handheld or portable diagnostic tools. </w:t>
      </w:r>
    </w:p>
    <w:p>
      <w:pPr>
        <w:autoSpaceDN w:val="0"/>
        <w:autoSpaceDE w:val="0"/>
        <w:widowControl/>
        <w:spacing w:line="230" w:lineRule="auto" w:before="88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6.4 Practical Advantages </w:t>
      </w:r>
    </w:p>
    <w:p>
      <w:pPr>
        <w:autoSpaceDN w:val="0"/>
        <w:autoSpaceDE w:val="0"/>
        <w:widowControl/>
        <w:spacing w:line="338" w:lineRule="auto" w:before="3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a translational standpoint, the suggested work can facilitate better accessibility in situations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low resources, decentralized healthcare delivery, and quicker bedside screening. A portable SERS-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based platform might lessen reliance on centralized infrastructure and qualified experts when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compared to costly laboratory analyzers. The label-free method might make maintenance easier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reduce the expense of recurrent reagents. These devices can be used in emergency rooms, ambulances,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intensive care units, neonatal care, and rural clinics when quick triage is essential. </w:t>
      </w:r>
    </w:p>
    <w:p>
      <w:pPr>
        <w:autoSpaceDN w:val="0"/>
        <w:autoSpaceDE w:val="0"/>
        <w:widowControl/>
        <w:spacing w:line="197" w:lineRule="auto" w:before="1878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36 </w:t>
      </w:r>
    </w:p>
    <w:p>
      <w:pPr>
        <w:sectPr>
          <w:pgSz w:w="11906" w:h="16838"/>
          <w:pgMar w:top="72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6.5 Why It Matters </w:t>
      </w:r>
    </w:p>
    <w:p>
      <w:pPr>
        <w:autoSpaceDN w:val="0"/>
        <w:autoSpaceDE w:val="0"/>
        <w:widowControl/>
        <w:spacing w:line="341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 is of the essence for managing sepsis, because a delayed diagnosis raises the risk of death. Rapid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diagnostic innovation therefore directly affects clinical practice and society. Because it advances sepsis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testing toward quick, inexpensive, portable, and intelligent molecular diagnostics, the proposed effort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 significant. The approach has the potential to improve treatment choices, lessen hospital load,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improve patient outcomes by facilitating the early detection of infection-related biomarkers.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Additionally, the discovered methodology can be used to biomarker-driven healthcare applications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infectious diseases. </w:t>
      </w:r>
    </w:p>
    <w:p>
      <w:pPr>
        <w:autoSpaceDN w:val="0"/>
        <w:autoSpaceDE w:val="0"/>
        <w:widowControl/>
        <w:spacing w:line="230" w:lineRule="auto" w:before="882" w:after="302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6.6 Comparative Table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276"/>
        <w:gridCol w:w="3276"/>
        <w:gridCol w:w="3276"/>
      </w:tblGrid>
      <w:tr>
        <w:trPr>
          <w:trHeight w:hRule="exact" w:val="420"/>
        </w:trPr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Parameter </w:t>
            </w:r>
          </w:p>
        </w:tc>
        <w:tc>
          <w:tcPr>
            <w:tcW w:type="dxa" w:w="33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Existing Solutions </w:t>
            </w:r>
          </w:p>
        </w:tc>
        <w:tc>
          <w:tcPr>
            <w:tcW w:type="dxa" w:w="41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Proposed Work </w:t>
            </w:r>
          </w:p>
        </w:tc>
      </w:tr>
      <w:tr>
        <w:trPr>
          <w:trHeight w:hRule="exact" w:val="424"/>
        </w:trPr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Detection Principle </w:t>
            </w:r>
          </w:p>
        </w:tc>
        <w:tc>
          <w:tcPr>
            <w:tcW w:type="dxa" w:w="33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Culture / Immunoassay / PCR </w:t>
            </w:r>
          </w:p>
        </w:tc>
        <w:tc>
          <w:tcPr>
            <w:tcW w:type="dxa" w:w="41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Raman/SERS Molecular Fingerprinting </w:t>
            </w:r>
          </w:p>
        </w:tc>
      </w:tr>
      <w:tr>
        <w:trPr>
          <w:trHeight w:hRule="exact" w:val="426"/>
        </w:trPr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Response Time </w:t>
            </w:r>
          </w:p>
        </w:tc>
        <w:tc>
          <w:tcPr>
            <w:tcW w:type="dxa" w:w="33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Hours to Days </w:t>
            </w:r>
          </w:p>
        </w:tc>
        <w:tc>
          <w:tcPr>
            <w:tcW w:type="dxa" w:w="41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Minutes to Rapid Screening </w:t>
            </w:r>
          </w:p>
        </w:tc>
      </w:tr>
      <w:tr>
        <w:trPr>
          <w:trHeight w:hRule="exact" w:val="840"/>
        </w:trPr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Cost </w:t>
            </w:r>
          </w:p>
        </w:tc>
        <w:tc>
          <w:tcPr>
            <w:tcW w:type="dxa" w:w="33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0" w:after="0"/>
              <w:ind w:left="102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High Instrument + Reagent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Cost </w:t>
            </w:r>
          </w:p>
        </w:tc>
        <w:tc>
          <w:tcPr>
            <w:tcW w:type="dxa" w:w="41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Lower Long-Term Operational Cost </w:t>
            </w:r>
          </w:p>
        </w:tc>
      </w:tr>
      <w:tr>
        <w:trPr>
          <w:trHeight w:hRule="exact" w:val="420"/>
        </w:trPr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Portability </w:t>
            </w:r>
          </w:p>
        </w:tc>
        <w:tc>
          <w:tcPr>
            <w:tcW w:type="dxa" w:w="33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Limited / Lab-Based </w:t>
            </w:r>
          </w:p>
        </w:tc>
        <w:tc>
          <w:tcPr>
            <w:tcW w:type="dxa" w:w="41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High Potential for Portable Deployment </w:t>
            </w:r>
          </w:p>
        </w:tc>
      </w:tr>
      <w:tr>
        <w:trPr>
          <w:trHeight w:hRule="exact" w:val="840"/>
        </w:trPr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Biomarker Scope </w:t>
            </w:r>
          </w:p>
        </w:tc>
        <w:tc>
          <w:tcPr>
            <w:tcW w:type="dxa" w:w="33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Often Single or Limited Panel </w:t>
            </w:r>
          </w:p>
        </w:tc>
        <w:tc>
          <w:tcPr>
            <w:tcW w:type="dxa" w:w="41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2" w:after="0"/>
              <w:ind w:left="104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Multi-Biomarker Expandable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Framework </w:t>
            </w:r>
          </w:p>
        </w:tc>
      </w:tr>
      <w:tr>
        <w:trPr>
          <w:trHeight w:hRule="exact" w:val="424"/>
        </w:trPr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Interpretation </w:t>
            </w:r>
          </w:p>
        </w:tc>
        <w:tc>
          <w:tcPr>
            <w:tcW w:type="dxa" w:w="33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Standard Assay Output </w:t>
            </w:r>
          </w:p>
        </w:tc>
        <w:tc>
          <w:tcPr>
            <w:tcW w:type="dxa" w:w="41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Spectral + Computational Validation </w:t>
            </w:r>
          </w:p>
        </w:tc>
      </w:tr>
      <w:tr>
        <w:trPr>
          <w:trHeight w:hRule="exact" w:val="424"/>
        </w:trPr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Intelligence </w:t>
            </w:r>
          </w:p>
        </w:tc>
        <w:tc>
          <w:tcPr>
            <w:tcW w:type="dxa" w:w="33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Basic Automation </w:t>
            </w:r>
          </w:p>
        </w:tc>
        <w:tc>
          <w:tcPr>
            <w:tcW w:type="dxa" w:w="41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AI/ML Compatible </w:t>
            </w:r>
          </w:p>
        </w:tc>
      </w:tr>
      <w:tr>
        <w:trPr>
          <w:trHeight w:hRule="exact" w:val="424"/>
        </w:trPr>
        <w:tc>
          <w:tcPr>
            <w:tcW w:type="dxa" w:w="22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Accessibility </w:t>
            </w:r>
          </w:p>
        </w:tc>
        <w:tc>
          <w:tcPr>
            <w:tcW w:type="dxa" w:w="330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Centralized Hospitals </w:t>
            </w:r>
          </w:p>
        </w:tc>
        <w:tc>
          <w:tcPr>
            <w:tcW w:type="dxa" w:w="41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Wider Point-of-Care Reach </w:t>
            </w:r>
          </w:p>
        </w:tc>
      </w:tr>
      <w:tr>
        <w:trPr>
          <w:trHeight w:hRule="exact" w:val="836"/>
        </w:trPr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0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Sample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Preparation </w:t>
            </w:r>
          </w:p>
        </w:tc>
        <w:tc>
          <w:tcPr>
            <w:tcW w:type="dxa" w:w="33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Multi-Step </w:t>
            </w:r>
          </w:p>
        </w:tc>
        <w:tc>
          <w:tcPr>
            <w:tcW w:type="dxa" w:w="41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Minimal / Simplified </w:t>
            </w:r>
          </w:p>
        </w:tc>
      </w:tr>
      <w:tr>
        <w:trPr>
          <w:trHeight w:hRule="exact" w:val="614"/>
        </w:trPr>
        <w:tc>
          <w:tcPr>
            <w:tcW w:type="dxa" w:w="22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Scalability </w:t>
            </w:r>
          </w:p>
        </w:tc>
        <w:tc>
          <w:tcPr>
            <w:tcW w:type="dxa" w:w="330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Moderate </w:t>
            </w:r>
          </w:p>
        </w:tc>
        <w:tc>
          <w:tcPr>
            <w:tcW w:type="dxa" w:w="41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High with Sensor Miniaturization </w:t>
            </w:r>
          </w:p>
        </w:tc>
      </w:tr>
    </w:tbl>
    <w:p>
      <w:pPr>
        <w:autoSpaceDN w:val="0"/>
        <w:autoSpaceDE w:val="0"/>
        <w:widowControl/>
        <w:spacing w:line="230" w:lineRule="auto" w:before="58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 POTENTIAL SOCIETAL AND MARKET IMPACT OF THE PROPOSED INNOVATION </w:t>
      </w:r>
    </w:p>
    <w:p>
      <w:pPr>
        <w:autoSpaceDN w:val="0"/>
        <w:autoSpaceDE w:val="0"/>
        <w:widowControl/>
        <w:spacing w:line="326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 is a good chance that the suggested project, Sepsis Biomarkers Analysis Using SERS-Based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Sensor, would have a significant impact on society, healthcare, and the diagnostics sector.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invention can increase survival rates, lower treatment costs, and promote the development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reasonably priced point-of-care medical technology by tackling the significant problem of delayed </w:t>
      </w:r>
    </w:p>
    <w:p>
      <w:pPr>
        <w:autoSpaceDN w:val="0"/>
        <w:autoSpaceDE w:val="0"/>
        <w:widowControl/>
        <w:spacing w:line="197" w:lineRule="auto" w:before="650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37 </w:t>
      </w:r>
    </w:p>
    <w:p>
      <w:pPr>
        <w:sectPr>
          <w:pgSz w:w="11906" w:h="16838"/>
          <w:pgMar w:top="72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sepsis detection. Faster and more accessible diagnostic solutions are becoming more and more crucial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both developed and developing healthcare systems, as sepsis continues to be a global health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concern. 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7.1 Societal Impact </w:t>
      </w:r>
    </w:p>
    <w:p>
      <w:pPr>
        <w:autoSpaceDN w:val="0"/>
        <w:autoSpaceDE w:val="0"/>
        <w:widowControl/>
        <w:spacing w:line="334" w:lineRule="auto" w:before="30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Every hour counts in a medical emergency like sepsis. In order to improve treatment outcomes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avoid serious consequences, early diagnosis is crucial. Doctors may detect high-risk patients early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start therapy without needless delay with the use of a fast biomarker sensing technology. Vulnerable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populations that are more susceptible to life-threatening illnesses include newborns, elderly people,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immunocompromised patients, and seriously ill people. </w:t>
      </w:r>
    </w:p>
    <w:p>
      <w:pPr>
        <w:autoSpaceDN w:val="0"/>
        <w:autoSpaceDE w:val="0"/>
        <w:widowControl/>
        <w:spacing w:line="341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Access to healthcare can also be enhanced by the suggested system. People who live in rural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underdeveloped areas find sophisticated testing challenging because many conventional diagnostic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facilities are centered in large urban hospitals. Testing in smaller hospitals, primary care facilities,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ambulances, and distant clinics would be possible using a portable SERS-based platform. Patients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their families can feel less stressed and have more faith in medical judgments when diagnoses are made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more quickly. These technologies have the potential to facilitate more equitable access to high-quality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healthcare services in various areas over time. </w:t>
      </w:r>
    </w:p>
    <w:p>
      <w:pPr>
        <w:autoSpaceDN w:val="0"/>
        <w:autoSpaceDE w:val="0"/>
        <w:widowControl/>
        <w:spacing w:line="230" w:lineRule="auto" w:before="3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7.2 Healthcare and Industrial Impact </w:t>
      </w:r>
    </w:p>
    <w:p>
      <w:pPr>
        <w:autoSpaceDN w:val="0"/>
        <w:autoSpaceDE w:val="0"/>
        <w:widowControl/>
        <w:spacing w:line="338" w:lineRule="auto" w:before="31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hospitals and clinical laboratories, this innovation can improve the speed and efficiency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diagnostic workflows. It has the potential to reduce dependence on slow culture-based methods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reagent-heavy laboratory assays. Rapid biomarker screening could be useful in emergency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departments, ICUs, neonatal intensive care units, and post-surgical infection monitoring. Earlier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diagnosis may help doctors choose targeted treatments sooner, reduce unnecessary antibiotic use,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strengthen antimicrobial stewardship practices. </w:t>
      </w:r>
    </w:p>
    <w:p>
      <w:pPr>
        <w:autoSpaceDN w:val="0"/>
        <w:autoSpaceDE w:val="0"/>
        <w:widowControl/>
        <w:spacing w:line="338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project also offers opportunities for the medical device and diagnostics industry. It can encourage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development of portable Raman instruments, disposable SERS sensor chips, smart clinical software,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integrated decision-support platforms. Companies working in nanotechnology, biosensors, optics,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healthcare equipment may benefit from the increasing demand for rapid diagnostic tools.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addition, the innovation aligns well with current trends such as personalized medicine, digital health,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connected healthcare systems. </w:t>
      </w:r>
    </w:p>
    <w:p>
      <w:pPr>
        <w:autoSpaceDN w:val="0"/>
        <w:autoSpaceDE w:val="0"/>
        <w:widowControl/>
        <w:spacing w:line="197" w:lineRule="auto" w:before="1368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38 </w:t>
      </w:r>
    </w:p>
    <w:p>
      <w:pPr>
        <w:sectPr>
          <w:pgSz w:w="11906" w:h="16838"/>
          <w:pgMar w:top="72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7.3 Economic Impact </w:t>
      </w:r>
    </w:p>
    <w:p>
      <w:pPr>
        <w:autoSpaceDN w:val="0"/>
        <w:autoSpaceDE w:val="0"/>
        <w:widowControl/>
        <w:spacing w:line="334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Delayed sepsis diagnosis often leads to higher healthcare costs because patients may require longer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ICU stays, repeated tests, advanced supportive care, and extended hospitalization. A rapid screening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platform can help reduce these expenses by enabling earlier intervention and more efficient treatment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planning. Hospitals may benefit through better bed management, faster decision-making, and reduced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pressure on central laboratories. </w:t>
      </w:r>
    </w:p>
    <w:p>
      <w:pPr>
        <w:autoSpaceDN w:val="0"/>
        <w:autoSpaceDE w:val="0"/>
        <w:widowControl/>
        <w:spacing w:line="334" w:lineRule="auto" w:before="30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 a broader level, reducing deaths and long-term complications caused by sepsis can improve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workforce productivity and lower the economic burden associated with disability and prolonged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recovery. Affordable decentralized diagnostics can also reduce travel costs and out-of-pocket medical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expenses for patients and families. This is particularly important in countries such as India, where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access to advanced healthcare may vary between urban and rural regions. 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7.4 Market Potential </w:t>
      </w:r>
    </w:p>
    <w:p>
      <w:pPr>
        <w:autoSpaceDN w:val="0"/>
        <w:autoSpaceDE w:val="0"/>
        <w:widowControl/>
        <w:spacing w:line="334" w:lineRule="auto" w:before="30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market opportunity for rapid sepsis diagnostics is considerable because of the increasing global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burden of infections, growing ICU admissions, and rising demand for point-of-care testing. Healthcare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providers are actively seeking faster and more reliable tools that can support early diagnosis and timely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treatment decisions. A portable SERS-based platform can serve multiple healthcare environments,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making it commercially attractive across both urban and decentralized care settings. </w:t>
      </w:r>
    </w:p>
    <w:p>
      <w:pPr>
        <w:autoSpaceDN w:val="0"/>
        <w:autoSpaceDE w:val="0"/>
        <w:widowControl/>
        <w:spacing w:line="230" w:lineRule="auto" w:before="3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Target Users Include: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30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Multispecialty hospitals and ICUs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30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Emergency departments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30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Neonatal and pediatric care units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30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Diagnostic laboratories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30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Rural healthcare centers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30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Ambulance and mobile care services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31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Defense and disaster-response medical units </w:t>
      </w:r>
    </w:p>
    <w:p>
      <w:pPr>
        <w:autoSpaceDN w:val="0"/>
        <w:autoSpaceDE w:val="0"/>
        <w:widowControl/>
        <w:spacing w:line="317" w:lineRule="auto" w:before="30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India represents a strong growth market because of its large population, expanding healthcare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infrastructure, and increasing interest in locally developed medical technologies under initiatives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Make in India and National Digital Health Mission. Internationally, the solution can also address </w:t>
      </w:r>
    </w:p>
    <w:p>
      <w:pPr>
        <w:autoSpaceDN w:val="0"/>
        <w:autoSpaceDE w:val="0"/>
        <w:widowControl/>
        <w:spacing w:line="197" w:lineRule="auto" w:before="664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39 </w:t>
      </w:r>
    </w:p>
    <w:p>
      <w:pPr>
        <w:sectPr>
          <w:pgSz w:w="11906" w:h="16838"/>
          <w:pgMar w:top="72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demand in advanced healthcare systems as well as low-resource regions where affordable diagnostics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urgently needed. </w:t>
      </w:r>
    </w:p>
    <w:p>
      <w:pPr>
        <w:autoSpaceDN w:val="0"/>
        <w:tabs>
          <w:tab w:pos="360" w:val="left"/>
        </w:tabs>
        <w:autoSpaceDE w:val="0"/>
        <w:widowControl/>
        <w:spacing w:line="425" w:lineRule="auto" w:before="3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7.5 Commercialization Opportunity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proposed project has strong potential to be developed into a startup venture or licensed healthcare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product. Several commercialization pathways are possible depending on the stage of technology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development and market need. These may include: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Portable Raman/SERS sepsis screening devices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Disposable biomarker detection cartridges or sensor chips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Cloud-enabled clinical interpretation software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AI-based infection risk scoring platforms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Integrated hospital diagnostic dashboards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 are also promising partnership opportunities with hospitals, medtech manufacturers,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nanotechnology companies, and public health agencies. Support through technology transfer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programs, patent protection, incubators, and startup accelerators can help speed up product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development and market entry. </w:t>
      </w:r>
    </w:p>
    <w:p>
      <w:pPr>
        <w:autoSpaceDN w:val="0"/>
        <w:autoSpaceDE w:val="0"/>
        <w:widowControl/>
        <w:spacing w:line="362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7.6 Long-Term Impact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long term, this innovation can contribute to stronger healthcare preparedness, better infectious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disease management, and wider adoption of smart diagnostic systems. It supports larger goals such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preventive healthcare, digital transformation, and development of affordable indigenous medical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technologies. </w:t>
      </w:r>
    </w:p>
    <w:p>
      <w:pPr>
        <w:autoSpaceDN w:val="0"/>
        <w:autoSpaceDE w:val="0"/>
        <w:widowControl/>
        <w:spacing w:line="329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Importantly, the platform is not limited to sepsis alone. With suitable modifications, the same sensing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approach could be adapted for other infectious diseases, inflammatory conditions, and biomarker-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based screening applications. This gives the technology broader future value and increases its potential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large-scale adoption. </w:t>
      </w:r>
    </w:p>
    <w:p>
      <w:pPr>
        <w:autoSpaceDN w:val="0"/>
        <w:autoSpaceDE w:val="0"/>
        <w:widowControl/>
        <w:spacing w:line="295" w:lineRule="auto" w:before="3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Overall, the proposed work has the capacity to grow from an academic research project into a scalable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healthcare solution with lasting social, clinical, and economic impact. </w:t>
      </w:r>
    </w:p>
    <w:p>
      <w:pPr>
        <w:autoSpaceDN w:val="0"/>
        <w:autoSpaceDE w:val="0"/>
        <w:widowControl/>
        <w:spacing w:line="230" w:lineRule="auto" w:before="88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8. CHALLENGES OR RISK FACTORS ASSOCIATED WITH THE PROJECT </w:t>
      </w:r>
    </w:p>
    <w:p>
      <w:pPr>
        <w:autoSpaceDN w:val="0"/>
        <w:autoSpaceDE w:val="0"/>
        <w:widowControl/>
        <w:spacing w:line="197" w:lineRule="auto" w:before="506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40 </w:t>
      </w:r>
    </w:p>
    <w:p>
      <w:pPr>
        <w:sectPr>
          <w:pgSz w:w="11906" w:h="16838"/>
          <w:pgMar w:top="72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34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 is a lot of promise for practical healthcare applications in the initiative named Sepsis Biomarkers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Analysis Using SERS-Based Sensor. It does, however, face a number of difficulties pertaining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technical performance, experimentation, operations, cost, regulation, and market adoption, just like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new medical device. For development, validation, and future deployment to be successful,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risks must be identified early on. 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8.1 Technical Challenges </w:t>
      </w:r>
    </w:p>
    <w:p>
      <w:pPr>
        <w:autoSpaceDN w:val="0"/>
        <w:autoSpaceDE w:val="0"/>
        <w:widowControl/>
        <w:spacing w:line="329" w:lineRule="auto" w:before="30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Achieving reliable and repeatable SERS signal augmentation is one of the main technical problems.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Particle dispersion, surface roughness, nanostructure shape, and hotspot development on the sensor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substrate all have a significant impact on Raman intensity. Signal strength changes across batches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might result from even minor deviations during manufacture. </w:t>
      </w:r>
    </w:p>
    <w:p>
      <w:pPr>
        <w:autoSpaceDN w:val="0"/>
        <w:autoSpaceDE w:val="0"/>
        <w:widowControl/>
        <w:spacing w:line="326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Finding biomarkers in biological samples at extremely low concentrations is another challenge.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Particularly when the signal-to-noise ratio is low, weak signals can lower sensitivity and complicate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analysis. This calls for sophisticated preprocessing techniques, meticulous substrate design,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optimal optics. </w:t>
      </w:r>
    </w:p>
    <w:p>
      <w:pPr>
        <w:autoSpaceDN w:val="0"/>
        <w:autoSpaceDE w:val="0"/>
        <w:widowControl/>
        <w:spacing w:line="338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Another significant problem is spectral interference from complex biological fluids like blood, plasma,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serum. The intended biomarker signals may be obscured or overlapped by the proteins, salts, lipids,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metabolites present in these samples. Additionally, detector sensitivity, calibration flaws, laser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instability, and baseline drift can all have an impact on data quality. Future iterations of machine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learning models may have additional dangers, such as overfitting, bias in training data, and subpar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performance on untested clinical samples. 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8.2 Experimental and Validation Risks </w:t>
      </w:r>
    </w:p>
    <w:p>
      <w:pPr>
        <w:autoSpaceDN w:val="0"/>
        <w:autoSpaceDE w:val="0"/>
        <w:widowControl/>
        <w:spacing w:line="334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Currently, a large portion of the research has been conducted under controlled laboratory conditions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utilizing pure standards. Because clinical samples differ from person to person and between illness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stages, it might be difficult to translate these findings into actual patient samples. The degree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infection, the immunological response, and the course of treatment can all affect how biomarkers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expressed. </w:t>
      </w:r>
    </w:p>
    <w:p>
      <w:pPr>
        <w:autoSpaceDN w:val="0"/>
        <w:autoSpaceDE w:val="0"/>
        <w:widowControl/>
        <w:spacing w:line="329" w:lineRule="auto" w:before="30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scarcity of appropriately labeled sepsis samples for validation research presents another difficulty.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Establishing sensitivity, specificity, and clinical dependability may take longer in the absence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adequate real-world data. Before routine deployment becomes feasible, reproducibility must also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shown across many instruments, users, and environmental conditions. </w:t>
      </w:r>
    </w:p>
    <w:p>
      <w:pPr>
        <w:autoSpaceDN w:val="0"/>
        <w:autoSpaceDE w:val="0"/>
        <w:widowControl/>
        <w:spacing w:line="197" w:lineRule="auto" w:before="796" w:after="0"/>
        <w:ind w:left="0" w:right="2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41 </w:t>
      </w:r>
    </w:p>
    <w:p>
      <w:pPr>
        <w:sectPr>
          <w:pgSz w:w="11906" w:h="16838"/>
          <w:pgMar w:top="724" w:right="1000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Additionally, some biomarkers might exist below the prototype's initial detection limit. Additionally,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additional refining of substrate chemistry, assay design, and spectrum deconvolution techniques may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necessary for the simultaneous detection of numerous biomarkers. 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8.3 Operational Challenges </w:t>
      </w:r>
    </w:p>
    <w:p>
      <w:pPr>
        <w:autoSpaceDN w:val="0"/>
        <w:autoSpaceDE w:val="0"/>
        <w:widowControl/>
        <w:spacing w:line="329" w:lineRule="auto" w:before="30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technology must seamlessly integrate into current hospital workflows for clinical adoption to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successful. Adoption might be constrained if the technology needs complicated operating procedures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highly specialized training. Healthcare workers are more likely to adopt software that is easy to use,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intuitive, reports quickly, and requires little human labor. </w:t>
      </w:r>
    </w:p>
    <w:p>
      <w:pPr>
        <w:autoSpaceDN w:val="0"/>
        <w:autoSpaceDE w:val="0"/>
        <w:widowControl/>
        <w:spacing w:line="326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Regular calibration, maintenance requirements, and consumable replacement are additional operating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concerns. Additional obstacles in remote or low-resource environments could include erratic power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supplies, a lack of professional assistance, and environmental factors like dust, heat, or humidity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 impair instrument performance. 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8.4 Financial Risks </w:t>
      </w:r>
    </w:p>
    <w:p>
      <w:pPr>
        <w:autoSpaceDN w:val="0"/>
        <w:autoSpaceDE w:val="0"/>
        <w:widowControl/>
        <w:spacing w:line="317" w:lineRule="auto" w:before="31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can be expensive to develop an early prototype using nanomaterials, Raman optics, detectors,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precision parts. Expensive materials and several experiments are frequently needed for preliminary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research and prototype. </w:t>
      </w:r>
    </w:p>
    <w:p>
      <w:pPr>
        <w:autoSpaceDN w:val="0"/>
        <w:autoSpaceDE w:val="0"/>
        <w:widowControl/>
        <w:spacing w:line="329" w:lineRule="auto" w:before="30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transition from a laboratory prototype to a commercial product that can be manufactured presents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additional financial obstacles, such as supply chain setup, production tooling, quality control systems,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regulatory documentation. Clinical trials, large-scale validation, regulatory approval, and product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development may all be slowed down by a lack of funds. 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8.5 Regulatory and Ethical Challenges </w:t>
      </w:r>
    </w:p>
    <w:p>
      <w:pPr>
        <w:autoSpaceDN w:val="0"/>
        <w:autoSpaceDE w:val="0"/>
        <w:widowControl/>
        <w:spacing w:line="338" w:lineRule="auto" w:before="31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Before being commercialized, the suggested system must adhere to all applicable medical device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regulations, safety standards, and performance validation requirements as a healthcare diagnostic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technology. The Central Drugs Standard Control Organization (CDSCO), European CE marking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regulations, or U.S. Food and Drug Administration (FDA) processes may be involved in approvals,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depending on the target market. It may take time, money, and substantial clinical proof to meet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standards. </w:t>
      </w:r>
    </w:p>
    <w:p>
      <w:pPr>
        <w:autoSpaceDN w:val="0"/>
        <w:autoSpaceDE w:val="0"/>
        <w:widowControl/>
        <w:spacing w:line="298" w:lineRule="auto" w:before="30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Further worries about patient data privacy, cybersecurity, and safe data storage emerge if future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iterations use cloud analytics or artificial intelligence. Utilizing diagnostic results ethically is also </w:t>
      </w:r>
    </w:p>
    <w:p>
      <w:pPr>
        <w:autoSpaceDN w:val="0"/>
        <w:autoSpaceDE w:val="0"/>
        <w:widowControl/>
        <w:spacing w:line="197" w:lineRule="auto" w:before="888" w:after="0"/>
        <w:ind w:left="0" w:right="2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42 </w:t>
      </w:r>
    </w:p>
    <w:p>
      <w:pPr>
        <w:sectPr>
          <w:pgSz w:w="11906" w:h="16838"/>
          <w:pgMar w:top="724" w:right="1000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crucial. Strong scientific proof must back up clinical claims in order to prevent the system from being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abused or relied upon without the proper medical judgment. </w:t>
      </w:r>
    </w:p>
    <w:p>
      <w:pPr>
        <w:autoSpaceDN w:val="0"/>
        <w:autoSpaceDE w:val="0"/>
        <w:widowControl/>
        <w:spacing w:line="362" w:lineRule="auto" w:before="3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8.6 Market and Adoption Risks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 implementing new diagnostic tools, healthcare clinicians are frequently hesitant, particularly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 tried-and-true techniques are already in place. Prior to widespread implementation, strong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clinical validation, cost-effectiveness, and interoperability with current hospital systems are typically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necessary. </w:t>
      </w:r>
    </w:p>
    <w:p>
      <w:pPr>
        <w:autoSpaceDN w:val="0"/>
        <w:autoSpaceDE w:val="0"/>
        <w:widowControl/>
        <w:spacing w:line="329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Prominent laboratory assays and quickly expanding point-of-care diagnostic technologies may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possibly pose a threat to the project. This may put pressure on prices and necessitate distinct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performance or usability differences. Additionally, hospital procurement and purchasing procedures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frequently sluggish, especially for new businesses or first-time suppliers.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466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8.7 Critical Success Factors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long-term success of the project depends on several key performance and adoption factors,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including: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High analytical sensitivity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High specificity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Strong reproducibility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Affordable cost per test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Ease of operation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Portability and compact design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Fast turnaround time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Clinician trust and acceptance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Strong stakeholder partnerships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Manufacturing readiness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Scalability for large deployments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Balancing these factors will be essential for successful translation from research prototype to real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healthcare product. </w:t>
      </w:r>
    </w:p>
    <w:p>
      <w:pPr>
        <w:autoSpaceDN w:val="0"/>
        <w:autoSpaceDE w:val="0"/>
        <w:widowControl/>
        <w:spacing w:line="197" w:lineRule="auto" w:before="438" w:after="0"/>
        <w:ind w:left="0" w:right="2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43 </w:t>
      </w:r>
    </w:p>
    <w:p>
      <w:pPr>
        <w:sectPr>
          <w:pgSz w:w="11906" w:h="16838"/>
          <w:pgMar w:top="724" w:right="1000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8.8 Mitigation Strategies </w:t>
      </w:r>
    </w:p>
    <w:p>
      <w:pPr>
        <w:autoSpaceDN w:val="0"/>
        <w:autoSpaceDE w:val="0"/>
        <w:widowControl/>
        <w:spacing w:line="317" w:lineRule="auto" w:before="308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well-thought-out, phased development strategy can lower many of these hazards. Consistency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reproducibility can be increased through standardized substrate fabrication techniques, appropriate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calibration procedures, and repeated testing. </w:t>
      </w:r>
    </w:p>
    <w:p>
      <w:pPr>
        <w:autoSpaceDN w:val="0"/>
        <w:autoSpaceDE w:val="0"/>
        <w:widowControl/>
        <w:spacing w:line="317" w:lineRule="auto" w:before="30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increase trust in system performance, validation should go gradually from pure standards to spiked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samples and finally to actual clinical samples. Sample access, testing, and useful feedback can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facilitated by partnerships with hospitals, doctors, and business partners. </w:t>
      </w:r>
    </w:p>
    <w:p>
      <w:pPr>
        <w:autoSpaceDN w:val="0"/>
        <w:autoSpaceDE w:val="0"/>
        <w:widowControl/>
        <w:spacing w:line="334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Modular hardware components, scalable production techniques, and design-for-manufacturing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principles can all reduce costs. Future clearance processes can be shortened by planning ahead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regulatory documents, quality systems, and compliance paths. Lastly, operator training,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straightforward software interfaces, and user-centered design can greatly increase acceptance in actual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healthcare settings. </w:t>
      </w:r>
    </w:p>
    <w:p>
      <w:pPr>
        <w:autoSpaceDN w:val="0"/>
        <w:autoSpaceDE w:val="0"/>
        <w:widowControl/>
        <w:spacing w:line="230" w:lineRule="auto" w:before="308" w:after="302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8.9 Risk Summary Table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457"/>
        <w:gridCol w:w="2457"/>
        <w:gridCol w:w="2457"/>
        <w:gridCol w:w="2457"/>
      </w:tblGrid>
      <w:tr>
        <w:trPr>
          <w:trHeight w:hRule="exact" w:val="838"/>
        </w:trPr>
        <w:tc>
          <w:tcPr>
            <w:tcW w:type="dxa" w:w="161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0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Risk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Category </w:t>
            </w:r>
          </w:p>
        </w:tc>
        <w:tc>
          <w:tcPr>
            <w:tcW w:type="dxa" w:w="256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Challenge </w:t>
            </w:r>
          </w:p>
        </w:tc>
        <w:tc>
          <w:tcPr>
            <w:tcW w:type="dxa" w:w="251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Impact </w:t>
            </w:r>
          </w:p>
        </w:tc>
        <w:tc>
          <w:tcPr>
            <w:tcW w:type="dxa" w:w="304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Mitigation </w:t>
            </w:r>
          </w:p>
        </w:tc>
      </w:tr>
      <w:tr>
        <w:trPr>
          <w:trHeight w:hRule="exact" w:val="836"/>
        </w:trPr>
        <w:tc>
          <w:tcPr>
            <w:tcW w:type="dxa" w:w="16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Technical </w:t>
            </w:r>
          </w:p>
        </w:tc>
        <w:tc>
          <w:tcPr>
            <w:tcW w:type="dxa" w:w="25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0" w:after="0"/>
              <w:ind w:left="10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Variable SERS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enhancement </w:t>
            </w:r>
          </w:p>
        </w:tc>
        <w:tc>
          <w:tcPr>
            <w:tcW w:type="dxa" w:w="25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Reduced accuracy </w:t>
            </w:r>
          </w:p>
        </w:tc>
        <w:tc>
          <w:tcPr>
            <w:tcW w:type="dxa" w:w="30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0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Standardized substrate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fabrication </w:t>
            </w:r>
          </w:p>
        </w:tc>
      </w:tr>
      <w:tr>
        <w:trPr>
          <w:trHeight w:hRule="exact" w:val="840"/>
        </w:trPr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Experimental </w:t>
            </w:r>
          </w:p>
        </w:tc>
        <w:tc>
          <w:tcPr>
            <w:tcW w:type="dxa" w:w="2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0" w:after="0"/>
              <w:ind w:left="10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Limited clinical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samples </w:t>
            </w:r>
          </w:p>
        </w:tc>
        <w:tc>
          <w:tcPr>
            <w:tcW w:type="dxa" w:w="2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Delayed validation </w:t>
            </w:r>
          </w:p>
        </w:tc>
        <w:tc>
          <w:tcPr>
            <w:tcW w:type="dxa" w:w="30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Hospital collaborations </w:t>
            </w:r>
          </w:p>
        </w:tc>
      </w:tr>
      <w:tr>
        <w:trPr>
          <w:trHeight w:hRule="exact" w:val="838"/>
        </w:trPr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Operational </w:t>
            </w:r>
          </w:p>
        </w:tc>
        <w:tc>
          <w:tcPr>
            <w:tcW w:type="dxa" w:w="2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8" w:after="0"/>
              <w:ind w:left="102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Training and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maintenance needs </w:t>
            </w:r>
          </w:p>
        </w:tc>
        <w:tc>
          <w:tcPr>
            <w:tcW w:type="dxa" w:w="2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Lower usability </w:t>
            </w:r>
          </w:p>
        </w:tc>
        <w:tc>
          <w:tcPr>
            <w:tcW w:type="dxa" w:w="30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8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Simple UI and training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modules </w:t>
            </w:r>
          </w:p>
        </w:tc>
      </w:tr>
      <w:tr>
        <w:trPr>
          <w:trHeight w:hRule="exact" w:val="838"/>
        </w:trPr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Financial </w:t>
            </w:r>
          </w:p>
        </w:tc>
        <w:tc>
          <w:tcPr>
            <w:tcW w:type="dxa" w:w="2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High prototype cost </w:t>
            </w:r>
          </w:p>
        </w:tc>
        <w:tc>
          <w:tcPr>
            <w:tcW w:type="dxa" w:w="2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Slower development </w:t>
            </w:r>
          </w:p>
        </w:tc>
        <w:tc>
          <w:tcPr>
            <w:tcW w:type="dxa" w:w="30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Grants, partnerships, phased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scaling </w:t>
            </w:r>
          </w:p>
        </w:tc>
      </w:tr>
      <w:tr>
        <w:trPr>
          <w:trHeight w:hRule="exact" w:val="838"/>
        </w:trPr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Regulatory </w:t>
            </w:r>
          </w:p>
        </w:tc>
        <w:tc>
          <w:tcPr>
            <w:tcW w:type="dxa" w:w="2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Approval requirements </w:t>
            </w:r>
          </w:p>
        </w:tc>
        <w:tc>
          <w:tcPr>
            <w:tcW w:type="dxa" w:w="2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8" w:after="0"/>
              <w:ind w:left="10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Delayed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commercialization </w:t>
            </w:r>
          </w:p>
        </w:tc>
        <w:tc>
          <w:tcPr>
            <w:tcW w:type="dxa" w:w="30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Early compliance planning </w:t>
            </w:r>
          </w:p>
        </w:tc>
      </w:tr>
      <w:tr>
        <w:trPr>
          <w:trHeight w:hRule="exact" w:val="840"/>
        </w:trPr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Market </w:t>
            </w:r>
          </w:p>
        </w:tc>
        <w:tc>
          <w:tcPr>
            <w:tcW w:type="dxa" w:w="2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2" w:after="0"/>
              <w:ind w:left="10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Resistance to new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technology </w:t>
            </w:r>
          </w:p>
        </w:tc>
        <w:tc>
          <w:tcPr>
            <w:tcW w:type="dxa" w:w="2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Slow adoption </w:t>
            </w:r>
          </w:p>
        </w:tc>
        <w:tc>
          <w:tcPr>
            <w:tcW w:type="dxa" w:w="30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2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Clinical evidence and cost-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benefit proof </w:t>
            </w:r>
          </w:p>
        </w:tc>
      </w:tr>
    </w:tbl>
    <w:p>
      <w:pPr>
        <w:autoSpaceDN w:val="0"/>
        <w:autoSpaceDE w:val="0"/>
        <w:widowControl/>
        <w:spacing w:line="295" w:lineRule="auto" w:before="58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summary, while the project faces realistic challenges, these risks are manageable through structured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development, interdisciplinary collaboration, and evidence-driven validation. </w:t>
      </w:r>
    </w:p>
    <w:p>
      <w:pPr>
        <w:autoSpaceDN w:val="0"/>
        <w:autoSpaceDE w:val="0"/>
        <w:widowControl/>
        <w:spacing w:line="197" w:lineRule="auto" w:before="876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44 </w:t>
      </w:r>
    </w:p>
    <w:p>
      <w:pPr>
        <w:sectPr>
          <w:pgSz w:w="11906" w:h="16838"/>
          <w:pgMar w:top="72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9. ANY PATENT OR EQUIVALENT FILED </w:t>
      </w:r>
    </w:p>
    <w:p>
      <w:pPr>
        <w:autoSpaceDN w:val="0"/>
        <w:autoSpaceDE w:val="0"/>
        <w:widowControl/>
        <w:spacing w:line="338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 present,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no patent or equivalent intellectual property (IP) has been formally filed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for the project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titled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Sepsis Biomarkers Analysis Using SERS-Based Sensor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The current stage of the work has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primarily focused on problem definition, literature review, computational modelling, Raman spectral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validation of target biomarkers, and proof-of-concept experimental studies. These activities have been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essential for establishing scientific feasibility and identifying potential areas of innovation before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initiating formal IP protection. </w:t>
      </w:r>
    </w:p>
    <w:p>
      <w:pPr>
        <w:autoSpaceDN w:val="0"/>
        <w:autoSpaceDE w:val="0"/>
        <w:widowControl/>
        <w:spacing w:line="338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preliminary novelty and patent landscape assessment has been conducted to understand the existing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state of technology in sepsis diagnostics, biosensors, Raman spectroscopy platforms, and SERS-based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detection systems. This review indicates that while several patents exist in the areas of immunoassays,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molecular diagnostics, substrate fabrication, and portable Raman instrumentation, opportunities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remain for innovation in integrated, low-cost, multi-biomarker, and point-of-care sepsis sensing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solutions. </w:t>
      </w:r>
    </w:p>
    <w:p>
      <w:pPr>
        <w:autoSpaceDN w:val="0"/>
        <w:autoSpaceDE w:val="0"/>
        <w:widowControl/>
        <w:spacing w:line="295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Based on the current findings, the project contains multiple components that may be considered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patentable after further technical validation and prototype maturation. These may include: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30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Novel Ag/Au nanostructured SERS substrate designs optimized for sepsis biomarker detection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30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Multi-biomarker spectral detection workflow for rapid sepsis screening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30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AI-assisted Raman spectral classification and diagnostic decision-support system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30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Portable point-of-care sensing device architecture for bedside use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31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Low-volume sample handling cartridge integrated with SERS detection platform </w:t>
      </w:r>
    </w:p>
    <w:p>
      <w:pPr>
        <w:autoSpaceDN w:val="0"/>
        <w:autoSpaceDE w:val="0"/>
        <w:widowControl/>
        <w:spacing w:line="334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future IP strategy would involve completing prototype development, performing repeatability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clinical validation studies, generating comparative performance data, and documenting clear claims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novelty over existing technologies. Following these milestones, 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provisional patent application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considered as the first step toward formal protection, followed by complete specification filing,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technology transfer, licensing, or startup commercialization depending on translational outcomes. </w:t>
      </w:r>
    </w:p>
    <w:p>
      <w:pPr>
        <w:autoSpaceDN w:val="0"/>
        <w:autoSpaceDE w:val="0"/>
        <w:widowControl/>
        <w:spacing w:line="295" w:lineRule="auto" w:before="30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summary, no IP filing has been made to date; however, the project demonstrates sufficient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innovation potential for future patent consideration after further development and validation. </w:t>
      </w:r>
    </w:p>
    <w:p>
      <w:pPr>
        <w:autoSpaceDN w:val="0"/>
        <w:autoSpaceDE w:val="0"/>
        <w:widowControl/>
        <w:spacing w:line="197" w:lineRule="auto" w:before="1558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45 </w:t>
      </w:r>
    </w:p>
    <w:p>
      <w:pPr>
        <w:sectPr>
          <w:pgSz w:w="11906" w:h="16838"/>
          <w:pgMar w:top="72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62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10. RELEVANT REFERENCES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[1] M. Singer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et 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., “The Third International Consensus Definitions for Sepsis and Septic Shock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(Sepsis-3),”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JAMA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vol. 315, no. 8, pp. 801–810, 2016, doi: 10.1001/jama.2016.0287. </w:t>
      </w:r>
    </w:p>
    <w:p>
      <w:pPr>
        <w:autoSpaceDN w:val="0"/>
        <w:autoSpaceDE w:val="0"/>
        <w:widowControl/>
        <w:spacing w:line="317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[2] C. Fleischmann-Struzek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et 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., “The global burden of paediatric and neonatal sepsis: a systematic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review,”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Lancet Respiratory Medicine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vol. 6, no. 3, pp. 223–230, 2018, doi: 10.1016/S2213-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2600(18)30063-8. </w:t>
      </w:r>
    </w:p>
    <w:p>
      <w:pPr>
        <w:autoSpaceDN w:val="0"/>
        <w:autoSpaceDE w:val="0"/>
        <w:widowControl/>
        <w:spacing w:line="362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[3] K. Reinhart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et 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., “Recognizing sepsis as a global health priority — A WHO resolution,”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New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England Journal of Medicine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vol. 377, no. 5, pp. 414–417, 2017, doi: 10.1056/NEJMp1707170.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[4] A. van der Poll, F. L. van de Veerdonk, B. Scicluna, and M. Netea, “The immunopathology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sepsis and potential therapeutic targets,”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Nature Reviews Immunology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vol. 17, pp. 407–420, 2017, doi: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10.1038/nri.2017.36. </w:t>
      </w:r>
    </w:p>
    <w:p>
      <w:pPr>
        <w:autoSpaceDN w:val="0"/>
        <w:autoSpaceDE w:val="0"/>
        <w:widowControl/>
        <w:spacing w:line="295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[5] J. P. Nolan and J. W. L. Thiemermann, “Biomarkers in sepsis: past, present and future,”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Anaesthesia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vol. 75, Suppl. 1, pp. e35–e48, 2020, doi: 10.1111/anae.14976. </w:t>
      </w:r>
    </w:p>
    <w:p>
      <w:pPr>
        <w:autoSpaceDN w:val="0"/>
        <w:autoSpaceDE w:val="0"/>
        <w:widowControl/>
        <w:spacing w:line="295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[6] K. S. Kho and R. Ismail, “Procalcitonin as a biomarker in sepsis,”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Biomarker Research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vol. 10,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no. 1, pp. 1–12, 2022, doi: 10.1186/s40364-022-00354-7. </w:t>
      </w:r>
    </w:p>
    <w:p>
      <w:pPr>
        <w:autoSpaceDN w:val="0"/>
        <w:autoSpaceDE w:val="0"/>
        <w:widowControl/>
        <w:spacing w:line="317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[7] S. Schlücker, “Surface-enhanced Raman spectroscopy: Concepts and chemical applications,”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Angewandte Chemie International Edition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vol. 53, no. 19, pp. 4756–4795, 2014, doi: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10.1002/anie.201205748. </w:t>
      </w:r>
    </w:p>
    <w:p>
      <w:pPr>
        <w:autoSpaceDN w:val="0"/>
        <w:autoSpaceDE w:val="0"/>
        <w:widowControl/>
        <w:spacing w:line="317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[8] K. Kneipp, Y. Wang, H. Kneipp, L. T. Perelman, I. Itzkan, R. Dasari, and M. Feld, “Single molecule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detection using surface-enhanced Raman scattering (SERS),”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Physical Review Letters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vol. 78, no. 9,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pp. 1667–1670, 1997, doi: 10.1103/PhysRevLett.78.1667. </w:t>
      </w:r>
    </w:p>
    <w:p>
      <w:pPr>
        <w:autoSpaceDN w:val="0"/>
        <w:autoSpaceDE w:val="0"/>
        <w:widowControl/>
        <w:spacing w:line="295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[9] E. C. Le Ru and P. G. Etchegoin,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Principles of Surface-Enhanced Raman Spectroscopy and Related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Plasmonic Effects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Amsterdam, The Netherlands: Elsevier, 2009. </w:t>
      </w:r>
    </w:p>
    <w:p>
      <w:pPr>
        <w:autoSpaceDN w:val="0"/>
        <w:autoSpaceDE w:val="0"/>
        <w:widowControl/>
        <w:spacing w:line="317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[10] M. Kahraman, M. M. Yazıcı, F. Şahin, and M. Çulha, “Reproducible surface-enhanced Raman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scattering spectra of bacteria on aggregated silver nanoparticles,”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Applied Spectroscopy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vol. 61, no.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5, pp. 500–506, 2007, doi: 10.1366/000370207780831543. </w:t>
      </w:r>
    </w:p>
    <w:p>
      <w:pPr>
        <w:autoSpaceDN w:val="0"/>
        <w:autoSpaceDE w:val="0"/>
        <w:widowControl/>
        <w:spacing w:line="317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[11] Y. Liu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et 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., “Potential of surface-enhanced Raman spectroscopy for the rapid identification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Escherichia coli and Listeria monocytogenes cultures on silver colloidal nanoparticles,”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Applied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Spectroscopy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vol. 61, no. 8, pp. 824–831, 2007, doi: 10.1366/000370207781745928. </w:t>
      </w:r>
    </w:p>
    <w:p>
      <w:pPr>
        <w:autoSpaceDN w:val="0"/>
        <w:autoSpaceDE w:val="0"/>
        <w:widowControl/>
        <w:spacing w:line="197" w:lineRule="auto" w:before="570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46 </w:t>
      </w:r>
    </w:p>
    <w:p>
      <w:pPr>
        <w:sectPr>
          <w:pgSz w:w="11906" w:h="16838"/>
          <w:pgMar w:top="724" w:right="998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[12] D. Ma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et 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., “Escherichia coli research on Raman measurement mechanism and diagnostic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model,”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Vibrational Spectroscopy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vol. 130, p. 103670, 2024, doi: 10.1016/j.vibspec.2024.103670. </w:t>
      </w:r>
    </w:p>
    <w:p>
      <w:pPr>
        <w:autoSpaceDN w:val="0"/>
        <w:autoSpaceDE w:val="0"/>
        <w:widowControl/>
        <w:spacing w:line="317" w:lineRule="auto" w:before="31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[13] J. De Gelder, K. De Gussem, P. Vandenabeele, and L. Moens, “Reference database of Raman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spectra of biological molecules,”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Journal of Raman Spectroscopy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vol. 38, no. 9, pp. 1133–1147, 2007,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doi: 10.1002/jrs.1734. </w:t>
      </w:r>
    </w:p>
    <w:p>
      <w:pPr>
        <w:autoSpaceDN w:val="0"/>
        <w:autoSpaceDE w:val="0"/>
        <w:widowControl/>
        <w:spacing w:line="295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[14] R. M. Jarvis and R. Goodacre, “Discrimination of bacteria using surface-enhanced Raman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spectroscopy,”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Analytical Chemistry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vol. 76, no. 1, pp. 40–47, 2004, doi: 10.1021/ac0346898. </w:t>
      </w:r>
    </w:p>
    <w:p>
      <w:pPr>
        <w:autoSpaceDN w:val="0"/>
        <w:autoSpaceDE w:val="0"/>
        <w:widowControl/>
        <w:spacing w:line="317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[15] A. Sengupta, T. Mujacic, and E. J. Davis, “Bioaerosol characterization by surface-enhanced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Raman spectroscopy (SERS),”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Journal of Aerosol Science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vol. 36, no. 5–6, pp. 651–664, 2005, doi: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10.1016/j.jaerosci.2004.10.005. </w:t>
      </w:r>
    </w:p>
    <w:p>
      <w:pPr>
        <w:autoSpaceDN w:val="0"/>
        <w:autoSpaceDE w:val="0"/>
        <w:widowControl/>
        <w:spacing w:line="230" w:lineRule="auto" w:before="3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[16] Gaussian 09, Revision D.01, M. J. Frisch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et 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., Gaussian, Inc., Wallingford, CT, USA, 2013. </w:t>
      </w:r>
    </w:p>
    <w:p>
      <w:pPr>
        <w:autoSpaceDN w:val="0"/>
        <w:autoSpaceDE w:val="0"/>
        <w:widowControl/>
        <w:spacing w:line="295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[17] World Health Organization, “Global report on the epidemiology and burden of sepsis: current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evidence, identifying gaps and future directions,” WHO, Geneva, Switzerland, 2020. </w:t>
      </w:r>
    </w:p>
    <w:p>
      <w:pPr>
        <w:autoSpaceDN w:val="0"/>
        <w:autoSpaceDE w:val="0"/>
        <w:widowControl/>
        <w:spacing w:line="317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[18] A. F. B. Oliveira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et 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., “Biochemical characterization of pathogenic bacterial species using Raman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spectroscopy and discrimination model based on selected spectral features,”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Lasers in Medical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Science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vol. 36, pp. 1–14, 2021, doi: 10.1007/s10103-020-03154-5. </w:t>
      </w:r>
    </w:p>
    <w:p>
      <w:pPr>
        <w:autoSpaceDN w:val="0"/>
        <w:autoSpaceDE w:val="0"/>
        <w:widowControl/>
        <w:spacing w:line="197" w:lineRule="auto" w:before="6752" w:after="0"/>
        <w:ind w:left="0" w:right="3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47 </w:t>
      </w:r>
    </w:p>
    <w:sectPr w:rsidR="00FC693F" w:rsidRPr="0006063C" w:rsidSect="00034616">
      <w:pgSz w:w="11906" w:h="16838"/>
      <w:pgMar w:top="724" w:right="998" w:bottom="490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