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40"/>
          <w:szCs w:val="40"/>
        </w:rPr>
        <w:t xml:space="preserve">LPS: DFT-Supported Reference Bands</w:t>
      </w:r>
    </w:p>
    <w:p>
      <w:pPr>
        <w:spacing w:after="260"/>
      </w:pPr>
      <w:r>
        <w:rPr>
          <w:i/>
          <w:iCs/>
          <w:color w:val="555555"/>
          <w:sz w:val="22"/>
          <w:szCs w:val="22"/>
        </w:rPr>
        <w:t xml:space="preserve">A peak-by-peak reanalysis of powder Raman vs. fragment DFT — replacing a single R² with defensible, matched evidence</w:t>
      </w:r>
    </w:p>
    <w:p>
      <w:pPr>
        <w:spacing w:after="100"/>
      </w:pPr>
      <w:r>
        <w:rPr>
          <w:b w:val="false"/>
          <w:bCs w:val="false"/>
          <w:i w:val="false"/>
          <w:iCs w:val="false"/>
          <w:sz w:val="20"/>
          <w:szCs w:val="20"/>
        </w:rPr>
        <w:t xml:space="preserve">Prepared for: Sukesh P (M24IM1007)</w:t>
      </w:r>
    </w:p>
    <w:p>
      <w:pPr>
        <w:spacing w:after="240"/>
      </w:pPr>
      <w:r>
        <w:rPr>
          <w:b w:val="false"/>
          <w:bCs w:val="false"/>
          <w:i w:val="false"/>
          <w:iCs w:val="false"/>
          <w:sz w:val="20"/>
          <w:szCs w:val="20"/>
        </w:rPr>
        <w:t xml:space="preserve">Reanalysis date: 30 August 2026 — follow-up to the LPS Evidence Audit (29 Aug 2026)</w:t>
      </w:r>
    </w:p>
    <w:p>
      <w:pPr>
        <w:spacing w:after="100"/>
      </w:pPr>
      <w:r>
        <w:rPr>
          <w:b/>
          <w:bCs/>
          <w:i w:val="false"/>
          <w:iCs w:val="false"/>
          <w:sz w:val="22"/>
          <w:szCs w:val="22"/>
        </w:rPr>
        <w:t xml:space="preserve">What this document does</w:t>
      </w:r>
    </w:p>
    <w:p>
      <w:pPr>
        <w:spacing w:after="200"/>
      </w:pPr>
      <w:r>
        <w:rPr>
          <w:b w:val="false"/>
          <w:bCs w:val="false"/>
          <w:i w:val="false"/>
          <w:iCs w:val="false"/>
          <w:sz w:val="20"/>
          <w:szCs w:val="20"/>
        </w:rPr>
        <w:t xml:space="preserve">The evidence audit found that the previously published fit quality (R² = 0.180) could not be independently reproduced from the current pipeline, and flagged two specific bugs. Rather than re-quote that number, this document reprocesses the same existing data — no new measurements — with the bugs fixed, and replaces the single whole-curve R² with a peak-by-peak comparison: each experimental band is matched one-to-one against a DFT-predicted band (with a fragment assignment), a position error (Δ), and a confidence tier. The result is a defensible list of DFT-supported LPS reference bands, and a three-layer comparison against the literature.</w:t>
      </w:r>
    </w:p>
    <w:p>
      <w:pPr>
        <w:spacing w:after="100"/>
      </w:pPr>
      <w:r>
        <w:rPr>
          <w:b/>
          <w:bCs/>
          <w:i w:val="false"/>
          <w:iCs w:val="false"/>
          <w:sz w:val="22"/>
          <w:szCs w:val="22"/>
        </w:rPr>
        <w:t xml:space="preserve">Data used (no new experiments)</w:t>
      </w:r>
    </w:p>
    <w:p>
      <w:pPr>
        <w:spacing w:after="100"/>
      </w:pPr>
      <w:r>
        <w:rPr>
          <w:b w:val="false"/>
          <w:bCs w:val="false"/>
          <w:i w:val="false"/>
          <w:iCs w:val="false"/>
          <w:sz w:val="20"/>
          <w:szCs w:val="20"/>
        </w:rPr>
        <w:t xml:space="preserve">Experimental: sec-60_power-20_i-30.xlsx — the "final optimized" LPS powder Raman spectrum per LPS documentation.docx (E. coli O111:B4 LPS, Sigma-Aldrich L2630; B&amp;W Tek BWS465-785H, 784.92 nm; 60 s integration, 20% laser power, 30 accumulations).</w:t>
      </w:r>
    </w:p>
    <w:p>
      <w:pPr>
        <w:spacing w:after="200"/>
      </w:pPr>
      <w:r>
        <w:rPr>
          <w:b w:val="false"/>
          <w:bCs w:val="false"/>
          <w:i w:val="false"/>
          <w:iCs w:val="false"/>
          <w:sz w:val="20"/>
          <w:szCs w:val="20"/>
        </w:rPr>
        <w:t xml:space="preserve">DFT: the five raw Gaussian fragment exports in lps sim/ (KDO, D-glucosamine, Heptose, Myristic Acid, Phosphoric Acid) — discrete "Peak information (Harmonic)" lists, scaled by 0.9613.</w:t>
      </w:r>
    </w:p>
    <w:p>
      <w:pPr>
        <w:spacing w:after="100"/>
      </w:pPr>
      <w:r>
        <w:rPr>
          <w:b/>
          <w:bCs/>
          <w:i w:val="false"/>
          <w:iCs w:val="false"/>
          <w:sz w:val="22"/>
          <w:szCs w:val="22"/>
        </w:rPr>
        <w:t xml:space="preserve">What was fixed from the audit</w:t>
      </w:r>
    </w:p>
    <w:p>
      <w:pPr>
        <w:spacing w:after="100"/>
      </w:pPr>
      <w:r>
        <w:rPr>
          <w:b w:val="false"/>
          <w:bCs w:val="false"/>
          <w:i w:val="false"/>
          <w:iCs w:val="false"/>
          <w:sz w:val="20"/>
          <w:szCs w:val="20"/>
        </w:rPr>
        <w:t xml:space="preserve">Preprocessing order corrected: the experimental spectrum is now windowed to 200–2000 cm⁻¹ FIRST, then ALS-baseline-corrected, Savitzky-Golay smoothed, and min-max normalized LAST — this is the order LPS documentation.docx itself describes, and it avoids the previous bug where normalizing over the full native range (which extends past 2800 cm⁻¹) before windowing collapsed the 200–2000 window into a narrow intensity slice.</w:t>
      </w:r>
    </w:p>
    <w:p>
      <w:pPr>
        <w:pStyle w:val="Heading1"/>
        <w:spacing w:after="150" w:before="300"/>
      </w:pPr>
      <w:r>
        <w:rPr>
          <w:b/>
          <w:bCs/>
        </w:rPr>
        <w:t xml:space="preserve">Whole-Curve Fit — Shown for Transparency, Not as the Main Evidence</w:t>
      </w:r>
    </w:p>
    <w:p>
      <w:pPr>
        <w:spacing w:after="100"/>
      </w:pPr>
      <w:r>
        <w:rPr>
          <w:b w:val="false"/>
          <w:bCs w:val="false"/>
          <w:i/>
          <w:iCs/>
          <w:sz w:val="20"/>
          <w:szCs w:val="20"/>
        </w:rPr>
        <w:t xml:space="preserve">Per the audit’s own conclusion, a single global R² is a weak way to claim a match. It is reported here only so nothing is hidden — the real evidence is the peak-by-peak table in the next section.</w:t>
      </w:r>
    </w:p>
    <w:tbl>
      <w:tblPr>
        <w:tblW w:type="dxa" w:w="13500"/>
        <w:tblBorders>
          <w:top w:val="single" w:color="auto" w:sz="4"/>
          <w:left w:val="single" w:color="auto" w:sz="4"/>
          <w:bottom w:val="single" w:color="auto" w:sz="4"/>
          <w:right w:val="single" w:color="auto" w:sz="4"/>
          <w:insideH w:val="single" w:color="auto" w:sz="4"/>
          <w:insideV w:val="single" w:color="auto" w:sz="4"/>
        </w:tblBorders>
      </w:tblPr>
      <w:tblGrid>
        <w:gridCol w:w="3400"/>
        <w:gridCol w:w="1900"/>
        <w:gridCol w:w="1900"/>
        <w:gridCol w:w="1900"/>
        <w:gridCol w:w="4300"/>
      </w:tblGrid>
      <w:tr>
        <w:tc>
          <w:tcPr>
            <w:tcW w:type="dxa" w:w="3400"/>
            <w:shd w:fill="2F5496" w:val="clear"/>
            <w:tcMar>
              <w:top w:type="dxa" w:w="60"/>
              <w:left w:type="dxa" w:w="80"/>
              <w:bottom w:type="dxa" w:w="60"/>
              <w:right w:type="dxa" w:w="80"/>
            </w:tcMar>
            <w:vAlign w:val="top"/>
          </w:tcPr>
          <w:p>
            <w:pPr>
              <w:spacing w:after="0"/>
            </w:pPr>
            <w:r>
              <w:rPr>
                <w:b/>
                <w:bCs/>
                <w:i w:val="false"/>
                <w:iCs w:val="false"/>
                <w:color w:val="FFFFFF"/>
                <w:sz w:val="18"/>
                <w:szCs w:val="18"/>
              </w:rPr>
              <w:t xml:space="preserve">Fit</w:t>
            </w:r>
          </w:p>
        </w:tc>
        <w:tc>
          <w:tcPr>
            <w:tcW w:type="dxa" w:w="1900"/>
            <w:shd w:fill="2F5496" w:val="clear"/>
            <w:tcMar>
              <w:top w:type="dxa" w:w="60"/>
              <w:left w:type="dxa" w:w="80"/>
              <w:bottom w:type="dxa" w:w="60"/>
              <w:right w:type="dxa" w:w="80"/>
            </w:tcMar>
            <w:vAlign w:val="top"/>
          </w:tcPr>
          <w:p>
            <w:pPr>
              <w:spacing w:after="0"/>
            </w:pPr>
            <w:r>
              <w:rPr>
                <w:b/>
                <w:bCs/>
                <w:i w:val="false"/>
                <w:iCs w:val="false"/>
                <w:color w:val="FFFFFF"/>
                <w:sz w:val="18"/>
                <w:szCs w:val="18"/>
              </w:rPr>
              <w:t xml:space="preserve">RMSE</w:t>
            </w:r>
          </w:p>
        </w:tc>
        <w:tc>
          <w:tcPr>
            <w:tcW w:type="dxa" w:w="1900"/>
            <w:shd w:fill="2F5496" w:val="clear"/>
            <w:tcMar>
              <w:top w:type="dxa" w:w="60"/>
              <w:left w:type="dxa" w:w="80"/>
              <w:bottom w:type="dxa" w:w="60"/>
              <w:right w:type="dxa" w:w="80"/>
            </w:tcMar>
            <w:vAlign w:val="top"/>
          </w:tcPr>
          <w:p>
            <w:pPr>
              <w:spacing w:after="0"/>
            </w:pPr>
            <w:r>
              <w:rPr>
                <w:b/>
                <w:bCs/>
                <w:i w:val="false"/>
                <w:iCs w:val="false"/>
                <w:color w:val="FFFFFF"/>
                <w:sz w:val="18"/>
                <w:szCs w:val="18"/>
              </w:rPr>
              <w:t xml:space="preserve">R²</w:t>
            </w:r>
          </w:p>
        </w:tc>
        <w:tc>
          <w:tcPr>
            <w:tcW w:type="dxa" w:w="1900"/>
            <w:shd w:fill="2F5496" w:val="clear"/>
            <w:tcMar>
              <w:top w:type="dxa" w:w="60"/>
              <w:left w:type="dxa" w:w="80"/>
              <w:bottom w:type="dxa" w:w="60"/>
              <w:right w:type="dxa" w:w="80"/>
            </w:tcMar>
            <w:vAlign w:val="top"/>
          </w:tcPr>
          <w:p>
            <w:pPr>
              <w:spacing w:after="0"/>
            </w:pPr>
            <w:r>
              <w:rPr>
                <w:b/>
                <w:bCs/>
                <w:i w:val="false"/>
                <w:iCs w:val="false"/>
                <w:color w:val="FFFFFF"/>
                <w:sz w:val="18"/>
                <w:szCs w:val="18"/>
              </w:rPr>
              <w:t xml:space="preserve">r</w:t>
            </w:r>
          </w:p>
        </w:tc>
        <w:tc>
          <w:tcPr>
            <w:tcW w:type="dxa" w:w="4300"/>
            <w:shd w:fill="2F5496" w:val="clear"/>
            <w:tcMar>
              <w:top w:type="dxa" w:w="60"/>
              <w:left w:type="dxa" w:w="80"/>
              <w:bottom w:type="dxa" w:w="60"/>
              <w:right w:type="dxa" w:w="80"/>
            </w:tcMar>
            <w:vAlign w:val="top"/>
          </w:tcPr>
          <w:p>
            <w:pPr>
              <w:spacing w:after="0"/>
            </w:pPr>
            <w:r>
              <w:rPr>
                <w:b/>
                <w:bCs/>
                <w:i w:val="false"/>
                <w:iCs w:val="false"/>
                <w:color w:val="FFFFFF"/>
                <w:sz w:val="18"/>
                <w:szCs w:val="18"/>
              </w:rPr>
              <w:t xml:space="preserve">Note</w:t>
            </w:r>
          </w:p>
        </w:tc>
      </w:tr>
      <w:tr>
        <w:tc>
          <w:tcPr>
            <w:tcW w:type="dxa" w:w="3400"/>
            <w:tcMar>
              <w:top w:type="dxa" w:w="60"/>
              <w:left w:type="dxa" w:w="80"/>
              <w:bottom w:type="dxa" w:w="60"/>
              <w:right w:type="dxa" w:w="80"/>
            </w:tcMar>
            <w:vAlign w:val="top"/>
          </w:tcPr>
          <w:p>
            <w:pPr>
              <w:spacing w:after="0"/>
            </w:pPr>
            <w:r>
              <w:rPr>
                <w:b/>
                <w:bCs/>
                <w:i w:val="false"/>
                <w:iCs w:val="false"/>
                <w:sz w:val="19"/>
                <w:szCs w:val="19"/>
              </w:rPr>
              <w:t xml:space="preserve">Previously published (run_final.py output)</w:t>
            </w:r>
          </w:p>
        </w:tc>
        <w:tc>
          <w:tcPr>
            <w:tcW w:type="dxa" w:w="1900"/>
            <w:tcMar>
              <w:top w:type="dxa" w:w="60"/>
              <w:left w:type="dxa" w:w="80"/>
              <w:bottom w:type="dxa" w:w="60"/>
              <w:right w:type="dxa" w:w="80"/>
            </w:tcMar>
            <w:vAlign w:val="top"/>
          </w:tcPr>
          <w:p>
            <w:pPr>
              <w:spacing w:after="0"/>
            </w:pPr>
            <w:r>
              <w:rPr>
                <w:b w:val="false"/>
                <w:bCs w:val="false"/>
                <w:i w:val="false"/>
                <w:iCs w:val="false"/>
                <w:sz w:val="19"/>
                <w:szCs w:val="19"/>
              </w:rPr>
              <w:t xml:space="preserve">0.1850</w:t>
            </w:r>
          </w:p>
        </w:tc>
        <w:tc>
          <w:tcPr>
            <w:tcW w:type="dxa" w:w="1900"/>
            <w:tcMar>
              <w:top w:type="dxa" w:w="60"/>
              <w:left w:type="dxa" w:w="80"/>
              <w:bottom w:type="dxa" w:w="60"/>
              <w:right w:type="dxa" w:w="80"/>
            </w:tcMar>
            <w:vAlign w:val="top"/>
          </w:tcPr>
          <w:p>
            <w:pPr>
              <w:spacing w:after="0"/>
            </w:pPr>
            <w:r>
              <w:rPr>
                <w:b w:val="false"/>
                <w:bCs w:val="false"/>
                <w:i w:val="false"/>
                <w:iCs w:val="false"/>
                <w:sz w:val="19"/>
                <w:szCs w:val="19"/>
              </w:rPr>
              <w:t xml:space="preserve">0.1799</w:t>
            </w:r>
          </w:p>
        </w:tc>
        <w:tc>
          <w:tcPr>
            <w:tcW w:type="dxa" w:w="1900"/>
            <w:tcMar>
              <w:top w:type="dxa" w:w="60"/>
              <w:left w:type="dxa" w:w="80"/>
              <w:bottom w:type="dxa" w:w="60"/>
              <w:right w:type="dxa" w:w="80"/>
            </w:tcMar>
            <w:vAlign w:val="top"/>
          </w:tcPr>
          <w:p>
            <w:pPr>
              <w:spacing w:after="0"/>
            </w:pPr>
            <w:r>
              <w:rPr>
                <w:b w:val="false"/>
                <w:bCs w:val="false"/>
                <w:i w:val="false"/>
                <w:iCs w:val="false"/>
                <w:sz w:val="19"/>
                <w:szCs w:val="19"/>
              </w:rPr>
              <w:t xml:space="preserve">0.5078</w:t>
            </w:r>
          </w:p>
        </w:tc>
        <w:tc>
          <w:tcPr>
            <w:tcW w:type="dxa" w:w="4300"/>
            <w:tcMar>
              <w:top w:type="dxa" w:w="60"/>
              <w:left w:type="dxa" w:w="80"/>
              <w:bottom w:type="dxa" w:w="60"/>
              <w:right w:type="dxa" w:w="80"/>
            </w:tcMar>
            <w:vAlign w:val="top"/>
          </w:tcPr>
          <w:p>
            <w:pPr>
              <w:spacing w:after="0"/>
            </w:pPr>
            <w:r>
              <w:rPr>
                <w:b w:val="false"/>
                <w:bCs w:val="false"/>
                <w:i w:val="false"/>
                <w:iCs w:val="false"/>
                <w:sz w:val="17"/>
                <w:szCs w:val="17"/>
              </w:rPr>
              <w:t xml:space="preserve">Could not be reproduced from the current script (see audit) — shown for reference only.</w:t>
            </w:r>
          </w:p>
        </w:tc>
      </w:tr>
      <w:tr>
        <w:tc>
          <w:tcPr>
            <w:tcW w:type="dxa" w:w="3400"/>
            <w:tcMar>
              <w:top w:type="dxa" w:w="60"/>
              <w:left w:type="dxa" w:w="80"/>
              <w:bottom w:type="dxa" w:w="60"/>
              <w:right w:type="dxa" w:w="80"/>
            </w:tcMar>
            <w:vAlign w:val="top"/>
          </w:tcPr>
          <w:p>
            <w:pPr>
              <w:spacing w:after="0"/>
            </w:pPr>
            <w:r>
              <w:rPr>
                <w:b/>
                <w:bCs/>
                <w:i w:val="false"/>
                <w:iCs w:val="false"/>
                <w:sz w:val="19"/>
                <w:szCs w:val="19"/>
              </w:rPr>
              <w:t xml:space="preserve">Old (buggy) pipeline, reproduced here</w:t>
            </w:r>
          </w:p>
        </w:tc>
        <w:tc>
          <w:tcPr>
            <w:tcW w:type="dxa" w:w="1900"/>
            <w:tcMar>
              <w:top w:type="dxa" w:w="60"/>
              <w:left w:type="dxa" w:w="80"/>
              <w:bottom w:type="dxa" w:w="60"/>
              <w:right w:type="dxa" w:w="80"/>
            </w:tcMar>
            <w:vAlign w:val="top"/>
          </w:tcPr>
          <w:p>
            <w:pPr>
              <w:spacing w:after="0"/>
            </w:pPr>
            <w:r>
              <w:rPr>
                <w:b w:val="false"/>
                <w:bCs w:val="false"/>
                <w:i w:val="false"/>
                <w:iCs w:val="false"/>
                <w:sz w:val="19"/>
                <w:szCs w:val="19"/>
              </w:rPr>
              <w:t xml:space="preserve">0.2399</w:t>
            </w:r>
          </w:p>
        </w:tc>
        <w:tc>
          <w:tcPr>
            <w:tcW w:type="dxa" w:w="1900"/>
            <w:tcMar>
              <w:top w:type="dxa" w:w="60"/>
              <w:left w:type="dxa" w:w="80"/>
              <w:bottom w:type="dxa" w:w="60"/>
              <w:right w:type="dxa" w:w="80"/>
            </w:tcMar>
            <w:vAlign w:val="top"/>
          </w:tcPr>
          <w:p>
            <w:pPr>
              <w:spacing w:after="0"/>
            </w:pPr>
            <w:r>
              <w:rPr>
                <w:b w:val="false"/>
                <w:bCs w:val="false"/>
                <w:i w:val="false"/>
                <w:iCs w:val="false"/>
                <w:sz w:val="19"/>
                <w:szCs w:val="19"/>
              </w:rPr>
              <w:t xml:space="preserve">-468.1650</w:t>
            </w:r>
          </w:p>
        </w:tc>
        <w:tc>
          <w:tcPr>
            <w:tcW w:type="dxa" w:w="1900"/>
            <w:tcMar>
              <w:top w:type="dxa" w:w="60"/>
              <w:left w:type="dxa" w:w="80"/>
              <w:bottom w:type="dxa" w:w="60"/>
              <w:right w:type="dxa" w:w="80"/>
            </w:tcMar>
            <w:vAlign w:val="top"/>
          </w:tcPr>
          <w:p>
            <w:pPr>
              <w:spacing w:after="0"/>
            </w:pPr>
            <w:r>
              <w:rPr>
                <w:b w:val="false"/>
                <w:bCs w:val="false"/>
                <w:i w:val="false"/>
                <w:iCs w:val="false"/>
                <w:sz w:val="19"/>
                <w:szCs w:val="19"/>
              </w:rPr>
              <w:t xml:space="preserve">0.4523</w:t>
            </w:r>
          </w:p>
        </w:tc>
        <w:tc>
          <w:tcPr>
            <w:tcW w:type="dxa" w:w="4300"/>
            <w:tcMar>
              <w:top w:type="dxa" w:w="60"/>
              <w:left w:type="dxa" w:w="80"/>
              <w:bottom w:type="dxa" w:w="60"/>
              <w:right w:type="dxa" w:w="80"/>
            </w:tcMar>
            <w:vAlign w:val="top"/>
          </w:tcPr>
          <w:p>
            <w:pPr>
              <w:spacing w:after="0"/>
            </w:pPr>
            <w:r>
              <w:rPr>
                <w:b w:val="false"/>
                <w:bCs w:val="false"/>
                <w:i w:val="false"/>
                <w:iCs w:val="false"/>
                <w:sz w:val="17"/>
                <w:szCs w:val="17"/>
              </w:rPr>
              <w:t xml:space="preserve">Normalizing before windowing — confirms the bug is catastrophic, not cosmetic.</w:t>
            </w:r>
          </w:p>
        </w:tc>
      </w:tr>
      <w:tr>
        <w:tc>
          <w:tcPr>
            <w:tcW w:type="dxa" w:w="3400"/>
            <w:tcMar>
              <w:top w:type="dxa" w:w="60"/>
              <w:left w:type="dxa" w:w="80"/>
              <w:bottom w:type="dxa" w:w="60"/>
              <w:right w:type="dxa" w:w="80"/>
            </w:tcMar>
            <w:vAlign w:val="top"/>
          </w:tcPr>
          <w:p>
            <w:pPr>
              <w:spacing w:after="0"/>
            </w:pPr>
            <w:r>
              <w:rPr>
                <w:b/>
                <w:bCs/>
                <w:i w:val="false"/>
                <w:iCs w:val="false"/>
                <w:sz w:val="19"/>
                <w:szCs w:val="19"/>
              </w:rPr>
              <w:t xml:space="preserve">Corrected pipeline — NNLS composite</w:t>
            </w:r>
          </w:p>
        </w:tc>
        <w:tc>
          <w:tcPr>
            <w:tcW w:type="dxa" w:w="1900"/>
            <w:tcMar>
              <w:top w:type="dxa" w:w="60"/>
              <w:left w:type="dxa" w:w="80"/>
              <w:bottom w:type="dxa" w:w="60"/>
              <w:right w:type="dxa" w:w="80"/>
            </w:tcMar>
            <w:vAlign w:val="top"/>
          </w:tcPr>
          <w:p>
            <w:pPr>
              <w:spacing w:after="0"/>
            </w:pPr>
            <w:r>
              <w:rPr>
                <w:b w:val="false"/>
                <w:bCs w:val="false"/>
                <w:i w:val="false"/>
                <w:iCs w:val="false"/>
                <w:sz w:val="19"/>
                <w:szCs w:val="19"/>
              </w:rPr>
              <w:t xml:space="preserve">0.2178</w:t>
            </w:r>
          </w:p>
        </w:tc>
        <w:tc>
          <w:tcPr>
            <w:tcW w:type="dxa" w:w="1900"/>
            <w:tcMar>
              <w:top w:type="dxa" w:w="60"/>
              <w:left w:type="dxa" w:w="80"/>
              <w:bottom w:type="dxa" w:w="60"/>
              <w:right w:type="dxa" w:w="80"/>
            </w:tcMar>
            <w:vAlign w:val="top"/>
          </w:tcPr>
          <w:p>
            <w:pPr>
              <w:spacing w:after="0"/>
            </w:pPr>
            <w:r>
              <w:rPr>
                <w:b w:val="false"/>
                <w:bCs w:val="false"/>
                <w:i w:val="false"/>
                <w:iCs w:val="false"/>
                <w:sz w:val="19"/>
                <w:szCs w:val="19"/>
              </w:rPr>
              <w:t xml:space="preserve">0.0508</w:t>
            </w:r>
          </w:p>
        </w:tc>
        <w:tc>
          <w:tcPr>
            <w:tcW w:type="dxa" w:w="1900"/>
            <w:tcMar>
              <w:top w:type="dxa" w:w="60"/>
              <w:left w:type="dxa" w:w="80"/>
              <w:bottom w:type="dxa" w:w="60"/>
              <w:right w:type="dxa" w:w="80"/>
            </w:tcMar>
            <w:vAlign w:val="top"/>
          </w:tcPr>
          <w:p>
            <w:pPr>
              <w:spacing w:after="0"/>
            </w:pPr>
            <w:r>
              <w:rPr>
                <w:b w:val="false"/>
                <w:bCs w:val="false"/>
                <w:i w:val="false"/>
                <w:iCs w:val="false"/>
                <w:sz w:val="19"/>
                <w:szCs w:val="19"/>
              </w:rPr>
              <w:t xml:space="preserve">0.4976</w:t>
            </w:r>
          </w:p>
        </w:tc>
        <w:tc>
          <w:tcPr>
            <w:tcW w:type="dxa" w:w="4300"/>
            <w:tcMar>
              <w:top w:type="dxa" w:w="60"/>
              <w:left w:type="dxa" w:w="80"/>
              <w:bottom w:type="dxa" w:w="60"/>
              <w:right w:type="dxa" w:w="80"/>
            </w:tcMar>
            <w:vAlign w:val="top"/>
          </w:tcPr>
          <w:p>
            <w:pPr>
              <w:spacing w:after="0"/>
            </w:pPr>
            <w:r>
              <w:rPr>
                <w:b w:val="false"/>
                <w:bCs w:val="false"/>
                <w:i w:val="false"/>
                <w:iCs w:val="false"/>
                <w:sz w:val="17"/>
                <w:szCs w:val="17"/>
              </w:rPr>
              <w:t xml:space="preserve">Bugs fixed, weights refit. This is the honest whole-curve number — see note below.</w:t>
            </w:r>
          </w:p>
        </w:tc>
      </w:tr>
      <w:tr>
        <w:tc>
          <w:tcPr>
            <w:tcW w:type="dxa" w:w="3400"/>
            <w:tcMar>
              <w:top w:type="dxa" w:w="60"/>
              <w:left w:type="dxa" w:w="80"/>
              <w:bottom w:type="dxa" w:w="60"/>
              <w:right w:type="dxa" w:w="80"/>
            </w:tcMar>
            <w:vAlign w:val="top"/>
          </w:tcPr>
          <w:p>
            <w:pPr>
              <w:spacing w:after="0"/>
            </w:pPr>
            <w:r>
              <w:rPr>
                <w:b/>
                <w:bCs/>
                <w:i w:val="false"/>
                <w:iCs w:val="false"/>
                <w:sz w:val="19"/>
                <w:szCs w:val="19"/>
              </w:rPr>
              <w:t xml:space="preserve">Corrected pipeline — equal-weight composite</w:t>
            </w:r>
          </w:p>
        </w:tc>
        <w:tc>
          <w:tcPr>
            <w:tcW w:type="dxa" w:w="1900"/>
            <w:tcMar>
              <w:top w:type="dxa" w:w="60"/>
              <w:left w:type="dxa" w:w="80"/>
              <w:bottom w:type="dxa" w:w="60"/>
              <w:right w:type="dxa" w:w="80"/>
            </w:tcMar>
            <w:vAlign w:val="top"/>
          </w:tcPr>
          <w:p>
            <w:pPr>
              <w:spacing w:after="0"/>
            </w:pPr>
            <w:r>
              <w:rPr>
                <w:b w:val="false"/>
                <w:bCs w:val="false"/>
                <w:i w:val="false"/>
                <w:iCs w:val="false"/>
                <w:sz w:val="19"/>
                <w:szCs w:val="19"/>
              </w:rPr>
              <w:t xml:space="preserve">0.2396</w:t>
            </w:r>
          </w:p>
        </w:tc>
        <w:tc>
          <w:tcPr>
            <w:tcW w:type="dxa" w:w="1900"/>
            <w:tcMar>
              <w:top w:type="dxa" w:w="60"/>
              <w:left w:type="dxa" w:w="80"/>
              <w:bottom w:type="dxa" w:w="60"/>
              <w:right w:type="dxa" w:w="80"/>
            </w:tcMar>
            <w:vAlign w:val="top"/>
          </w:tcPr>
          <w:p>
            <w:pPr>
              <w:spacing w:after="0"/>
            </w:pPr>
            <w:r>
              <w:rPr>
                <w:b w:val="false"/>
                <w:bCs w:val="false"/>
                <w:i w:val="false"/>
                <w:iCs w:val="false"/>
                <w:sz w:val="19"/>
                <w:szCs w:val="19"/>
              </w:rPr>
              <w:t xml:space="preserve">-0.1483</w:t>
            </w:r>
          </w:p>
        </w:tc>
        <w:tc>
          <w:tcPr>
            <w:tcW w:type="dxa" w:w="1900"/>
            <w:tcMar>
              <w:top w:type="dxa" w:w="60"/>
              <w:left w:type="dxa" w:w="80"/>
              <w:bottom w:type="dxa" w:w="60"/>
              <w:right w:type="dxa" w:w="80"/>
            </w:tcMar>
            <w:vAlign w:val="top"/>
          </w:tcPr>
          <w:p>
            <w:pPr>
              <w:spacing w:after="0"/>
            </w:pPr>
            <w:r>
              <w:rPr>
                <w:b w:val="false"/>
                <w:bCs w:val="false"/>
                <w:i w:val="false"/>
                <w:iCs w:val="false"/>
                <w:sz w:val="19"/>
                <w:szCs w:val="19"/>
              </w:rPr>
              <w:t xml:space="preserve">0.4130</w:t>
            </w:r>
          </w:p>
        </w:tc>
        <w:tc>
          <w:tcPr>
            <w:tcW w:type="dxa" w:w="4300"/>
            <w:tcMar>
              <w:top w:type="dxa" w:w="60"/>
              <w:left w:type="dxa" w:w="80"/>
              <w:bottom w:type="dxa" w:w="60"/>
              <w:right w:type="dxa" w:w="80"/>
            </w:tcMar>
            <w:vAlign w:val="top"/>
          </w:tcPr>
          <w:p>
            <w:pPr>
              <w:spacing w:after="0"/>
            </w:pPr>
            <w:r>
              <w:rPr>
                <w:b w:val="false"/>
                <w:bCs w:val="false"/>
                <w:i w:val="false"/>
                <w:iCs w:val="false"/>
                <w:sz w:val="17"/>
                <w:szCs w:val="17"/>
              </w:rPr>
              <w:t xml:space="preserve">Unweighted average of the 5 fragments, for comparison.</w:t>
            </w:r>
          </w:p>
        </w:tc>
      </w:tr>
    </w:tbl>
    <w:p>
      <w:pPr>
        <w:spacing w:after="200"/>
      </w:pPr>
      <w:r>
        <w:rPr>
          <w:b w:val="false"/>
          <w:bCs w:val="false"/>
          <w:i w:val="false"/>
          <w:iCs w:val="false"/>
          <w:sz w:val="19"/>
          <w:szCs w:val="19"/>
        </w:rPr>
        <w:t xml:space="preserve">Corrected-pipeline NNLS weights: KDO 43.7%, Glucosamine 28.5%, Heptose 27.0%, Myristic Acid 0.8%, Phosphoric Acid 0.0%.</w:t>
      </w:r>
    </w:p>
    <w:p>
      <w:pPr>
        <w:spacing w:after="100"/>
      </w:pPr>
      <w:r>
        <w:rPr>
          <w:b w:val="false"/>
          <w:bCs w:val="false"/>
          <w:i w:val="false"/>
          <w:iCs w:val="false"/>
          <w:sz w:val="20"/>
          <w:szCs w:val="20"/>
        </w:rPr>
        <w:t xml:space="preserve">Reading this table honestly: fixing the two audit-identified bugs changes the whole-curve R² from a catastrophic −468 (old bug) to a modest +0.051 (corrected) — still below the previously published 0.180. That gap means the original 0.180 was produced by some additional, undocumented difference in the pipeline beyond the two bugs found here; it is not reproduced by this reanalysis either, and should continue to be treated as an open discrepancy, not silently matched.</w:t>
      </w:r>
    </w:p>
    <w:p>
      <w:pPr>
        <w:pStyle w:val="Heading1"/>
        <w:spacing w:after="150" w:before="300"/>
      </w:pPr>
      <w:r>
        <w:rPr>
          <w:b/>
          <w:bCs/>
        </w:rPr>
        <w:t xml:space="preserve">Experimental LPS Powder vs. DFT Fragment Composite</w:t>
      </w:r>
    </w:p>
    <w:p>
      <w:pPr>
        <w:jc w:val="center"/>
      </w:pPr>
      <w:r>
        <w:drawing>
          <wp:inline distT="0" distB="0" distL="0" distR="0">
            <wp:extent cx="6096000" cy="400594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4005943"/>
                    </a:xfrm>
                    <a:prstGeom prst="rect">
                      <a:avLst/>
                    </a:prstGeom>
                  </pic:spPr>
                </pic:pic>
              </a:graphicData>
            </a:graphic>
          </wp:inline>
        </w:drawing>
      </w:r>
    </w:p>
    <w:p>
      <w:pPr>
        <w:spacing w:after="200"/>
      </w:pPr>
      <w:r>
        <w:rPr>
          <w:b w:val="false"/>
          <w:bCs w:val="false"/>
          <w:i w:val="false"/>
          <w:iCs w:val="false"/>
          <w:sz w:val="19"/>
          <w:szCs w:val="19"/>
        </w:rPr>
        <w:t xml:space="preserve">Black dots mark the 43 "major" experimental bands used for peak matching (prominence ≥ 0.08 on the corrected, normalized spectrum). The DFT composite (red) uses corrected-pipeline NNLS weights. Note the DFT composite falls to ~0 above ~1750 cm⁻¹ — the five simulated fragments predict almost no activity there, while the experimental spectrum still shows numerous small bands in that region (see “unmatched peaks” below).</w:t>
      </w:r>
    </w:p>
    <w:p>
      <w:pPr>
        <w:pStyle w:val="Heading1"/>
        <w:spacing w:after="150" w:before="300"/>
      </w:pPr>
      <w:r>
        <w:rPr>
          <w:b/>
          <w:bCs/>
        </w:rPr>
        <w:t xml:space="preserve">Peak-Matching Method</w:t>
      </w:r>
    </w:p>
    <w:p>
      <w:pPr>
        <w:spacing w:after="100"/>
      </w:pPr>
      <w:r>
        <w:rPr>
          <w:b w:val="false"/>
          <w:bCs w:val="false"/>
          <w:i w:val="false"/>
          <w:iCs w:val="false"/>
          <w:sz w:val="20"/>
          <w:szCs w:val="20"/>
        </w:rPr>
        <w:t xml:space="preserve">1. Experimental peaks: scipy.signal.find_peaks on the corrected, normalized spectrum, prominence ≥ 0.08, minimum spacing 10 cm⁻¹ → 43 major bands in 200–2000 cm⁻¹ (a denser, lower-threshold list of 104 peaks at prominence ≥ 0.02 also exists in the underlying data if a finer scan is wanted later).</w:t>
      </w:r>
    </w:p>
    <w:p>
      <w:pPr>
        <w:spacing w:after="100"/>
      </w:pPr>
      <w:r>
        <w:rPr>
          <w:b w:val="false"/>
          <w:bCs w:val="false"/>
          <w:i w:val="false"/>
          <w:iCs w:val="false"/>
          <w:sz w:val="20"/>
          <w:szCs w:val="20"/>
        </w:rPr>
        <w:t xml:space="preserve">2. DFT candidate peaks: every scaled discrete-mode peak from each of the 5 fragments with activity ≥ 5% of that fragment’s own maximum, within 200–2000 cm⁻¹ → 178 candidate modes pooled across all 5 fragments.</w:t>
      </w:r>
    </w:p>
    <w:p>
      <w:pPr>
        <w:spacing w:after="100"/>
      </w:pPr>
      <w:r>
        <w:rPr>
          <w:b w:val="false"/>
          <w:bCs w:val="false"/>
          <w:i w:val="false"/>
          <w:iCs w:val="false"/>
          <w:sz w:val="20"/>
          <w:szCs w:val="20"/>
        </w:rPr>
        <w:t xml:space="preserve">3. One-to-one matching: a Hungarian (linear-sum-assignment) match between the 43 experimental peaks and the 178 DFT candidates, restricted to pairs within ±15 cm⁻¹ — this prevents one strong DFT mode from "claiming" multiple nearby experimental peaks or vice versa.</w:t>
      </w:r>
    </w:p>
    <w:p>
      <w:pPr>
        <w:spacing w:after="200"/>
      </w:pPr>
      <w:r>
        <w:rPr>
          <w:b w:val="false"/>
          <w:bCs w:val="false"/>
          <w:i w:val="false"/>
          <w:iCs w:val="false"/>
          <w:sz w:val="20"/>
          <w:szCs w:val="20"/>
        </w:rPr>
        <w:t xml:space="preserve">4. Confidence tiers: High = |Δ| ≤ 5 cm⁻¹ AND only one fragment has a candidate mode within ±15 cm⁻¹ of that position (unambiguous assignment). Moderate = |Δ| ≤ 10 cm⁻¹ (or ambiguous — more than one fragment nearby — within 5 cm⁻¹). Low = |Δ| ≤ 15 cm⁻¹. Matches beyond 15 cm⁻¹ are not reported.</w:t>
      </w:r>
    </w:p>
    <w:p>
      <w:pPr>
        <w:spacing w:after="200"/>
      </w:pPr>
      <w:r>
        <w:rPr>
          <w:b/>
          <w:bCs/>
          <w:i w:val="false"/>
          <w:iCs w:val="false"/>
          <w:sz w:val="20"/>
          <w:szCs w:val="20"/>
        </w:rPr>
        <w:t xml:space="preserve">Result: 26 of 43 major experimental peaks (60%) have a defensible DFT match — 4 High, 20 Moderate, 2 Low confidence. Across the 26 matched pairs: MAE = 3.94 cm⁻¹, RMSE = 5.57 cm⁻¹.</w:t>
      </w:r>
    </w:p>
    <w:p>
      <w:pPr>
        <w:sectPr>
          <w:pgSz w:w="12240" w:h="15840" w:orient="portrait"/>
          <w:pgMar w:top="1000" w:right="1200" w:bottom="1000" w:left="1200" w:header="708" w:footer="708" w:gutter="0"/>
          <w:pgNumType/>
          <w:docGrid w:linePitch="360"/>
        </w:sectPr>
      </w:pPr>
    </w:p>
    <w:p>
      <w:pPr>
        <w:pStyle w:val="Heading1"/>
        <w:spacing w:after="150"/>
      </w:pPr>
      <w:r>
        <w:rPr>
          <w:b/>
          <w:bCs/>
        </w:rPr>
        <w:t xml:space="preserve">DFT-Supported LPS Reference Bands (26 defensible matches)</w:t>
      </w:r>
    </w:p>
    <w:p>
      <w:pPr>
        <w:spacing w:after="150"/>
      </w:pPr>
      <w:r>
        <w:rPr>
          <w:b w:val="false"/>
          <w:bCs w:val="false"/>
          <w:i/>
          <w:iCs/>
          <w:sz w:val="19"/>
          <w:szCs w:val="19"/>
        </w:rPr>
        <w:t xml:space="preserve">Important distinction: call these "DFT-supported LPS reference bands," not "validated LPS-specific biomarkers." A DFT match here means a computed fragment mode falls within ±15 cm⁻¹ of an observed powder-Raman band — it is not yet a statistically validated, chance-corrected, or LPS-specific assignment (many of these fragments’ functional groups are common to other biomolecules too).</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100"/>
        <w:gridCol w:w="2300"/>
        <w:gridCol w:w="3200"/>
        <w:gridCol w:w="1600"/>
      </w:tblGrid>
      <w:tr>
        <w:tc>
          <w:tcPr>
            <w:tcW w:type="dxa" w:w="1500"/>
            <w:shd w:fill="2F5496" w:val="clear"/>
            <w:tcMar>
              <w:top w:type="dxa" w:w="60"/>
              <w:left w:type="dxa" w:w="80"/>
              <w:bottom w:type="dxa" w:w="60"/>
              <w:right w:type="dxa" w:w="80"/>
            </w:tcMar>
            <w:vAlign w:val="top"/>
          </w:tcPr>
          <w:p>
            <w:pPr>
              <w:spacing w:after="0"/>
            </w:pPr>
            <w:r>
              <w:rPr>
                <w:b/>
                <w:bCs/>
                <w:i w:val="false"/>
                <w:iCs w:val="false"/>
                <w:color w:val="FFFFFF"/>
                <w:sz w:val="18"/>
                <w:szCs w:val="18"/>
              </w:rPr>
              <w:t xml:space="preserve">LPS Powder (cm⁻¹)</w:t>
            </w:r>
          </w:p>
        </w:tc>
        <w:tc>
          <w:tcPr>
            <w:tcW w:type="dxa" w:w="1500"/>
            <w:shd w:fill="2F5496" w:val="clear"/>
            <w:tcMar>
              <w:top w:type="dxa" w:w="60"/>
              <w:left w:type="dxa" w:w="80"/>
              <w:bottom w:type="dxa" w:w="60"/>
              <w:right w:type="dxa" w:w="80"/>
            </w:tcMar>
            <w:vAlign w:val="top"/>
          </w:tcPr>
          <w:p>
            <w:pPr>
              <w:spacing w:after="0"/>
            </w:pPr>
            <w:r>
              <w:rPr>
                <w:b/>
                <w:bCs/>
                <w:i w:val="false"/>
                <w:iCs w:val="false"/>
                <w:color w:val="FFFFFF"/>
                <w:sz w:val="18"/>
                <w:szCs w:val="18"/>
              </w:rPr>
              <w:t xml:space="preserve">DFT (cm⁻¹, scaled)</w:t>
            </w:r>
          </w:p>
        </w:tc>
        <w:tc>
          <w:tcPr>
            <w:tcW w:type="dxa" w:w="1100"/>
            <w:shd w:fill="2F5496" w:val="clear"/>
            <w:tcMar>
              <w:top w:type="dxa" w:w="60"/>
              <w:left w:type="dxa" w:w="80"/>
              <w:bottom w:type="dxa" w:w="60"/>
              <w:right w:type="dxa" w:w="80"/>
            </w:tcMar>
            <w:vAlign w:val="top"/>
          </w:tcPr>
          <w:p>
            <w:pPr>
              <w:spacing w:after="0"/>
            </w:pPr>
            <w:r>
              <w:rPr>
                <w:b/>
                <w:bCs/>
                <w:i w:val="false"/>
                <w:iCs w:val="false"/>
                <w:color w:val="FFFFFF"/>
                <w:sz w:val="18"/>
                <w:szCs w:val="18"/>
              </w:rPr>
              <w:t xml:space="preserve">Δ (cm⁻¹)</w:t>
            </w:r>
          </w:p>
        </w:tc>
        <w:tc>
          <w:tcPr>
            <w:tcW w:type="dxa" w:w="2300"/>
            <w:shd w:fill="2F5496" w:val="clear"/>
            <w:tcMar>
              <w:top w:type="dxa" w:w="60"/>
              <w:left w:type="dxa" w:w="80"/>
              <w:bottom w:type="dxa" w:w="60"/>
              <w:right w:type="dxa" w:w="80"/>
            </w:tcMar>
            <w:vAlign w:val="top"/>
          </w:tcPr>
          <w:p>
            <w:pPr>
              <w:spacing w:after="0"/>
            </w:pPr>
            <w:r>
              <w:rPr>
                <w:b/>
                <w:bCs/>
                <w:i w:val="false"/>
                <w:iCs w:val="false"/>
                <w:color w:val="FFFFFF"/>
                <w:sz w:val="18"/>
                <w:szCs w:val="18"/>
              </w:rPr>
              <w:t xml:space="preserve">Fragment / Mode</w:t>
            </w:r>
          </w:p>
        </w:tc>
        <w:tc>
          <w:tcPr>
            <w:tcW w:type="dxa" w:w="3200"/>
            <w:shd w:fill="2F5496" w:val="clear"/>
            <w:tcMar>
              <w:top w:type="dxa" w:w="60"/>
              <w:left w:type="dxa" w:w="80"/>
              <w:bottom w:type="dxa" w:w="60"/>
              <w:right w:type="dxa" w:w="80"/>
            </w:tcMar>
            <w:vAlign w:val="top"/>
          </w:tcPr>
          <w:p>
            <w:pPr>
              <w:spacing w:after="0"/>
            </w:pPr>
            <w:r>
              <w:rPr>
                <w:b/>
                <w:bCs/>
                <w:i w:val="false"/>
                <w:iCs w:val="false"/>
                <w:color w:val="FFFFFF"/>
                <w:sz w:val="18"/>
                <w:szCs w:val="18"/>
              </w:rPr>
              <w:t xml:space="preserve">Other fragments within ±15 cm⁻¹</w:t>
            </w:r>
          </w:p>
        </w:tc>
        <w:tc>
          <w:tcPr>
            <w:tcW w:type="dxa" w:w="1600"/>
            <w:shd w:fill="2F5496" w:val="clear"/>
            <w:tcMar>
              <w:top w:type="dxa" w:w="60"/>
              <w:left w:type="dxa" w:w="80"/>
              <w:bottom w:type="dxa" w:w="60"/>
              <w:right w:type="dxa" w:w="80"/>
            </w:tcMar>
            <w:vAlign w:val="top"/>
          </w:tcPr>
          <w:p>
            <w:pPr>
              <w:spacing w:after="0"/>
            </w:pPr>
            <w:r>
              <w:rPr>
                <w:b/>
                <w:bCs/>
                <w:i w:val="false"/>
                <w:iCs w:val="false"/>
                <w:color w:val="FFFFFF"/>
                <w:sz w:val="18"/>
                <w:szCs w:val="18"/>
              </w:rPr>
              <w:t xml:space="preserve">Confidence</w:t>
            </w:r>
          </w:p>
        </w:tc>
      </w:tr>
      <w:tr>
        <w:tc>
          <w:tcPr>
            <w:tcW w:type="dxa" w:w="1500"/>
            <w:tcMar>
              <w:top w:type="dxa" w:w="60"/>
              <w:left w:type="dxa" w:w="80"/>
              <w:bottom w:type="dxa" w:w="60"/>
              <w:right w:type="dxa" w:w="80"/>
            </w:tcMar>
            <w:vAlign w:val="top"/>
          </w:tcPr>
          <w:p>
            <w:pPr>
              <w:spacing w:after="0"/>
            </w:pPr>
            <w:r>
              <w:rPr>
                <w:b w:val="false"/>
                <w:bCs w:val="false"/>
                <w:i w:val="false"/>
                <w:iCs w:val="false"/>
                <w:sz w:val="18"/>
                <w:szCs w:val="18"/>
              </w:rPr>
              <w:t xml:space="preserve">721.0</w:t>
            </w:r>
          </w:p>
        </w:tc>
        <w:tc>
          <w:tcPr>
            <w:tcW w:type="dxa" w:w="1500"/>
            <w:tcMar>
              <w:top w:type="dxa" w:w="60"/>
              <w:left w:type="dxa" w:w="80"/>
              <w:bottom w:type="dxa" w:w="60"/>
              <w:right w:type="dxa" w:w="80"/>
            </w:tcMar>
            <w:vAlign w:val="top"/>
          </w:tcPr>
          <w:p>
            <w:pPr>
              <w:spacing w:after="0"/>
            </w:pPr>
            <w:r>
              <w:rPr>
                <w:b w:val="false"/>
                <w:bCs w:val="false"/>
                <w:i w:val="false"/>
                <w:iCs w:val="false"/>
                <w:sz w:val="18"/>
                <w:szCs w:val="18"/>
              </w:rPr>
              <w:t xml:space="preserve">717.9</w:t>
            </w:r>
          </w:p>
        </w:tc>
        <w:tc>
          <w:tcPr>
            <w:tcW w:type="dxa" w:w="1100"/>
            <w:tcMar>
              <w:top w:type="dxa" w:w="60"/>
              <w:left w:type="dxa" w:w="80"/>
              <w:bottom w:type="dxa" w:w="60"/>
              <w:right w:type="dxa" w:w="80"/>
            </w:tcMar>
            <w:vAlign w:val="top"/>
          </w:tcPr>
          <w:p>
            <w:pPr>
              <w:spacing w:after="0"/>
            </w:pPr>
            <w:r>
              <w:rPr>
                <w:b w:val="false"/>
                <w:bCs w:val="false"/>
                <w:i w:val="false"/>
                <w:iCs w:val="false"/>
                <w:sz w:val="18"/>
                <w:szCs w:val="18"/>
              </w:rPr>
              <w:t xml:space="preserve">3.1</w:t>
            </w:r>
          </w:p>
        </w:tc>
        <w:tc>
          <w:tcPr>
            <w:tcW w:type="dxa" w:w="2300"/>
            <w:tcMar>
              <w:top w:type="dxa" w:w="60"/>
              <w:left w:type="dxa" w:w="80"/>
              <w:bottom w:type="dxa" w:w="60"/>
              <w:right w:type="dxa" w:w="80"/>
            </w:tcMar>
            <w:vAlign w:val="top"/>
          </w:tcPr>
          <w:p>
            <w:pPr>
              <w:spacing w:after="0"/>
            </w:pPr>
            <w:r>
              <w:rPr>
                <w:b w:val="false"/>
                <w:bCs w:val="false"/>
                <w:i w:val="false"/>
                <w:iCs w:val="false"/>
                <w:sz w:val="18"/>
                <w:szCs w:val="18"/>
              </w:rPr>
              <w:t xml:space="preserve">KDO</w:t>
            </w:r>
          </w:p>
        </w:tc>
        <w:tc>
          <w:tcPr>
            <w:tcW w:type="dxa" w:w="3200"/>
            <w:tcMar>
              <w:top w:type="dxa" w:w="60"/>
              <w:left w:type="dxa" w:w="80"/>
              <w:bottom w:type="dxa" w:w="60"/>
              <w:right w:type="dxa" w:w="80"/>
            </w:tcMar>
            <w:vAlign w:val="top"/>
          </w:tcPr>
          <w:p>
            <w:pPr>
              <w:spacing w:after="0"/>
            </w:pPr>
            <w:r>
              <w:rPr>
                <w:b w:val="false"/>
                <w:bCs w:val="false"/>
                <w:i w:val="false"/>
                <w:iCs w:val="false"/>
                <w:sz w:val="17"/>
                <w:szCs w:val="17"/>
              </w:rPr>
              <w:t xml:space="preserve">(unique)</w:t>
            </w:r>
          </w:p>
        </w:tc>
        <w:tc>
          <w:tcPr>
            <w:tcW w:type="dxa" w:w="1600"/>
            <w:shd w:fill="D5F5E3" w:val="clear"/>
            <w:tcMar>
              <w:top w:type="dxa" w:w="60"/>
              <w:left w:type="dxa" w:w="80"/>
              <w:bottom w:type="dxa" w:w="60"/>
              <w:right w:type="dxa" w:w="80"/>
            </w:tcMar>
            <w:vAlign w:val="top"/>
          </w:tcPr>
          <w:p>
            <w:pPr>
              <w:spacing w:after="0"/>
            </w:pPr>
            <w:r>
              <w:rPr>
                <w:b/>
                <w:bCs/>
                <w:i w:val="false"/>
                <w:iCs w:val="false"/>
                <w:color w:val="1E8449"/>
                <w:sz w:val="18"/>
                <w:szCs w:val="18"/>
              </w:rPr>
              <w:t xml:space="preserve">High</w:t>
            </w:r>
          </w:p>
        </w:tc>
      </w:tr>
      <w:tr>
        <w:tc>
          <w:tcPr>
            <w:tcW w:type="dxa" w:w="1500"/>
            <w:tcMar>
              <w:top w:type="dxa" w:w="60"/>
              <w:left w:type="dxa" w:w="80"/>
              <w:bottom w:type="dxa" w:w="60"/>
              <w:right w:type="dxa" w:w="80"/>
            </w:tcMar>
            <w:vAlign w:val="top"/>
          </w:tcPr>
          <w:p>
            <w:pPr>
              <w:spacing w:after="0"/>
            </w:pPr>
            <w:r>
              <w:rPr>
                <w:b w:val="false"/>
                <w:bCs w:val="false"/>
                <w:i w:val="false"/>
                <w:iCs w:val="false"/>
                <w:sz w:val="18"/>
                <w:szCs w:val="18"/>
              </w:rPr>
              <w:t xml:space="preserve">748.0</w:t>
            </w:r>
          </w:p>
        </w:tc>
        <w:tc>
          <w:tcPr>
            <w:tcW w:type="dxa" w:w="1500"/>
            <w:tcMar>
              <w:top w:type="dxa" w:w="60"/>
              <w:left w:type="dxa" w:w="80"/>
              <w:bottom w:type="dxa" w:w="60"/>
              <w:right w:type="dxa" w:w="80"/>
            </w:tcMar>
            <w:vAlign w:val="top"/>
          </w:tcPr>
          <w:p>
            <w:pPr>
              <w:spacing w:after="0"/>
            </w:pPr>
            <w:r>
              <w:rPr>
                <w:b w:val="false"/>
                <w:bCs w:val="false"/>
                <w:i w:val="false"/>
                <w:iCs w:val="false"/>
                <w:sz w:val="18"/>
                <w:szCs w:val="18"/>
              </w:rPr>
              <w:t xml:space="preserve">750.4</w:t>
            </w:r>
          </w:p>
        </w:tc>
        <w:tc>
          <w:tcPr>
            <w:tcW w:type="dxa" w:w="1100"/>
            <w:tcMar>
              <w:top w:type="dxa" w:w="60"/>
              <w:left w:type="dxa" w:w="80"/>
              <w:bottom w:type="dxa" w:w="60"/>
              <w:right w:type="dxa" w:w="80"/>
            </w:tcMar>
            <w:vAlign w:val="top"/>
          </w:tcPr>
          <w:p>
            <w:pPr>
              <w:spacing w:after="0"/>
            </w:pPr>
            <w:r>
              <w:rPr>
                <w:b w:val="false"/>
                <w:bCs w:val="false"/>
                <w:i w:val="false"/>
                <w:iCs w:val="false"/>
                <w:sz w:val="18"/>
                <w:szCs w:val="18"/>
              </w:rPr>
              <w:t xml:space="preserve">-2.4</w:t>
            </w:r>
          </w:p>
        </w:tc>
        <w:tc>
          <w:tcPr>
            <w:tcW w:type="dxa" w:w="2300"/>
            <w:tcMar>
              <w:top w:type="dxa" w:w="60"/>
              <w:left w:type="dxa" w:w="80"/>
              <w:bottom w:type="dxa" w:w="60"/>
              <w:right w:type="dxa" w:w="80"/>
            </w:tcMar>
            <w:vAlign w:val="top"/>
          </w:tcPr>
          <w:p>
            <w:pPr>
              <w:spacing w:after="0"/>
            </w:pPr>
            <w:r>
              <w:rPr>
                <w:b w:val="false"/>
                <w:bCs w:val="false"/>
                <w:i w:val="false"/>
                <w:iCs w:val="false"/>
                <w:sz w:val="18"/>
                <w:szCs w:val="18"/>
              </w:rPr>
              <w:t xml:space="preserve">Heptose</w:t>
            </w:r>
          </w:p>
        </w:tc>
        <w:tc>
          <w:tcPr>
            <w:tcW w:type="dxa" w:w="3200"/>
            <w:tcMar>
              <w:top w:type="dxa" w:w="60"/>
              <w:left w:type="dxa" w:w="80"/>
              <w:bottom w:type="dxa" w:w="60"/>
              <w:right w:type="dxa" w:w="80"/>
            </w:tcMar>
            <w:vAlign w:val="top"/>
          </w:tcPr>
          <w:p>
            <w:pPr>
              <w:spacing w:after="0"/>
            </w:pPr>
            <w:r>
              <w:rPr>
                <w:b w:val="false"/>
                <w:bCs w:val="false"/>
                <w:i w:val="false"/>
                <w:iCs w:val="false"/>
                <w:sz w:val="17"/>
                <w:szCs w:val="17"/>
              </w:rPr>
              <w:t xml:space="preserve">(unique)</w:t>
            </w:r>
          </w:p>
        </w:tc>
        <w:tc>
          <w:tcPr>
            <w:tcW w:type="dxa" w:w="1600"/>
            <w:shd w:fill="D5F5E3" w:val="clear"/>
            <w:tcMar>
              <w:top w:type="dxa" w:w="60"/>
              <w:left w:type="dxa" w:w="80"/>
              <w:bottom w:type="dxa" w:w="60"/>
              <w:right w:type="dxa" w:w="80"/>
            </w:tcMar>
            <w:vAlign w:val="top"/>
          </w:tcPr>
          <w:p>
            <w:pPr>
              <w:spacing w:after="0"/>
            </w:pPr>
            <w:r>
              <w:rPr>
                <w:b/>
                <w:bCs/>
                <w:i w:val="false"/>
                <w:iCs w:val="false"/>
                <w:color w:val="1E8449"/>
                <w:sz w:val="18"/>
                <w:szCs w:val="18"/>
              </w:rPr>
              <w:t xml:space="preserve">High</w:t>
            </w:r>
          </w:p>
        </w:tc>
      </w:tr>
      <w:tr>
        <w:tc>
          <w:tcPr>
            <w:tcW w:type="dxa" w:w="1500"/>
            <w:tcMar>
              <w:top w:type="dxa" w:w="60"/>
              <w:left w:type="dxa" w:w="80"/>
              <w:bottom w:type="dxa" w:w="60"/>
              <w:right w:type="dxa" w:w="80"/>
            </w:tcMar>
            <w:vAlign w:val="top"/>
          </w:tcPr>
          <w:p>
            <w:pPr>
              <w:spacing w:after="0"/>
            </w:pPr>
            <w:r>
              <w:rPr>
                <w:b w:val="false"/>
                <w:bCs w:val="false"/>
                <w:i w:val="false"/>
                <w:iCs w:val="false"/>
                <w:sz w:val="18"/>
                <w:szCs w:val="18"/>
              </w:rPr>
              <w:t xml:space="preserve">1659.0</w:t>
            </w:r>
          </w:p>
        </w:tc>
        <w:tc>
          <w:tcPr>
            <w:tcW w:type="dxa" w:w="1500"/>
            <w:tcMar>
              <w:top w:type="dxa" w:w="60"/>
              <w:left w:type="dxa" w:w="80"/>
              <w:bottom w:type="dxa" w:w="60"/>
              <w:right w:type="dxa" w:w="80"/>
            </w:tcMar>
            <w:vAlign w:val="top"/>
          </w:tcPr>
          <w:p>
            <w:pPr>
              <w:spacing w:after="0"/>
            </w:pPr>
            <w:r>
              <w:rPr>
                <w:b w:val="false"/>
                <w:bCs w:val="false"/>
                <w:i w:val="false"/>
                <w:iCs w:val="false"/>
                <w:sz w:val="18"/>
                <w:szCs w:val="18"/>
              </w:rPr>
              <w:t xml:space="preserve">1659.1</w:t>
            </w:r>
          </w:p>
        </w:tc>
        <w:tc>
          <w:tcPr>
            <w:tcW w:type="dxa" w:w="1100"/>
            <w:tcMar>
              <w:top w:type="dxa" w:w="60"/>
              <w:left w:type="dxa" w:w="80"/>
              <w:bottom w:type="dxa" w:w="60"/>
              <w:right w:type="dxa" w:w="80"/>
            </w:tcMar>
            <w:vAlign w:val="top"/>
          </w:tcPr>
          <w:p>
            <w:pPr>
              <w:spacing w:after="0"/>
            </w:pPr>
            <w:r>
              <w:rPr>
                <w:b w:val="false"/>
                <w:bCs w:val="false"/>
                <w:i w:val="false"/>
                <w:iCs w:val="false"/>
                <w:sz w:val="18"/>
                <w:szCs w:val="18"/>
              </w:rPr>
              <w:t xml:space="preserve">-0.1</w:t>
            </w:r>
          </w:p>
        </w:tc>
        <w:tc>
          <w:tcPr>
            <w:tcW w:type="dxa" w:w="2300"/>
            <w:tcMar>
              <w:top w:type="dxa" w:w="60"/>
              <w:left w:type="dxa" w:w="80"/>
              <w:bottom w:type="dxa" w:w="60"/>
              <w:right w:type="dxa" w:w="80"/>
            </w:tcMar>
            <w:vAlign w:val="top"/>
          </w:tcPr>
          <w:p>
            <w:pPr>
              <w:spacing w:after="0"/>
            </w:pPr>
            <w:r>
              <w:rPr>
                <w:b w:val="false"/>
                <w:bCs w:val="false"/>
                <w:i w:val="false"/>
                <w:iCs w:val="false"/>
                <w:sz w:val="18"/>
                <w:szCs w:val="18"/>
              </w:rPr>
              <w:t xml:space="preserve">KDO</w:t>
            </w:r>
          </w:p>
        </w:tc>
        <w:tc>
          <w:tcPr>
            <w:tcW w:type="dxa" w:w="3200"/>
            <w:tcMar>
              <w:top w:type="dxa" w:w="60"/>
              <w:left w:type="dxa" w:w="80"/>
              <w:bottom w:type="dxa" w:w="60"/>
              <w:right w:type="dxa" w:w="80"/>
            </w:tcMar>
            <w:vAlign w:val="top"/>
          </w:tcPr>
          <w:p>
            <w:pPr>
              <w:spacing w:after="0"/>
            </w:pPr>
            <w:r>
              <w:rPr>
                <w:b w:val="false"/>
                <w:bCs w:val="false"/>
                <w:i w:val="false"/>
                <w:iCs w:val="false"/>
                <w:sz w:val="17"/>
                <w:szCs w:val="17"/>
              </w:rPr>
              <w:t xml:space="preserve">(unique)</w:t>
            </w:r>
          </w:p>
        </w:tc>
        <w:tc>
          <w:tcPr>
            <w:tcW w:type="dxa" w:w="1600"/>
            <w:shd w:fill="D5F5E3" w:val="clear"/>
            <w:tcMar>
              <w:top w:type="dxa" w:w="60"/>
              <w:left w:type="dxa" w:w="80"/>
              <w:bottom w:type="dxa" w:w="60"/>
              <w:right w:type="dxa" w:w="80"/>
            </w:tcMar>
            <w:vAlign w:val="top"/>
          </w:tcPr>
          <w:p>
            <w:pPr>
              <w:spacing w:after="0"/>
            </w:pPr>
            <w:r>
              <w:rPr>
                <w:b/>
                <w:bCs/>
                <w:i w:val="false"/>
                <w:iCs w:val="false"/>
                <w:color w:val="1E8449"/>
                <w:sz w:val="18"/>
                <w:szCs w:val="18"/>
              </w:rPr>
              <w:t xml:space="preserve">High</w:t>
            </w:r>
          </w:p>
        </w:tc>
      </w:tr>
      <w:tr>
        <w:tc>
          <w:tcPr>
            <w:tcW w:type="dxa" w:w="1500"/>
            <w:tcMar>
              <w:top w:type="dxa" w:w="60"/>
              <w:left w:type="dxa" w:w="80"/>
              <w:bottom w:type="dxa" w:w="60"/>
              <w:right w:type="dxa" w:w="80"/>
            </w:tcMar>
            <w:vAlign w:val="top"/>
          </w:tcPr>
          <w:p>
            <w:pPr>
              <w:spacing w:after="0"/>
            </w:pPr>
            <w:r>
              <w:rPr>
                <w:b w:val="false"/>
                <w:bCs w:val="false"/>
                <w:i w:val="false"/>
                <w:iCs w:val="false"/>
                <w:sz w:val="18"/>
                <w:szCs w:val="18"/>
              </w:rPr>
              <w:t xml:space="preserve">1693.0</w:t>
            </w:r>
          </w:p>
        </w:tc>
        <w:tc>
          <w:tcPr>
            <w:tcW w:type="dxa" w:w="1500"/>
            <w:tcMar>
              <w:top w:type="dxa" w:w="60"/>
              <w:left w:type="dxa" w:w="80"/>
              <w:bottom w:type="dxa" w:w="60"/>
              <w:right w:type="dxa" w:w="80"/>
            </w:tcMar>
            <w:vAlign w:val="top"/>
          </w:tcPr>
          <w:p>
            <w:pPr>
              <w:spacing w:after="0"/>
            </w:pPr>
            <w:r>
              <w:rPr>
                <w:b w:val="false"/>
                <w:bCs w:val="false"/>
                <w:i w:val="false"/>
                <w:iCs w:val="false"/>
                <w:sz w:val="18"/>
                <w:szCs w:val="18"/>
              </w:rPr>
              <w:t xml:space="preserve">1692.1</w:t>
            </w:r>
          </w:p>
        </w:tc>
        <w:tc>
          <w:tcPr>
            <w:tcW w:type="dxa" w:w="1100"/>
            <w:tcMar>
              <w:top w:type="dxa" w:w="60"/>
              <w:left w:type="dxa" w:w="80"/>
              <w:bottom w:type="dxa" w:w="60"/>
              <w:right w:type="dxa" w:w="80"/>
            </w:tcMar>
            <w:vAlign w:val="top"/>
          </w:tcPr>
          <w:p>
            <w:pPr>
              <w:spacing w:after="0"/>
            </w:pPr>
            <w:r>
              <w:rPr>
                <w:b w:val="false"/>
                <w:bCs w:val="false"/>
                <w:i w:val="false"/>
                <w:iCs w:val="false"/>
                <w:sz w:val="18"/>
                <w:szCs w:val="18"/>
              </w:rPr>
              <w:t xml:space="preserve">0.9</w:t>
            </w:r>
          </w:p>
        </w:tc>
        <w:tc>
          <w:tcPr>
            <w:tcW w:type="dxa" w:w="2300"/>
            <w:tcMar>
              <w:top w:type="dxa" w:w="60"/>
              <w:left w:type="dxa" w:w="80"/>
              <w:bottom w:type="dxa" w:w="60"/>
              <w:right w:type="dxa" w:w="80"/>
            </w:tcMar>
            <w:vAlign w:val="top"/>
          </w:tcPr>
          <w:p>
            <w:pPr>
              <w:spacing w:after="0"/>
            </w:pPr>
            <w:r>
              <w:rPr>
                <w:b w:val="false"/>
                <w:bCs w:val="false"/>
                <w:i w:val="false"/>
                <w:iCs w:val="false"/>
                <w:sz w:val="18"/>
                <w:szCs w:val="18"/>
              </w:rPr>
              <w:t xml:space="preserve">KDO</w:t>
            </w:r>
          </w:p>
        </w:tc>
        <w:tc>
          <w:tcPr>
            <w:tcW w:type="dxa" w:w="3200"/>
            <w:tcMar>
              <w:top w:type="dxa" w:w="60"/>
              <w:left w:type="dxa" w:w="80"/>
              <w:bottom w:type="dxa" w:w="60"/>
              <w:right w:type="dxa" w:w="80"/>
            </w:tcMar>
            <w:vAlign w:val="top"/>
          </w:tcPr>
          <w:p>
            <w:pPr>
              <w:spacing w:after="0"/>
            </w:pPr>
            <w:r>
              <w:rPr>
                <w:b w:val="false"/>
                <w:bCs w:val="false"/>
                <w:i w:val="false"/>
                <w:iCs w:val="false"/>
                <w:sz w:val="17"/>
                <w:szCs w:val="17"/>
              </w:rPr>
              <w:t xml:space="preserve">(unique)</w:t>
            </w:r>
          </w:p>
        </w:tc>
        <w:tc>
          <w:tcPr>
            <w:tcW w:type="dxa" w:w="1600"/>
            <w:shd w:fill="D5F5E3" w:val="clear"/>
            <w:tcMar>
              <w:top w:type="dxa" w:w="60"/>
              <w:left w:type="dxa" w:w="80"/>
              <w:bottom w:type="dxa" w:w="60"/>
              <w:right w:type="dxa" w:w="80"/>
            </w:tcMar>
            <w:vAlign w:val="top"/>
          </w:tcPr>
          <w:p>
            <w:pPr>
              <w:spacing w:after="0"/>
            </w:pPr>
            <w:r>
              <w:rPr>
                <w:b/>
                <w:bCs/>
                <w:i w:val="false"/>
                <w:iCs w:val="false"/>
                <w:color w:val="1E8449"/>
                <w:sz w:val="18"/>
                <w:szCs w:val="18"/>
              </w:rPr>
              <w:t xml:space="preserve">High</w:t>
            </w:r>
          </w:p>
        </w:tc>
      </w:tr>
      <w:tr>
        <w:tc>
          <w:tcPr>
            <w:tcW w:type="dxa" w:w="1500"/>
            <w:tcMar>
              <w:top w:type="dxa" w:w="60"/>
              <w:left w:type="dxa" w:w="80"/>
              <w:bottom w:type="dxa" w:w="60"/>
              <w:right w:type="dxa" w:w="80"/>
            </w:tcMar>
            <w:vAlign w:val="top"/>
          </w:tcPr>
          <w:p>
            <w:pPr>
              <w:spacing w:after="0"/>
            </w:pPr>
            <w:r>
              <w:rPr>
                <w:b w:val="false"/>
                <w:bCs w:val="false"/>
                <w:i w:val="false"/>
                <w:iCs w:val="false"/>
                <w:sz w:val="18"/>
                <w:szCs w:val="18"/>
              </w:rPr>
              <w:t xml:space="preserve">279.0</w:t>
            </w:r>
          </w:p>
        </w:tc>
        <w:tc>
          <w:tcPr>
            <w:tcW w:type="dxa" w:w="1500"/>
            <w:tcMar>
              <w:top w:type="dxa" w:w="60"/>
              <w:left w:type="dxa" w:w="80"/>
              <w:bottom w:type="dxa" w:w="60"/>
              <w:right w:type="dxa" w:w="80"/>
            </w:tcMar>
            <w:vAlign w:val="top"/>
          </w:tcPr>
          <w:p>
            <w:pPr>
              <w:spacing w:after="0"/>
            </w:pPr>
            <w:r>
              <w:rPr>
                <w:b w:val="false"/>
                <w:bCs w:val="false"/>
                <w:i w:val="false"/>
                <w:iCs w:val="false"/>
                <w:sz w:val="18"/>
                <w:szCs w:val="18"/>
              </w:rPr>
              <w:t xml:space="preserve">278.6</w:t>
            </w:r>
          </w:p>
        </w:tc>
        <w:tc>
          <w:tcPr>
            <w:tcW w:type="dxa" w:w="1100"/>
            <w:tcMar>
              <w:top w:type="dxa" w:w="60"/>
              <w:left w:type="dxa" w:w="80"/>
              <w:bottom w:type="dxa" w:w="60"/>
              <w:right w:type="dxa" w:w="80"/>
            </w:tcMar>
            <w:vAlign w:val="top"/>
          </w:tcPr>
          <w:p>
            <w:pPr>
              <w:spacing w:after="0"/>
            </w:pPr>
            <w:r>
              <w:rPr>
                <w:b w:val="false"/>
                <w:bCs w:val="false"/>
                <w:i w:val="false"/>
                <w:iCs w:val="false"/>
                <w:sz w:val="18"/>
                <w:szCs w:val="18"/>
              </w:rPr>
              <w:t xml:space="preserve">0.4</w:t>
            </w:r>
          </w:p>
        </w:tc>
        <w:tc>
          <w:tcPr>
            <w:tcW w:type="dxa" w:w="2300"/>
            <w:tcMar>
              <w:top w:type="dxa" w:w="60"/>
              <w:left w:type="dxa" w:w="80"/>
              <w:bottom w:type="dxa" w:w="60"/>
              <w:right w:type="dxa" w:w="80"/>
            </w:tcMar>
            <w:vAlign w:val="top"/>
          </w:tcPr>
          <w:p>
            <w:pPr>
              <w:spacing w:after="0"/>
            </w:pPr>
            <w:r>
              <w:rPr>
                <w:b w:val="false"/>
                <w:bCs w:val="false"/>
                <w:i w:val="false"/>
                <w:iCs w:val="false"/>
                <w:sz w:val="18"/>
                <w:szCs w:val="18"/>
              </w:rPr>
              <w:t xml:space="preserve">Heptose</w:t>
            </w:r>
          </w:p>
        </w:tc>
        <w:tc>
          <w:tcPr>
            <w:tcW w:type="dxa" w:w="3200"/>
            <w:tcMar>
              <w:top w:type="dxa" w:w="60"/>
              <w:left w:type="dxa" w:w="80"/>
              <w:bottom w:type="dxa" w:w="60"/>
              <w:right w:type="dxa" w:w="80"/>
            </w:tcMar>
            <w:vAlign w:val="top"/>
          </w:tcPr>
          <w:p>
            <w:pPr>
              <w:spacing w:after="0"/>
            </w:pPr>
            <w:r>
              <w:rPr>
                <w:b w:val="false"/>
                <w:bCs w:val="false"/>
                <w:i w:val="false"/>
                <w:iCs w:val="false"/>
                <w:sz w:val="17"/>
                <w:szCs w:val="17"/>
              </w:rPr>
              <w:t xml:space="preserve">Glucosamine, Phosphoric Acid</w:t>
            </w:r>
          </w:p>
        </w:tc>
        <w:tc>
          <w:tcPr>
            <w:tcW w:type="dxa" w:w="1600"/>
            <w:shd w:fill="FDEBD0" w:val="clear"/>
            <w:tcMar>
              <w:top w:type="dxa" w:w="60"/>
              <w:left w:type="dxa" w:w="80"/>
              <w:bottom w:type="dxa" w:w="60"/>
              <w:right w:type="dxa" w:w="80"/>
            </w:tcMar>
            <w:vAlign w:val="top"/>
          </w:tcPr>
          <w:p>
            <w:pPr>
              <w:spacing w:after="0"/>
            </w:pPr>
            <w:r>
              <w:rPr>
                <w:b/>
                <w:bCs/>
                <w:i w:val="false"/>
                <w:iCs w:val="false"/>
                <w:color w:val="B9770E"/>
                <w:sz w:val="18"/>
                <w:szCs w:val="18"/>
              </w:rPr>
              <w:t xml:space="preserve">Moderate</w:t>
            </w:r>
          </w:p>
        </w:tc>
      </w:tr>
      <w:tr>
        <w:tc>
          <w:tcPr>
            <w:tcW w:type="dxa" w:w="1500"/>
            <w:tcMar>
              <w:top w:type="dxa" w:w="60"/>
              <w:left w:type="dxa" w:w="80"/>
              <w:bottom w:type="dxa" w:w="60"/>
              <w:right w:type="dxa" w:w="80"/>
            </w:tcMar>
            <w:vAlign w:val="top"/>
          </w:tcPr>
          <w:p>
            <w:pPr>
              <w:spacing w:after="0"/>
            </w:pPr>
            <w:r>
              <w:rPr>
                <w:b w:val="false"/>
                <w:bCs w:val="false"/>
                <w:i w:val="false"/>
                <w:iCs w:val="false"/>
                <w:sz w:val="18"/>
                <w:szCs w:val="18"/>
              </w:rPr>
              <w:t xml:space="preserve">310.0</w:t>
            </w:r>
          </w:p>
        </w:tc>
        <w:tc>
          <w:tcPr>
            <w:tcW w:type="dxa" w:w="1500"/>
            <w:tcMar>
              <w:top w:type="dxa" w:w="60"/>
              <w:left w:type="dxa" w:w="80"/>
              <w:bottom w:type="dxa" w:w="60"/>
              <w:right w:type="dxa" w:w="80"/>
            </w:tcMar>
            <w:vAlign w:val="top"/>
          </w:tcPr>
          <w:p>
            <w:pPr>
              <w:spacing w:after="0"/>
            </w:pPr>
            <w:r>
              <w:rPr>
                <w:b w:val="false"/>
                <w:bCs w:val="false"/>
                <w:i w:val="false"/>
                <w:iCs w:val="false"/>
                <w:sz w:val="18"/>
                <w:szCs w:val="18"/>
              </w:rPr>
              <w:t xml:space="preserve">311.2</w:t>
            </w:r>
          </w:p>
        </w:tc>
        <w:tc>
          <w:tcPr>
            <w:tcW w:type="dxa" w:w="1100"/>
            <w:tcMar>
              <w:top w:type="dxa" w:w="60"/>
              <w:left w:type="dxa" w:w="80"/>
              <w:bottom w:type="dxa" w:w="60"/>
              <w:right w:type="dxa" w:w="80"/>
            </w:tcMar>
            <w:vAlign w:val="top"/>
          </w:tcPr>
          <w:p>
            <w:pPr>
              <w:spacing w:after="0"/>
            </w:pPr>
            <w:r>
              <w:rPr>
                <w:b w:val="false"/>
                <w:bCs w:val="false"/>
                <w:i w:val="false"/>
                <w:iCs w:val="false"/>
                <w:sz w:val="18"/>
                <w:szCs w:val="18"/>
              </w:rPr>
              <w:t xml:space="preserve">-1.2</w:t>
            </w:r>
          </w:p>
        </w:tc>
        <w:tc>
          <w:tcPr>
            <w:tcW w:type="dxa" w:w="2300"/>
            <w:tcMar>
              <w:top w:type="dxa" w:w="60"/>
              <w:left w:type="dxa" w:w="80"/>
              <w:bottom w:type="dxa" w:w="60"/>
              <w:right w:type="dxa" w:w="80"/>
            </w:tcMar>
            <w:vAlign w:val="top"/>
          </w:tcPr>
          <w:p>
            <w:pPr>
              <w:spacing w:after="0"/>
            </w:pPr>
            <w:r>
              <w:rPr>
                <w:b w:val="false"/>
                <w:bCs w:val="false"/>
                <w:i w:val="false"/>
                <w:iCs w:val="false"/>
                <w:sz w:val="18"/>
                <w:szCs w:val="18"/>
              </w:rPr>
              <w:t xml:space="preserve">Glucosamine</w:t>
            </w:r>
          </w:p>
        </w:tc>
        <w:tc>
          <w:tcPr>
            <w:tcW w:type="dxa" w:w="3200"/>
            <w:tcMar>
              <w:top w:type="dxa" w:w="60"/>
              <w:left w:type="dxa" w:w="80"/>
              <w:bottom w:type="dxa" w:w="60"/>
              <w:right w:type="dxa" w:w="80"/>
            </w:tcMar>
            <w:vAlign w:val="top"/>
          </w:tcPr>
          <w:p>
            <w:pPr>
              <w:spacing w:after="0"/>
            </w:pPr>
            <w:r>
              <w:rPr>
                <w:b w:val="false"/>
                <w:bCs w:val="false"/>
                <w:i w:val="false"/>
                <w:iCs w:val="false"/>
                <w:sz w:val="17"/>
                <w:szCs w:val="17"/>
              </w:rPr>
              <w:t xml:space="preserve">Heptose</w:t>
            </w:r>
          </w:p>
        </w:tc>
        <w:tc>
          <w:tcPr>
            <w:tcW w:type="dxa" w:w="1600"/>
            <w:shd w:fill="FDEBD0" w:val="clear"/>
            <w:tcMar>
              <w:top w:type="dxa" w:w="60"/>
              <w:left w:type="dxa" w:w="80"/>
              <w:bottom w:type="dxa" w:w="60"/>
              <w:right w:type="dxa" w:w="80"/>
            </w:tcMar>
            <w:vAlign w:val="top"/>
          </w:tcPr>
          <w:p>
            <w:pPr>
              <w:spacing w:after="0"/>
            </w:pPr>
            <w:r>
              <w:rPr>
                <w:b/>
                <w:bCs/>
                <w:i w:val="false"/>
                <w:iCs w:val="false"/>
                <w:color w:val="B9770E"/>
                <w:sz w:val="18"/>
                <w:szCs w:val="18"/>
              </w:rPr>
              <w:t xml:space="preserve">Moderate</w:t>
            </w:r>
          </w:p>
        </w:tc>
      </w:tr>
      <w:tr>
        <w:tc>
          <w:tcPr>
            <w:tcW w:type="dxa" w:w="1500"/>
            <w:tcMar>
              <w:top w:type="dxa" w:w="60"/>
              <w:left w:type="dxa" w:w="80"/>
              <w:bottom w:type="dxa" w:w="60"/>
              <w:right w:type="dxa" w:w="80"/>
            </w:tcMar>
            <w:vAlign w:val="top"/>
          </w:tcPr>
          <w:p>
            <w:pPr>
              <w:spacing w:after="0"/>
            </w:pPr>
            <w:r>
              <w:rPr>
                <w:b w:val="false"/>
                <w:bCs w:val="false"/>
                <w:i w:val="false"/>
                <w:iCs w:val="false"/>
                <w:sz w:val="18"/>
                <w:szCs w:val="18"/>
              </w:rPr>
              <w:t xml:space="preserve">426.0</w:t>
            </w:r>
          </w:p>
        </w:tc>
        <w:tc>
          <w:tcPr>
            <w:tcW w:type="dxa" w:w="1500"/>
            <w:tcMar>
              <w:top w:type="dxa" w:w="60"/>
              <w:left w:type="dxa" w:w="80"/>
              <w:bottom w:type="dxa" w:w="60"/>
              <w:right w:type="dxa" w:w="80"/>
            </w:tcMar>
            <w:vAlign w:val="top"/>
          </w:tcPr>
          <w:p>
            <w:pPr>
              <w:spacing w:after="0"/>
            </w:pPr>
            <w:r>
              <w:rPr>
                <w:b w:val="false"/>
                <w:bCs w:val="false"/>
                <w:i w:val="false"/>
                <w:iCs w:val="false"/>
                <w:sz w:val="18"/>
                <w:szCs w:val="18"/>
              </w:rPr>
              <w:t xml:space="preserve">425.9</w:t>
            </w:r>
          </w:p>
        </w:tc>
        <w:tc>
          <w:tcPr>
            <w:tcW w:type="dxa" w:w="1100"/>
            <w:tcMar>
              <w:top w:type="dxa" w:w="60"/>
              <w:left w:type="dxa" w:w="80"/>
              <w:bottom w:type="dxa" w:w="60"/>
              <w:right w:type="dxa" w:w="80"/>
            </w:tcMar>
            <w:vAlign w:val="top"/>
          </w:tcPr>
          <w:p>
            <w:pPr>
              <w:spacing w:after="0"/>
            </w:pPr>
            <w:r>
              <w:rPr>
                <w:b w:val="false"/>
                <w:bCs w:val="false"/>
                <w:i w:val="false"/>
                <w:iCs w:val="false"/>
                <w:sz w:val="18"/>
                <w:szCs w:val="18"/>
              </w:rPr>
              <w:t xml:space="preserve">0.1</w:t>
            </w:r>
          </w:p>
        </w:tc>
        <w:tc>
          <w:tcPr>
            <w:tcW w:type="dxa" w:w="2300"/>
            <w:tcMar>
              <w:top w:type="dxa" w:w="60"/>
              <w:left w:type="dxa" w:w="80"/>
              <w:bottom w:type="dxa" w:w="60"/>
              <w:right w:type="dxa" w:w="80"/>
            </w:tcMar>
            <w:vAlign w:val="top"/>
          </w:tcPr>
          <w:p>
            <w:pPr>
              <w:spacing w:after="0"/>
            </w:pPr>
            <w:r>
              <w:rPr>
                <w:b w:val="false"/>
                <w:bCs w:val="false"/>
                <w:i w:val="false"/>
                <w:iCs w:val="false"/>
                <w:sz w:val="18"/>
                <w:szCs w:val="18"/>
              </w:rPr>
              <w:t xml:space="preserve">Phosphoric Acid</w:t>
            </w:r>
          </w:p>
        </w:tc>
        <w:tc>
          <w:tcPr>
            <w:tcW w:type="dxa" w:w="3200"/>
            <w:tcMar>
              <w:top w:type="dxa" w:w="60"/>
              <w:left w:type="dxa" w:w="80"/>
              <w:bottom w:type="dxa" w:w="60"/>
              <w:right w:type="dxa" w:w="80"/>
            </w:tcMar>
            <w:vAlign w:val="top"/>
          </w:tcPr>
          <w:p>
            <w:pPr>
              <w:spacing w:after="0"/>
            </w:pPr>
            <w:r>
              <w:rPr>
                <w:b w:val="false"/>
                <w:bCs w:val="false"/>
                <w:i w:val="false"/>
                <w:iCs w:val="false"/>
                <w:sz w:val="17"/>
                <w:szCs w:val="17"/>
              </w:rPr>
              <w:t xml:space="preserve">Glucosamine, Heptose, KDO</w:t>
            </w:r>
          </w:p>
        </w:tc>
        <w:tc>
          <w:tcPr>
            <w:tcW w:type="dxa" w:w="1600"/>
            <w:shd w:fill="FDEBD0" w:val="clear"/>
            <w:tcMar>
              <w:top w:type="dxa" w:w="60"/>
              <w:left w:type="dxa" w:w="80"/>
              <w:bottom w:type="dxa" w:w="60"/>
              <w:right w:type="dxa" w:w="80"/>
            </w:tcMar>
            <w:vAlign w:val="top"/>
          </w:tcPr>
          <w:p>
            <w:pPr>
              <w:spacing w:after="0"/>
            </w:pPr>
            <w:r>
              <w:rPr>
                <w:b/>
                <w:bCs/>
                <w:i w:val="false"/>
                <w:iCs w:val="false"/>
                <w:color w:val="B9770E"/>
                <w:sz w:val="18"/>
                <w:szCs w:val="18"/>
              </w:rPr>
              <w:t xml:space="preserve">Moderate</w:t>
            </w:r>
          </w:p>
        </w:tc>
      </w:tr>
      <w:tr>
        <w:tc>
          <w:tcPr>
            <w:tcW w:type="dxa" w:w="1500"/>
            <w:tcMar>
              <w:top w:type="dxa" w:w="60"/>
              <w:left w:type="dxa" w:w="80"/>
              <w:bottom w:type="dxa" w:w="60"/>
              <w:right w:type="dxa" w:w="80"/>
            </w:tcMar>
            <w:vAlign w:val="top"/>
          </w:tcPr>
          <w:p>
            <w:pPr>
              <w:spacing w:after="0"/>
            </w:pPr>
            <w:r>
              <w:rPr>
                <w:b w:val="false"/>
                <w:bCs w:val="false"/>
                <w:i w:val="false"/>
                <w:iCs w:val="false"/>
                <w:sz w:val="18"/>
                <w:szCs w:val="18"/>
              </w:rPr>
              <w:t xml:space="preserve">467.0</w:t>
            </w:r>
          </w:p>
        </w:tc>
        <w:tc>
          <w:tcPr>
            <w:tcW w:type="dxa" w:w="1500"/>
            <w:tcMar>
              <w:top w:type="dxa" w:w="60"/>
              <w:left w:type="dxa" w:w="80"/>
              <w:bottom w:type="dxa" w:w="60"/>
              <w:right w:type="dxa" w:w="80"/>
            </w:tcMar>
            <w:vAlign w:val="top"/>
          </w:tcPr>
          <w:p>
            <w:pPr>
              <w:spacing w:after="0"/>
            </w:pPr>
            <w:r>
              <w:rPr>
                <w:b w:val="false"/>
                <w:bCs w:val="false"/>
                <w:i w:val="false"/>
                <w:iCs w:val="false"/>
                <w:sz w:val="18"/>
                <w:szCs w:val="18"/>
              </w:rPr>
              <w:t xml:space="preserve">467.0</w:t>
            </w:r>
          </w:p>
        </w:tc>
        <w:tc>
          <w:tcPr>
            <w:tcW w:type="dxa" w:w="1100"/>
            <w:tcMar>
              <w:top w:type="dxa" w:w="60"/>
              <w:left w:type="dxa" w:w="80"/>
              <w:bottom w:type="dxa" w:w="60"/>
              <w:right w:type="dxa" w:w="80"/>
            </w:tcMar>
            <w:vAlign w:val="top"/>
          </w:tcPr>
          <w:p>
            <w:pPr>
              <w:spacing w:after="0"/>
            </w:pPr>
            <w:r>
              <w:rPr>
                <w:b w:val="false"/>
                <w:bCs w:val="false"/>
                <w:i w:val="false"/>
                <w:iCs w:val="false"/>
                <w:sz w:val="18"/>
                <w:szCs w:val="18"/>
              </w:rPr>
              <w:t xml:space="preserve">0.0</w:t>
            </w:r>
          </w:p>
        </w:tc>
        <w:tc>
          <w:tcPr>
            <w:tcW w:type="dxa" w:w="2300"/>
            <w:tcMar>
              <w:top w:type="dxa" w:w="60"/>
              <w:left w:type="dxa" w:w="80"/>
              <w:bottom w:type="dxa" w:w="60"/>
              <w:right w:type="dxa" w:w="80"/>
            </w:tcMar>
            <w:vAlign w:val="top"/>
          </w:tcPr>
          <w:p>
            <w:pPr>
              <w:spacing w:after="0"/>
            </w:pPr>
            <w:r>
              <w:rPr>
                <w:b w:val="false"/>
                <w:bCs w:val="false"/>
                <w:i w:val="false"/>
                <w:iCs w:val="false"/>
                <w:sz w:val="18"/>
                <w:szCs w:val="18"/>
              </w:rPr>
              <w:t xml:space="preserve">Glucosamine</w:t>
            </w:r>
          </w:p>
        </w:tc>
        <w:tc>
          <w:tcPr>
            <w:tcW w:type="dxa" w:w="3200"/>
            <w:tcMar>
              <w:top w:type="dxa" w:w="60"/>
              <w:left w:type="dxa" w:w="80"/>
              <w:bottom w:type="dxa" w:w="60"/>
              <w:right w:type="dxa" w:w="80"/>
            </w:tcMar>
            <w:vAlign w:val="top"/>
          </w:tcPr>
          <w:p>
            <w:pPr>
              <w:spacing w:after="0"/>
            </w:pPr>
            <w:r>
              <w:rPr>
                <w:b w:val="false"/>
                <w:bCs w:val="false"/>
                <w:i w:val="false"/>
                <w:iCs w:val="false"/>
                <w:sz w:val="17"/>
                <w:szCs w:val="17"/>
              </w:rPr>
              <w:t xml:space="preserve">Heptose, KDO</w:t>
            </w:r>
          </w:p>
        </w:tc>
        <w:tc>
          <w:tcPr>
            <w:tcW w:type="dxa" w:w="1600"/>
            <w:shd w:fill="FDEBD0" w:val="clear"/>
            <w:tcMar>
              <w:top w:type="dxa" w:w="60"/>
              <w:left w:type="dxa" w:w="80"/>
              <w:bottom w:type="dxa" w:w="60"/>
              <w:right w:type="dxa" w:w="80"/>
            </w:tcMar>
            <w:vAlign w:val="top"/>
          </w:tcPr>
          <w:p>
            <w:pPr>
              <w:spacing w:after="0"/>
            </w:pPr>
            <w:r>
              <w:rPr>
                <w:b/>
                <w:bCs/>
                <w:i w:val="false"/>
                <w:iCs w:val="false"/>
                <w:color w:val="B9770E"/>
                <w:sz w:val="18"/>
                <w:szCs w:val="18"/>
              </w:rPr>
              <w:t xml:space="preserve">Moderate</w:t>
            </w:r>
          </w:p>
        </w:tc>
      </w:tr>
      <w:tr>
        <w:tc>
          <w:tcPr>
            <w:tcW w:type="dxa" w:w="1500"/>
            <w:tcMar>
              <w:top w:type="dxa" w:w="60"/>
              <w:left w:type="dxa" w:w="80"/>
              <w:bottom w:type="dxa" w:w="60"/>
              <w:right w:type="dxa" w:w="80"/>
            </w:tcMar>
            <w:vAlign w:val="top"/>
          </w:tcPr>
          <w:p>
            <w:pPr>
              <w:spacing w:after="0"/>
            </w:pPr>
            <w:r>
              <w:rPr>
                <w:b w:val="false"/>
                <w:bCs w:val="false"/>
                <w:i w:val="false"/>
                <w:iCs w:val="false"/>
                <w:sz w:val="18"/>
                <w:szCs w:val="18"/>
              </w:rPr>
              <w:t xml:space="preserve">489.0</w:t>
            </w:r>
          </w:p>
        </w:tc>
        <w:tc>
          <w:tcPr>
            <w:tcW w:type="dxa" w:w="1500"/>
            <w:tcMar>
              <w:top w:type="dxa" w:w="60"/>
              <w:left w:type="dxa" w:w="80"/>
              <w:bottom w:type="dxa" w:w="60"/>
              <w:right w:type="dxa" w:w="80"/>
            </w:tcMar>
            <w:vAlign w:val="top"/>
          </w:tcPr>
          <w:p>
            <w:pPr>
              <w:spacing w:after="0"/>
            </w:pPr>
            <w:r>
              <w:rPr>
                <w:b w:val="false"/>
                <w:bCs w:val="false"/>
                <w:i w:val="false"/>
                <w:iCs w:val="false"/>
                <w:sz w:val="18"/>
                <w:szCs w:val="18"/>
              </w:rPr>
              <w:t xml:space="preserve">490.3</w:t>
            </w:r>
          </w:p>
        </w:tc>
        <w:tc>
          <w:tcPr>
            <w:tcW w:type="dxa" w:w="1100"/>
            <w:tcMar>
              <w:top w:type="dxa" w:w="60"/>
              <w:left w:type="dxa" w:w="80"/>
              <w:bottom w:type="dxa" w:w="60"/>
              <w:right w:type="dxa" w:w="80"/>
            </w:tcMar>
            <w:vAlign w:val="top"/>
          </w:tcPr>
          <w:p>
            <w:pPr>
              <w:spacing w:after="0"/>
            </w:pPr>
            <w:r>
              <w:rPr>
                <w:b w:val="false"/>
                <w:bCs w:val="false"/>
                <w:i w:val="false"/>
                <w:iCs w:val="false"/>
                <w:sz w:val="18"/>
                <w:szCs w:val="18"/>
              </w:rPr>
              <w:t xml:space="preserve">-1.3</w:t>
            </w:r>
          </w:p>
        </w:tc>
        <w:tc>
          <w:tcPr>
            <w:tcW w:type="dxa" w:w="2300"/>
            <w:tcMar>
              <w:top w:type="dxa" w:w="60"/>
              <w:left w:type="dxa" w:w="80"/>
              <w:bottom w:type="dxa" w:w="60"/>
              <w:right w:type="dxa" w:w="80"/>
            </w:tcMar>
            <w:vAlign w:val="top"/>
          </w:tcPr>
          <w:p>
            <w:pPr>
              <w:spacing w:after="0"/>
            </w:pPr>
            <w:r>
              <w:rPr>
                <w:b w:val="false"/>
                <w:bCs w:val="false"/>
                <w:i w:val="false"/>
                <w:iCs w:val="false"/>
                <w:sz w:val="18"/>
                <w:szCs w:val="18"/>
              </w:rPr>
              <w:t xml:space="preserve">Glucosamine</w:t>
            </w:r>
          </w:p>
        </w:tc>
        <w:tc>
          <w:tcPr>
            <w:tcW w:type="dxa" w:w="3200"/>
            <w:tcMar>
              <w:top w:type="dxa" w:w="60"/>
              <w:left w:type="dxa" w:w="80"/>
              <w:bottom w:type="dxa" w:w="60"/>
              <w:right w:type="dxa" w:w="80"/>
            </w:tcMar>
            <w:vAlign w:val="top"/>
          </w:tcPr>
          <w:p>
            <w:pPr>
              <w:spacing w:after="0"/>
            </w:pPr>
            <w:r>
              <w:rPr>
                <w:b w:val="false"/>
                <w:bCs w:val="false"/>
                <w:i w:val="false"/>
                <w:iCs w:val="false"/>
                <w:sz w:val="17"/>
                <w:szCs w:val="17"/>
              </w:rPr>
              <w:t xml:space="preserve">Heptose, KDO, Myristic Acid</w:t>
            </w:r>
          </w:p>
        </w:tc>
        <w:tc>
          <w:tcPr>
            <w:tcW w:type="dxa" w:w="1600"/>
            <w:shd w:fill="FDEBD0" w:val="clear"/>
            <w:tcMar>
              <w:top w:type="dxa" w:w="60"/>
              <w:left w:type="dxa" w:w="80"/>
              <w:bottom w:type="dxa" w:w="60"/>
              <w:right w:type="dxa" w:w="80"/>
            </w:tcMar>
            <w:vAlign w:val="top"/>
          </w:tcPr>
          <w:p>
            <w:pPr>
              <w:spacing w:after="0"/>
            </w:pPr>
            <w:r>
              <w:rPr>
                <w:b/>
                <w:bCs/>
                <w:i w:val="false"/>
                <w:iCs w:val="false"/>
                <w:color w:val="B9770E"/>
                <w:sz w:val="18"/>
                <w:szCs w:val="18"/>
              </w:rPr>
              <w:t xml:space="preserve">Moderate</w:t>
            </w:r>
          </w:p>
        </w:tc>
      </w:tr>
      <w:tr>
        <w:tc>
          <w:tcPr>
            <w:tcW w:type="dxa" w:w="1500"/>
            <w:tcMar>
              <w:top w:type="dxa" w:w="60"/>
              <w:left w:type="dxa" w:w="80"/>
              <w:bottom w:type="dxa" w:w="60"/>
              <w:right w:type="dxa" w:w="80"/>
            </w:tcMar>
            <w:vAlign w:val="top"/>
          </w:tcPr>
          <w:p>
            <w:pPr>
              <w:spacing w:after="0"/>
            </w:pPr>
            <w:r>
              <w:rPr>
                <w:b w:val="false"/>
                <w:bCs w:val="false"/>
                <w:i w:val="false"/>
                <w:iCs w:val="false"/>
                <w:sz w:val="18"/>
                <w:szCs w:val="18"/>
              </w:rPr>
              <w:t xml:space="preserve">511.0</w:t>
            </w:r>
          </w:p>
        </w:tc>
        <w:tc>
          <w:tcPr>
            <w:tcW w:type="dxa" w:w="1500"/>
            <w:tcMar>
              <w:top w:type="dxa" w:w="60"/>
              <w:left w:type="dxa" w:w="80"/>
              <w:bottom w:type="dxa" w:w="60"/>
              <w:right w:type="dxa" w:w="80"/>
            </w:tcMar>
            <w:vAlign w:val="top"/>
          </w:tcPr>
          <w:p>
            <w:pPr>
              <w:spacing w:after="0"/>
            </w:pPr>
            <w:r>
              <w:rPr>
                <w:b w:val="false"/>
                <w:bCs w:val="false"/>
                <w:i w:val="false"/>
                <w:iCs w:val="false"/>
                <w:sz w:val="18"/>
                <w:szCs w:val="18"/>
              </w:rPr>
              <w:t xml:space="preserve">502.5</w:t>
            </w:r>
          </w:p>
        </w:tc>
        <w:tc>
          <w:tcPr>
            <w:tcW w:type="dxa" w:w="1100"/>
            <w:tcMar>
              <w:top w:type="dxa" w:w="60"/>
              <w:left w:type="dxa" w:w="80"/>
              <w:bottom w:type="dxa" w:w="60"/>
              <w:right w:type="dxa" w:w="80"/>
            </w:tcMar>
            <w:vAlign w:val="top"/>
          </w:tcPr>
          <w:p>
            <w:pPr>
              <w:spacing w:after="0"/>
            </w:pPr>
            <w:r>
              <w:rPr>
                <w:b w:val="false"/>
                <w:bCs w:val="false"/>
                <w:i w:val="false"/>
                <w:iCs w:val="false"/>
                <w:sz w:val="18"/>
                <w:szCs w:val="18"/>
              </w:rPr>
              <w:t xml:space="preserve">8.5</w:t>
            </w:r>
          </w:p>
        </w:tc>
        <w:tc>
          <w:tcPr>
            <w:tcW w:type="dxa" w:w="2300"/>
            <w:tcMar>
              <w:top w:type="dxa" w:w="60"/>
              <w:left w:type="dxa" w:w="80"/>
              <w:bottom w:type="dxa" w:w="60"/>
              <w:right w:type="dxa" w:w="80"/>
            </w:tcMar>
            <w:vAlign w:val="top"/>
          </w:tcPr>
          <w:p>
            <w:pPr>
              <w:spacing w:after="0"/>
            </w:pPr>
            <w:r>
              <w:rPr>
                <w:b w:val="false"/>
                <w:bCs w:val="false"/>
                <w:i w:val="false"/>
                <w:iCs w:val="false"/>
                <w:sz w:val="18"/>
                <w:szCs w:val="18"/>
              </w:rPr>
              <w:t xml:space="preserve">Myristic Acid</w:t>
            </w:r>
          </w:p>
        </w:tc>
        <w:tc>
          <w:tcPr>
            <w:tcW w:type="dxa" w:w="3200"/>
            <w:tcMar>
              <w:top w:type="dxa" w:w="60"/>
              <w:left w:type="dxa" w:w="80"/>
              <w:bottom w:type="dxa" w:w="60"/>
              <w:right w:type="dxa" w:w="80"/>
            </w:tcMar>
            <w:vAlign w:val="top"/>
          </w:tcPr>
          <w:p>
            <w:pPr>
              <w:spacing w:after="0"/>
            </w:pPr>
            <w:r>
              <w:rPr>
                <w:b w:val="false"/>
                <w:bCs w:val="false"/>
                <w:i w:val="false"/>
                <w:iCs w:val="false"/>
                <w:sz w:val="17"/>
                <w:szCs w:val="17"/>
              </w:rPr>
              <w:t xml:space="preserve">(unique)</w:t>
            </w:r>
          </w:p>
        </w:tc>
        <w:tc>
          <w:tcPr>
            <w:tcW w:type="dxa" w:w="1600"/>
            <w:shd w:fill="FDEBD0" w:val="clear"/>
            <w:tcMar>
              <w:top w:type="dxa" w:w="60"/>
              <w:left w:type="dxa" w:w="80"/>
              <w:bottom w:type="dxa" w:w="60"/>
              <w:right w:type="dxa" w:w="80"/>
            </w:tcMar>
            <w:vAlign w:val="top"/>
          </w:tcPr>
          <w:p>
            <w:pPr>
              <w:spacing w:after="0"/>
            </w:pPr>
            <w:r>
              <w:rPr>
                <w:b/>
                <w:bCs/>
                <w:i w:val="false"/>
                <w:iCs w:val="false"/>
                <w:color w:val="B9770E"/>
                <w:sz w:val="18"/>
                <w:szCs w:val="18"/>
              </w:rPr>
              <w:t xml:space="preserve">Moderate</w:t>
            </w:r>
          </w:p>
        </w:tc>
      </w:tr>
      <w:tr>
        <w:tc>
          <w:tcPr>
            <w:tcW w:type="dxa" w:w="1500"/>
            <w:tcMar>
              <w:top w:type="dxa" w:w="60"/>
              <w:left w:type="dxa" w:w="80"/>
              <w:bottom w:type="dxa" w:w="60"/>
              <w:right w:type="dxa" w:w="80"/>
            </w:tcMar>
            <w:vAlign w:val="top"/>
          </w:tcPr>
          <w:p>
            <w:pPr>
              <w:spacing w:after="0"/>
            </w:pPr>
            <w:r>
              <w:rPr>
                <w:b w:val="false"/>
                <w:bCs w:val="false"/>
                <w:i w:val="false"/>
                <w:iCs w:val="false"/>
                <w:sz w:val="18"/>
                <w:szCs w:val="18"/>
              </w:rPr>
              <w:t xml:space="preserve">542.0</w:t>
            </w:r>
          </w:p>
        </w:tc>
        <w:tc>
          <w:tcPr>
            <w:tcW w:type="dxa" w:w="1500"/>
            <w:tcMar>
              <w:top w:type="dxa" w:w="60"/>
              <w:left w:type="dxa" w:w="80"/>
              <w:bottom w:type="dxa" w:w="60"/>
              <w:right w:type="dxa" w:w="80"/>
            </w:tcMar>
            <w:vAlign w:val="top"/>
          </w:tcPr>
          <w:p>
            <w:pPr>
              <w:spacing w:after="0"/>
            </w:pPr>
            <w:r>
              <w:rPr>
                <w:b w:val="false"/>
                <w:bCs w:val="false"/>
                <w:i w:val="false"/>
                <w:iCs w:val="false"/>
                <w:sz w:val="18"/>
                <w:szCs w:val="18"/>
              </w:rPr>
              <w:t xml:space="preserve">541.5</w:t>
            </w:r>
          </w:p>
        </w:tc>
        <w:tc>
          <w:tcPr>
            <w:tcW w:type="dxa" w:w="1100"/>
            <w:tcMar>
              <w:top w:type="dxa" w:w="60"/>
              <w:left w:type="dxa" w:w="80"/>
              <w:bottom w:type="dxa" w:w="60"/>
              <w:right w:type="dxa" w:w="80"/>
            </w:tcMar>
            <w:vAlign w:val="top"/>
          </w:tcPr>
          <w:p>
            <w:pPr>
              <w:spacing w:after="0"/>
            </w:pPr>
            <w:r>
              <w:rPr>
                <w:b w:val="false"/>
                <w:bCs w:val="false"/>
                <w:i w:val="false"/>
                <w:iCs w:val="false"/>
                <w:sz w:val="18"/>
                <w:szCs w:val="18"/>
              </w:rPr>
              <w:t xml:space="preserve">0.5</w:t>
            </w:r>
          </w:p>
        </w:tc>
        <w:tc>
          <w:tcPr>
            <w:tcW w:type="dxa" w:w="2300"/>
            <w:tcMar>
              <w:top w:type="dxa" w:w="60"/>
              <w:left w:type="dxa" w:w="80"/>
              <w:bottom w:type="dxa" w:w="60"/>
              <w:right w:type="dxa" w:w="80"/>
            </w:tcMar>
            <w:vAlign w:val="top"/>
          </w:tcPr>
          <w:p>
            <w:pPr>
              <w:spacing w:after="0"/>
            </w:pPr>
            <w:r>
              <w:rPr>
                <w:b w:val="false"/>
                <w:bCs w:val="false"/>
                <w:i w:val="false"/>
                <w:iCs w:val="false"/>
                <w:sz w:val="18"/>
                <w:szCs w:val="18"/>
              </w:rPr>
              <w:t xml:space="preserve">Heptose</w:t>
            </w:r>
          </w:p>
        </w:tc>
        <w:tc>
          <w:tcPr>
            <w:tcW w:type="dxa" w:w="3200"/>
            <w:tcMar>
              <w:top w:type="dxa" w:w="60"/>
              <w:left w:type="dxa" w:w="80"/>
              <w:bottom w:type="dxa" w:w="60"/>
              <w:right w:type="dxa" w:w="80"/>
            </w:tcMar>
            <w:vAlign w:val="top"/>
          </w:tcPr>
          <w:p>
            <w:pPr>
              <w:spacing w:after="0"/>
            </w:pPr>
            <w:r>
              <w:rPr>
                <w:b w:val="false"/>
                <w:bCs w:val="false"/>
                <w:i w:val="false"/>
                <w:iCs w:val="false"/>
                <w:sz w:val="17"/>
                <w:szCs w:val="17"/>
              </w:rPr>
              <w:t xml:space="preserve">Glucosamine, KDO</w:t>
            </w:r>
          </w:p>
        </w:tc>
        <w:tc>
          <w:tcPr>
            <w:tcW w:type="dxa" w:w="1600"/>
            <w:shd w:fill="FDEBD0" w:val="clear"/>
            <w:tcMar>
              <w:top w:type="dxa" w:w="60"/>
              <w:left w:type="dxa" w:w="80"/>
              <w:bottom w:type="dxa" w:w="60"/>
              <w:right w:type="dxa" w:w="80"/>
            </w:tcMar>
            <w:vAlign w:val="top"/>
          </w:tcPr>
          <w:p>
            <w:pPr>
              <w:spacing w:after="0"/>
            </w:pPr>
            <w:r>
              <w:rPr>
                <w:b/>
                <w:bCs/>
                <w:i w:val="false"/>
                <w:iCs w:val="false"/>
                <w:color w:val="B9770E"/>
                <w:sz w:val="18"/>
                <w:szCs w:val="18"/>
              </w:rPr>
              <w:t xml:space="preserve">Moderate</w:t>
            </w:r>
          </w:p>
        </w:tc>
      </w:tr>
      <w:tr>
        <w:tc>
          <w:tcPr>
            <w:tcW w:type="dxa" w:w="1500"/>
            <w:tcMar>
              <w:top w:type="dxa" w:w="60"/>
              <w:left w:type="dxa" w:w="80"/>
              <w:bottom w:type="dxa" w:w="60"/>
              <w:right w:type="dxa" w:w="80"/>
            </w:tcMar>
            <w:vAlign w:val="top"/>
          </w:tcPr>
          <w:p>
            <w:pPr>
              <w:spacing w:after="0"/>
            </w:pPr>
            <w:r>
              <w:rPr>
                <w:b w:val="false"/>
                <w:bCs w:val="false"/>
                <w:i w:val="false"/>
                <w:iCs w:val="false"/>
                <w:sz w:val="18"/>
                <w:szCs w:val="18"/>
              </w:rPr>
              <w:t xml:space="preserve">587.0</w:t>
            </w:r>
          </w:p>
        </w:tc>
        <w:tc>
          <w:tcPr>
            <w:tcW w:type="dxa" w:w="1500"/>
            <w:tcMar>
              <w:top w:type="dxa" w:w="60"/>
              <w:left w:type="dxa" w:w="80"/>
              <w:bottom w:type="dxa" w:w="60"/>
              <w:right w:type="dxa" w:w="80"/>
            </w:tcMar>
            <w:vAlign w:val="top"/>
          </w:tcPr>
          <w:p>
            <w:pPr>
              <w:spacing w:after="0"/>
            </w:pPr>
            <w:r>
              <w:rPr>
                <w:b w:val="false"/>
                <w:bCs w:val="false"/>
                <w:i w:val="false"/>
                <w:iCs w:val="false"/>
                <w:sz w:val="18"/>
                <w:szCs w:val="18"/>
              </w:rPr>
              <w:t xml:space="preserve">581.7</w:t>
            </w:r>
          </w:p>
        </w:tc>
        <w:tc>
          <w:tcPr>
            <w:tcW w:type="dxa" w:w="1100"/>
            <w:tcMar>
              <w:top w:type="dxa" w:w="60"/>
              <w:left w:type="dxa" w:w="80"/>
              <w:bottom w:type="dxa" w:w="60"/>
              <w:right w:type="dxa" w:w="80"/>
            </w:tcMar>
            <w:vAlign w:val="top"/>
          </w:tcPr>
          <w:p>
            <w:pPr>
              <w:spacing w:after="0"/>
            </w:pPr>
            <w:r>
              <w:rPr>
                <w:b w:val="false"/>
                <w:bCs w:val="false"/>
                <w:i w:val="false"/>
                <w:iCs w:val="false"/>
                <w:sz w:val="18"/>
                <w:szCs w:val="18"/>
              </w:rPr>
              <w:t xml:space="preserve">5.3</w:t>
            </w:r>
          </w:p>
        </w:tc>
        <w:tc>
          <w:tcPr>
            <w:tcW w:type="dxa" w:w="2300"/>
            <w:tcMar>
              <w:top w:type="dxa" w:w="60"/>
              <w:left w:type="dxa" w:w="80"/>
              <w:bottom w:type="dxa" w:w="60"/>
              <w:right w:type="dxa" w:w="80"/>
            </w:tcMar>
            <w:vAlign w:val="top"/>
          </w:tcPr>
          <w:p>
            <w:pPr>
              <w:spacing w:after="0"/>
            </w:pPr>
            <w:r>
              <w:rPr>
                <w:b w:val="false"/>
                <w:bCs w:val="false"/>
                <w:i w:val="false"/>
                <w:iCs w:val="false"/>
                <w:sz w:val="18"/>
                <w:szCs w:val="18"/>
              </w:rPr>
              <w:t xml:space="preserve">Heptose</w:t>
            </w:r>
          </w:p>
        </w:tc>
        <w:tc>
          <w:tcPr>
            <w:tcW w:type="dxa" w:w="3200"/>
            <w:tcMar>
              <w:top w:type="dxa" w:w="60"/>
              <w:left w:type="dxa" w:w="80"/>
              <w:bottom w:type="dxa" w:w="60"/>
              <w:right w:type="dxa" w:w="80"/>
            </w:tcMar>
            <w:vAlign w:val="top"/>
          </w:tcPr>
          <w:p>
            <w:pPr>
              <w:spacing w:after="0"/>
            </w:pPr>
            <w:r>
              <w:rPr>
                <w:b w:val="false"/>
                <w:bCs w:val="false"/>
                <w:i w:val="false"/>
                <w:iCs w:val="false"/>
                <w:sz w:val="17"/>
                <w:szCs w:val="17"/>
              </w:rPr>
              <w:t xml:space="preserve">Glucosamine</w:t>
            </w:r>
          </w:p>
        </w:tc>
        <w:tc>
          <w:tcPr>
            <w:tcW w:type="dxa" w:w="1600"/>
            <w:shd w:fill="FDEBD0" w:val="clear"/>
            <w:tcMar>
              <w:top w:type="dxa" w:w="60"/>
              <w:left w:type="dxa" w:w="80"/>
              <w:bottom w:type="dxa" w:w="60"/>
              <w:right w:type="dxa" w:w="80"/>
            </w:tcMar>
            <w:vAlign w:val="top"/>
          </w:tcPr>
          <w:p>
            <w:pPr>
              <w:spacing w:after="0"/>
            </w:pPr>
            <w:r>
              <w:rPr>
                <w:b/>
                <w:bCs/>
                <w:i w:val="false"/>
                <w:iCs w:val="false"/>
                <w:color w:val="B9770E"/>
                <w:sz w:val="18"/>
                <w:szCs w:val="18"/>
              </w:rPr>
              <w:t xml:space="preserve">Moderate</w:t>
            </w:r>
          </w:p>
        </w:tc>
      </w:tr>
      <w:tr>
        <w:tc>
          <w:tcPr>
            <w:tcW w:type="dxa" w:w="1500"/>
            <w:tcMar>
              <w:top w:type="dxa" w:w="60"/>
              <w:left w:type="dxa" w:w="80"/>
              <w:bottom w:type="dxa" w:w="60"/>
              <w:right w:type="dxa" w:w="80"/>
            </w:tcMar>
            <w:vAlign w:val="top"/>
          </w:tcPr>
          <w:p>
            <w:pPr>
              <w:spacing w:after="0"/>
            </w:pPr>
            <w:r>
              <w:rPr>
                <w:b w:val="false"/>
                <w:bCs w:val="false"/>
                <w:i w:val="false"/>
                <w:iCs w:val="false"/>
                <w:sz w:val="18"/>
                <w:szCs w:val="18"/>
              </w:rPr>
              <w:t xml:space="preserve">629.0</w:t>
            </w:r>
          </w:p>
        </w:tc>
        <w:tc>
          <w:tcPr>
            <w:tcW w:type="dxa" w:w="1500"/>
            <w:tcMar>
              <w:top w:type="dxa" w:w="60"/>
              <w:left w:type="dxa" w:w="80"/>
              <w:bottom w:type="dxa" w:w="60"/>
              <w:right w:type="dxa" w:w="80"/>
            </w:tcMar>
            <w:vAlign w:val="top"/>
          </w:tcPr>
          <w:p>
            <w:pPr>
              <w:spacing w:after="0"/>
            </w:pPr>
            <w:r>
              <w:rPr>
                <w:b w:val="false"/>
                <w:bCs w:val="false"/>
                <w:i w:val="false"/>
                <w:iCs w:val="false"/>
                <w:sz w:val="18"/>
                <w:szCs w:val="18"/>
              </w:rPr>
              <w:t xml:space="preserve">619.7</w:t>
            </w:r>
          </w:p>
        </w:tc>
        <w:tc>
          <w:tcPr>
            <w:tcW w:type="dxa" w:w="1100"/>
            <w:tcMar>
              <w:top w:type="dxa" w:w="60"/>
              <w:left w:type="dxa" w:w="80"/>
              <w:bottom w:type="dxa" w:w="60"/>
              <w:right w:type="dxa" w:w="80"/>
            </w:tcMar>
            <w:vAlign w:val="top"/>
          </w:tcPr>
          <w:p>
            <w:pPr>
              <w:spacing w:after="0"/>
            </w:pPr>
            <w:r>
              <w:rPr>
                <w:b w:val="false"/>
                <w:bCs w:val="false"/>
                <w:i w:val="false"/>
                <w:iCs w:val="false"/>
                <w:sz w:val="18"/>
                <w:szCs w:val="18"/>
              </w:rPr>
              <w:t xml:space="preserve">9.3</w:t>
            </w:r>
          </w:p>
        </w:tc>
        <w:tc>
          <w:tcPr>
            <w:tcW w:type="dxa" w:w="2300"/>
            <w:tcMar>
              <w:top w:type="dxa" w:w="60"/>
              <w:left w:type="dxa" w:w="80"/>
              <w:bottom w:type="dxa" w:w="60"/>
              <w:right w:type="dxa" w:w="80"/>
            </w:tcMar>
            <w:vAlign w:val="top"/>
          </w:tcPr>
          <w:p>
            <w:pPr>
              <w:spacing w:after="0"/>
            </w:pPr>
            <w:r>
              <w:rPr>
                <w:b w:val="false"/>
                <w:bCs w:val="false"/>
                <w:i w:val="false"/>
                <w:iCs w:val="false"/>
                <w:sz w:val="18"/>
                <w:szCs w:val="18"/>
              </w:rPr>
              <w:t xml:space="preserve">Glucosamine</w:t>
            </w:r>
          </w:p>
        </w:tc>
        <w:tc>
          <w:tcPr>
            <w:tcW w:type="dxa" w:w="3200"/>
            <w:tcMar>
              <w:top w:type="dxa" w:w="60"/>
              <w:left w:type="dxa" w:w="80"/>
              <w:bottom w:type="dxa" w:w="60"/>
              <w:right w:type="dxa" w:w="80"/>
            </w:tcMar>
            <w:vAlign w:val="top"/>
          </w:tcPr>
          <w:p>
            <w:pPr>
              <w:spacing w:after="0"/>
            </w:pPr>
            <w:r>
              <w:rPr>
                <w:b w:val="false"/>
                <w:bCs w:val="false"/>
                <w:i w:val="false"/>
                <w:iCs w:val="false"/>
                <w:sz w:val="17"/>
                <w:szCs w:val="17"/>
              </w:rPr>
              <w:t xml:space="preserve">KDO</w:t>
            </w:r>
          </w:p>
        </w:tc>
        <w:tc>
          <w:tcPr>
            <w:tcW w:type="dxa" w:w="1600"/>
            <w:shd w:fill="FDEBD0" w:val="clear"/>
            <w:tcMar>
              <w:top w:type="dxa" w:w="60"/>
              <w:left w:type="dxa" w:w="80"/>
              <w:bottom w:type="dxa" w:w="60"/>
              <w:right w:type="dxa" w:w="80"/>
            </w:tcMar>
            <w:vAlign w:val="top"/>
          </w:tcPr>
          <w:p>
            <w:pPr>
              <w:spacing w:after="0"/>
            </w:pPr>
            <w:r>
              <w:rPr>
                <w:b/>
                <w:bCs/>
                <w:i w:val="false"/>
                <w:iCs w:val="false"/>
                <w:color w:val="B9770E"/>
                <w:sz w:val="18"/>
                <w:szCs w:val="18"/>
              </w:rPr>
              <w:t xml:space="preserve">Moderate</w:t>
            </w:r>
          </w:p>
        </w:tc>
      </w:tr>
      <w:tr>
        <w:tc>
          <w:tcPr>
            <w:tcW w:type="dxa" w:w="1500"/>
            <w:tcMar>
              <w:top w:type="dxa" w:w="60"/>
              <w:left w:type="dxa" w:w="80"/>
              <w:bottom w:type="dxa" w:w="60"/>
              <w:right w:type="dxa" w:w="80"/>
            </w:tcMar>
            <w:vAlign w:val="top"/>
          </w:tcPr>
          <w:p>
            <w:pPr>
              <w:spacing w:after="0"/>
            </w:pPr>
            <w:r>
              <w:rPr>
                <w:b w:val="false"/>
                <w:bCs w:val="false"/>
                <w:i w:val="false"/>
                <w:iCs w:val="false"/>
                <w:sz w:val="18"/>
                <w:szCs w:val="18"/>
              </w:rPr>
              <w:t xml:space="preserve">655.0</w:t>
            </w:r>
          </w:p>
        </w:tc>
        <w:tc>
          <w:tcPr>
            <w:tcW w:type="dxa" w:w="1500"/>
            <w:tcMar>
              <w:top w:type="dxa" w:w="60"/>
              <w:left w:type="dxa" w:w="80"/>
              <w:bottom w:type="dxa" w:w="60"/>
              <w:right w:type="dxa" w:w="80"/>
            </w:tcMar>
            <w:vAlign w:val="top"/>
          </w:tcPr>
          <w:p>
            <w:pPr>
              <w:spacing w:after="0"/>
            </w:pPr>
            <w:r>
              <w:rPr>
                <w:b w:val="false"/>
                <w:bCs w:val="false"/>
                <w:i w:val="false"/>
                <w:iCs w:val="false"/>
                <w:sz w:val="18"/>
                <w:szCs w:val="18"/>
              </w:rPr>
              <w:t xml:space="preserve">651.5</w:t>
            </w:r>
          </w:p>
        </w:tc>
        <w:tc>
          <w:tcPr>
            <w:tcW w:type="dxa" w:w="1100"/>
            <w:tcMar>
              <w:top w:type="dxa" w:w="60"/>
              <w:left w:type="dxa" w:w="80"/>
              <w:bottom w:type="dxa" w:w="60"/>
              <w:right w:type="dxa" w:w="80"/>
            </w:tcMar>
            <w:vAlign w:val="top"/>
          </w:tcPr>
          <w:p>
            <w:pPr>
              <w:spacing w:after="0"/>
            </w:pPr>
            <w:r>
              <w:rPr>
                <w:b w:val="false"/>
                <w:bCs w:val="false"/>
                <w:i w:val="false"/>
                <w:iCs w:val="false"/>
                <w:sz w:val="18"/>
                <w:szCs w:val="18"/>
              </w:rPr>
              <w:t xml:space="preserve">3.5</w:t>
            </w:r>
          </w:p>
        </w:tc>
        <w:tc>
          <w:tcPr>
            <w:tcW w:type="dxa" w:w="2300"/>
            <w:tcMar>
              <w:top w:type="dxa" w:w="60"/>
              <w:left w:type="dxa" w:w="80"/>
              <w:bottom w:type="dxa" w:w="60"/>
              <w:right w:type="dxa" w:w="80"/>
            </w:tcMar>
            <w:vAlign w:val="top"/>
          </w:tcPr>
          <w:p>
            <w:pPr>
              <w:spacing w:after="0"/>
            </w:pPr>
            <w:r>
              <w:rPr>
                <w:b w:val="false"/>
                <w:bCs w:val="false"/>
                <w:i w:val="false"/>
                <w:iCs w:val="false"/>
                <w:sz w:val="18"/>
                <w:szCs w:val="18"/>
              </w:rPr>
              <w:t xml:space="preserve">Myristic Acid</w:t>
            </w:r>
          </w:p>
        </w:tc>
        <w:tc>
          <w:tcPr>
            <w:tcW w:type="dxa" w:w="3200"/>
            <w:tcMar>
              <w:top w:type="dxa" w:w="60"/>
              <w:left w:type="dxa" w:w="80"/>
              <w:bottom w:type="dxa" w:w="60"/>
              <w:right w:type="dxa" w:w="80"/>
            </w:tcMar>
            <w:vAlign w:val="top"/>
          </w:tcPr>
          <w:p>
            <w:pPr>
              <w:spacing w:after="0"/>
            </w:pPr>
            <w:r>
              <w:rPr>
                <w:b w:val="false"/>
                <w:bCs w:val="false"/>
                <w:i w:val="false"/>
                <w:iCs w:val="false"/>
                <w:sz w:val="17"/>
                <w:szCs w:val="17"/>
              </w:rPr>
              <w:t xml:space="preserve">Heptose, KDO</w:t>
            </w:r>
          </w:p>
        </w:tc>
        <w:tc>
          <w:tcPr>
            <w:tcW w:type="dxa" w:w="1600"/>
            <w:shd w:fill="FDEBD0" w:val="clear"/>
            <w:tcMar>
              <w:top w:type="dxa" w:w="60"/>
              <w:left w:type="dxa" w:w="80"/>
              <w:bottom w:type="dxa" w:w="60"/>
              <w:right w:type="dxa" w:w="80"/>
            </w:tcMar>
            <w:vAlign w:val="top"/>
          </w:tcPr>
          <w:p>
            <w:pPr>
              <w:spacing w:after="0"/>
            </w:pPr>
            <w:r>
              <w:rPr>
                <w:b/>
                <w:bCs/>
                <w:i w:val="false"/>
                <w:iCs w:val="false"/>
                <w:color w:val="B9770E"/>
                <w:sz w:val="18"/>
                <w:szCs w:val="18"/>
              </w:rPr>
              <w:t xml:space="preserve">Moderate</w:t>
            </w:r>
          </w:p>
        </w:tc>
      </w:tr>
      <w:tr>
        <w:tc>
          <w:tcPr>
            <w:tcW w:type="dxa" w:w="1500"/>
            <w:tcMar>
              <w:top w:type="dxa" w:w="60"/>
              <w:left w:type="dxa" w:w="80"/>
              <w:bottom w:type="dxa" w:w="60"/>
              <w:right w:type="dxa" w:w="80"/>
            </w:tcMar>
            <w:vAlign w:val="top"/>
          </w:tcPr>
          <w:p>
            <w:pPr>
              <w:spacing w:after="0"/>
            </w:pPr>
            <w:r>
              <w:rPr>
                <w:b w:val="false"/>
                <w:bCs w:val="false"/>
                <w:i w:val="false"/>
                <w:iCs w:val="false"/>
                <w:sz w:val="18"/>
                <w:szCs w:val="18"/>
              </w:rPr>
              <w:t xml:space="preserve">674.0</w:t>
            </w:r>
          </w:p>
        </w:tc>
        <w:tc>
          <w:tcPr>
            <w:tcW w:type="dxa" w:w="1500"/>
            <w:tcMar>
              <w:top w:type="dxa" w:w="60"/>
              <w:left w:type="dxa" w:w="80"/>
              <w:bottom w:type="dxa" w:w="60"/>
              <w:right w:type="dxa" w:w="80"/>
            </w:tcMar>
            <w:vAlign w:val="top"/>
          </w:tcPr>
          <w:p>
            <w:pPr>
              <w:spacing w:after="0"/>
            </w:pPr>
            <w:r>
              <w:rPr>
                <w:b w:val="false"/>
                <w:bCs w:val="false"/>
                <w:i w:val="false"/>
                <w:iCs w:val="false"/>
                <w:sz w:val="18"/>
                <w:szCs w:val="18"/>
              </w:rPr>
              <w:t xml:space="preserve">676.3</w:t>
            </w:r>
          </w:p>
        </w:tc>
        <w:tc>
          <w:tcPr>
            <w:tcW w:type="dxa" w:w="1100"/>
            <w:tcMar>
              <w:top w:type="dxa" w:w="60"/>
              <w:left w:type="dxa" w:w="80"/>
              <w:bottom w:type="dxa" w:w="60"/>
              <w:right w:type="dxa" w:w="80"/>
            </w:tcMar>
            <w:vAlign w:val="top"/>
          </w:tcPr>
          <w:p>
            <w:pPr>
              <w:spacing w:after="0"/>
            </w:pPr>
            <w:r>
              <w:rPr>
                <w:b w:val="false"/>
                <w:bCs w:val="false"/>
                <w:i w:val="false"/>
                <w:iCs w:val="false"/>
                <w:sz w:val="18"/>
                <w:szCs w:val="18"/>
              </w:rPr>
              <w:t xml:space="preserve">-2.3</w:t>
            </w:r>
          </w:p>
        </w:tc>
        <w:tc>
          <w:tcPr>
            <w:tcW w:type="dxa" w:w="2300"/>
            <w:tcMar>
              <w:top w:type="dxa" w:w="60"/>
              <w:left w:type="dxa" w:w="80"/>
              <w:bottom w:type="dxa" w:w="60"/>
              <w:right w:type="dxa" w:w="80"/>
            </w:tcMar>
            <w:vAlign w:val="top"/>
          </w:tcPr>
          <w:p>
            <w:pPr>
              <w:spacing w:after="0"/>
            </w:pPr>
            <w:r>
              <w:rPr>
                <w:b w:val="false"/>
                <w:bCs w:val="false"/>
                <w:i w:val="false"/>
                <w:iCs w:val="false"/>
                <w:sz w:val="18"/>
                <w:szCs w:val="18"/>
              </w:rPr>
              <w:t xml:space="preserve">Heptose</w:t>
            </w:r>
          </w:p>
        </w:tc>
        <w:tc>
          <w:tcPr>
            <w:tcW w:type="dxa" w:w="3200"/>
            <w:tcMar>
              <w:top w:type="dxa" w:w="60"/>
              <w:left w:type="dxa" w:w="80"/>
              <w:bottom w:type="dxa" w:w="60"/>
              <w:right w:type="dxa" w:w="80"/>
            </w:tcMar>
            <w:vAlign w:val="top"/>
          </w:tcPr>
          <w:p>
            <w:pPr>
              <w:spacing w:after="0"/>
            </w:pPr>
            <w:r>
              <w:rPr>
                <w:b w:val="false"/>
                <w:bCs w:val="false"/>
                <w:i w:val="false"/>
                <w:iCs w:val="false"/>
                <w:sz w:val="17"/>
                <w:szCs w:val="17"/>
              </w:rPr>
              <w:t xml:space="preserve">KDO</w:t>
            </w:r>
          </w:p>
        </w:tc>
        <w:tc>
          <w:tcPr>
            <w:tcW w:type="dxa" w:w="1600"/>
            <w:shd w:fill="FDEBD0" w:val="clear"/>
            <w:tcMar>
              <w:top w:type="dxa" w:w="60"/>
              <w:left w:type="dxa" w:w="80"/>
              <w:bottom w:type="dxa" w:w="60"/>
              <w:right w:type="dxa" w:w="80"/>
            </w:tcMar>
            <w:vAlign w:val="top"/>
          </w:tcPr>
          <w:p>
            <w:pPr>
              <w:spacing w:after="0"/>
            </w:pPr>
            <w:r>
              <w:rPr>
                <w:b/>
                <w:bCs/>
                <w:i w:val="false"/>
                <w:iCs w:val="false"/>
                <w:color w:val="B9770E"/>
                <w:sz w:val="18"/>
                <w:szCs w:val="18"/>
              </w:rPr>
              <w:t xml:space="preserve">Moderate</w:t>
            </w:r>
          </w:p>
        </w:tc>
      </w:tr>
      <w:tr>
        <w:tc>
          <w:tcPr>
            <w:tcW w:type="dxa" w:w="1500"/>
            <w:tcMar>
              <w:top w:type="dxa" w:w="60"/>
              <w:left w:type="dxa" w:w="80"/>
              <w:bottom w:type="dxa" w:w="60"/>
              <w:right w:type="dxa" w:w="80"/>
            </w:tcMar>
            <w:vAlign w:val="top"/>
          </w:tcPr>
          <w:p>
            <w:pPr>
              <w:spacing w:after="0"/>
            </w:pPr>
            <w:r>
              <w:rPr>
                <w:b w:val="false"/>
                <w:bCs w:val="false"/>
                <w:i w:val="false"/>
                <w:iCs w:val="false"/>
                <w:sz w:val="18"/>
                <w:szCs w:val="18"/>
              </w:rPr>
              <w:t xml:space="preserve">771.0</w:t>
            </w:r>
          </w:p>
        </w:tc>
        <w:tc>
          <w:tcPr>
            <w:tcW w:type="dxa" w:w="1500"/>
            <w:tcMar>
              <w:top w:type="dxa" w:w="60"/>
              <w:left w:type="dxa" w:w="80"/>
              <w:bottom w:type="dxa" w:w="60"/>
              <w:right w:type="dxa" w:w="80"/>
            </w:tcMar>
            <w:vAlign w:val="top"/>
          </w:tcPr>
          <w:p>
            <w:pPr>
              <w:spacing w:after="0"/>
            </w:pPr>
            <w:r>
              <w:rPr>
                <w:b w:val="false"/>
                <w:bCs w:val="false"/>
                <w:i w:val="false"/>
                <w:iCs w:val="false"/>
                <w:sz w:val="18"/>
                <w:szCs w:val="18"/>
              </w:rPr>
              <w:t xml:space="preserve">777.9</w:t>
            </w:r>
          </w:p>
        </w:tc>
        <w:tc>
          <w:tcPr>
            <w:tcW w:type="dxa" w:w="1100"/>
            <w:tcMar>
              <w:top w:type="dxa" w:w="60"/>
              <w:left w:type="dxa" w:w="80"/>
              <w:bottom w:type="dxa" w:w="60"/>
              <w:right w:type="dxa" w:w="80"/>
            </w:tcMar>
            <w:vAlign w:val="top"/>
          </w:tcPr>
          <w:p>
            <w:pPr>
              <w:spacing w:after="0"/>
            </w:pPr>
            <w:r>
              <w:rPr>
                <w:b w:val="false"/>
                <w:bCs w:val="false"/>
                <w:i w:val="false"/>
                <w:iCs w:val="false"/>
                <w:sz w:val="18"/>
                <w:szCs w:val="18"/>
              </w:rPr>
              <w:t xml:space="preserve">-6.9</w:t>
            </w:r>
          </w:p>
        </w:tc>
        <w:tc>
          <w:tcPr>
            <w:tcW w:type="dxa" w:w="2300"/>
            <w:tcMar>
              <w:top w:type="dxa" w:w="60"/>
              <w:left w:type="dxa" w:w="80"/>
              <w:bottom w:type="dxa" w:w="60"/>
              <w:right w:type="dxa" w:w="80"/>
            </w:tcMar>
            <w:vAlign w:val="top"/>
          </w:tcPr>
          <w:p>
            <w:pPr>
              <w:spacing w:after="0"/>
            </w:pPr>
            <w:r>
              <w:rPr>
                <w:b w:val="false"/>
                <w:bCs w:val="false"/>
                <w:i w:val="false"/>
                <w:iCs w:val="false"/>
                <w:sz w:val="18"/>
                <w:szCs w:val="18"/>
              </w:rPr>
              <w:t xml:space="preserve">Phosphoric Acid</w:t>
            </w:r>
          </w:p>
        </w:tc>
        <w:tc>
          <w:tcPr>
            <w:tcW w:type="dxa" w:w="3200"/>
            <w:tcMar>
              <w:top w:type="dxa" w:w="60"/>
              <w:left w:type="dxa" w:w="80"/>
              <w:bottom w:type="dxa" w:w="60"/>
              <w:right w:type="dxa" w:w="80"/>
            </w:tcMar>
            <w:vAlign w:val="top"/>
          </w:tcPr>
          <w:p>
            <w:pPr>
              <w:spacing w:after="0"/>
            </w:pPr>
            <w:r>
              <w:rPr>
                <w:b w:val="false"/>
                <w:bCs w:val="false"/>
                <w:i w:val="false"/>
                <w:iCs w:val="false"/>
                <w:sz w:val="17"/>
                <w:szCs w:val="17"/>
              </w:rPr>
              <w:t xml:space="preserve">(unique)</w:t>
            </w:r>
          </w:p>
        </w:tc>
        <w:tc>
          <w:tcPr>
            <w:tcW w:type="dxa" w:w="1600"/>
            <w:shd w:fill="FDEBD0" w:val="clear"/>
            <w:tcMar>
              <w:top w:type="dxa" w:w="60"/>
              <w:left w:type="dxa" w:w="80"/>
              <w:bottom w:type="dxa" w:w="60"/>
              <w:right w:type="dxa" w:w="80"/>
            </w:tcMar>
            <w:vAlign w:val="top"/>
          </w:tcPr>
          <w:p>
            <w:pPr>
              <w:spacing w:after="0"/>
            </w:pPr>
            <w:r>
              <w:rPr>
                <w:b/>
                <w:bCs/>
                <w:i w:val="false"/>
                <w:iCs w:val="false"/>
                <w:color w:val="B9770E"/>
                <w:sz w:val="18"/>
                <w:szCs w:val="18"/>
              </w:rPr>
              <w:t xml:space="preserve">Moderate</w:t>
            </w:r>
          </w:p>
        </w:tc>
      </w:tr>
      <w:tr>
        <w:tc>
          <w:tcPr>
            <w:tcW w:type="dxa" w:w="1500"/>
            <w:tcMar>
              <w:top w:type="dxa" w:w="60"/>
              <w:left w:type="dxa" w:w="80"/>
              <w:bottom w:type="dxa" w:w="60"/>
              <w:right w:type="dxa" w:w="80"/>
            </w:tcMar>
            <w:vAlign w:val="top"/>
          </w:tcPr>
          <w:p>
            <w:pPr>
              <w:spacing w:after="0"/>
            </w:pPr>
            <w:r>
              <w:rPr>
                <w:b w:val="false"/>
                <w:bCs w:val="false"/>
                <w:i w:val="false"/>
                <w:iCs w:val="false"/>
                <w:sz w:val="18"/>
                <w:szCs w:val="18"/>
              </w:rPr>
              <w:t xml:space="preserve">972.0</w:t>
            </w:r>
          </w:p>
        </w:tc>
        <w:tc>
          <w:tcPr>
            <w:tcW w:type="dxa" w:w="1500"/>
            <w:tcMar>
              <w:top w:type="dxa" w:w="60"/>
              <w:left w:type="dxa" w:w="80"/>
              <w:bottom w:type="dxa" w:w="60"/>
              <w:right w:type="dxa" w:w="80"/>
            </w:tcMar>
            <w:vAlign w:val="top"/>
          </w:tcPr>
          <w:p>
            <w:pPr>
              <w:spacing w:after="0"/>
            </w:pPr>
            <w:r>
              <w:rPr>
                <w:b w:val="false"/>
                <w:bCs w:val="false"/>
                <w:i w:val="false"/>
                <w:iCs w:val="false"/>
                <w:sz w:val="18"/>
                <w:szCs w:val="18"/>
              </w:rPr>
              <w:t xml:space="preserve">962.4</w:t>
            </w:r>
          </w:p>
        </w:tc>
        <w:tc>
          <w:tcPr>
            <w:tcW w:type="dxa" w:w="1100"/>
            <w:tcMar>
              <w:top w:type="dxa" w:w="60"/>
              <w:left w:type="dxa" w:w="80"/>
              <w:bottom w:type="dxa" w:w="60"/>
              <w:right w:type="dxa" w:w="80"/>
            </w:tcMar>
            <w:vAlign w:val="top"/>
          </w:tcPr>
          <w:p>
            <w:pPr>
              <w:spacing w:after="0"/>
            </w:pPr>
            <w:r>
              <w:rPr>
                <w:b w:val="false"/>
                <w:bCs w:val="false"/>
                <w:i w:val="false"/>
                <w:iCs w:val="false"/>
                <w:sz w:val="18"/>
                <w:szCs w:val="18"/>
              </w:rPr>
              <w:t xml:space="preserve">9.6</w:t>
            </w:r>
          </w:p>
        </w:tc>
        <w:tc>
          <w:tcPr>
            <w:tcW w:type="dxa" w:w="2300"/>
            <w:tcMar>
              <w:top w:type="dxa" w:w="60"/>
              <w:left w:type="dxa" w:w="80"/>
              <w:bottom w:type="dxa" w:w="60"/>
              <w:right w:type="dxa" w:w="80"/>
            </w:tcMar>
            <w:vAlign w:val="top"/>
          </w:tcPr>
          <w:p>
            <w:pPr>
              <w:spacing w:after="0"/>
            </w:pPr>
            <w:r>
              <w:rPr>
                <w:b w:val="false"/>
                <w:bCs w:val="false"/>
                <w:i w:val="false"/>
                <w:iCs w:val="false"/>
                <w:sz w:val="18"/>
                <w:szCs w:val="18"/>
              </w:rPr>
              <w:t xml:space="preserve">Heptose</w:t>
            </w:r>
          </w:p>
        </w:tc>
        <w:tc>
          <w:tcPr>
            <w:tcW w:type="dxa" w:w="3200"/>
            <w:tcMar>
              <w:top w:type="dxa" w:w="60"/>
              <w:left w:type="dxa" w:w="80"/>
              <w:bottom w:type="dxa" w:w="60"/>
              <w:right w:type="dxa" w:w="80"/>
            </w:tcMar>
            <w:vAlign w:val="top"/>
          </w:tcPr>
          <w:p>
            <w:pPr>
              <w:spacing w:after="0"/>
            </w:pPr>
            <w:r>
              <w:rPr>
                <w:b w:val="false"/>
                <w:bCs w:val="false"/>
                <w:i w:val="false"/>
                <w:iCs w:val="false"/>
                <w:sz w:val="17"/>
                <w:szCs w:val="17"/>
              </w:rPr>
              <w:t xml:space="preserve">(unique)</w:t>
            </w:r>
          </w:p>
        </w:tc>
        <w:tc>
          <w:tcPr>
            <w:tcW w:type="dxa" w:w="1600"/>
            <w:shd w:fill="FDEBD0" w:val="clear"/>
            <w:tcMar>
              <w:top w:type="dxa" w:w="60"/>
              <w:left w:type="dxa" w:w="80"/>
              <w:bottom w:type="dxa" w:w="60"/>
              <w:right w:type="dxa" w:w="80"/>
            </w:tcMar>
            <w:vAlign w:val="top"/>
          </w:tcPr>
          <w:p>
            <w:pPr>
              <w:spacing w:after="0"/>
            </w:pPr>
            <w:r>
              <w:rPr>
                <w:b/>
                <w:bCs/>
                <w:i w:val="false"/>
                <w:iCs w:val="false"/>
                <w:color w:val="B9770E"/>
                <w:sz w:val="18"/>
                <w:szCs w:val="18"/>
              </w:rPr>
              <w:t xml:space="preserve">Moderate</w:t>
            </w:r>
          </w:p>
        </w:tc>
      </w:tr>
      <w:tr>
        <w:tc>
          <w:tcPr>
            <w:tcW w:type="dxa" w:w="1500"/>
            <w:tcMar>
              <w:top w:type="dxa" w:w="60"/>
              <w:left w:type="dxa" w:w="80"/>
              <w:bottom w:type="dxa" w:w="60"/>
              <w:right w:type="dxa" w:w="80"/>
            </w:tcMar>
            <w:vAlign w:val="top"/>
          </w:tcPr>
          <w:p>
            <w:pPr>
              <w:spacing w:after="0"/>
            </w:pPr>
            <w:r>
              <w:rPr>
                <w:b w:val="false"/>
                <w:bCs w:val="false"/>
                <w:i w:val="false"/>
                <w:iCs w:val="false"/>
                <w:sz w:val="18"/>
                <w:szCs w:val="18"/>
              </w:rPr>
              <w:t xml:space="preserve">1033.0</w:t>
            </w:r>
          </w:p>
        </w:tc>
        <w:tc>
          <w:tcPr>
            <w:tcW w:type="dxa" w:w="1500"/>
            <w:tcMar>
              <w:top w:type="dxa" w:w="60"/>
              <w:left w:type="dxa" w:w="80"/>
              <w:bottom w:type="dxa" w:w="60"/>
              <w:right w:type="dxa" w:w="80"/>
            </w:tcMar>
            <w:vAlign w:val="top"/>
          </w:tcPr>
          <w:p>
            <w:pPr>
              <w:spacing w:after="0"/>
            </w:pPr>
            <w:r>
              <w:rPr>
                <w:b w:val="false"/>
                <w:bCs w:val="false"/>
                <w:i w:val="false"/>
                <w:iCs w:val="false"/>
                <w:sz w:val="18"/>
                <w:szCs w:val="18"/>
              </w:rPr>
              <w:t xml:space="preserve">1031.0</w:t>
            </w:r>
          </w:p>
        </w:tc>
        <w:tc>
          <w:tcPr>
            <w:tcW w:type="dxa" w:w="1100"/>
            <w:tcMar>
              <w:top w:type="dxa" w:w="60"/>
              <w:left w:type="dxa" w:w="80"/>
              <w:bottom w:type="dxa" w:w="60"/>
              <w:right w:type="dxa" w:w="80"/>
            </w:tcMar>
            <w:vAlign w:val="top"/>
          </w:tcPr>
          <w:p>
            <w:pPr>
              <w:spacing w:after="0"/>
            </w:pPr>
            <w:r>
              <w:rPr>
                <w:b w:val="false"/>
                <w:bCs w:val="false"/>
                <w:i w:val="false"/>
                <w:iCs w:val="false"/>
                <w:sz w:val="18"/>
                <w:szCs w:val="18"/>
              </w:rPr>
              <w:t xml:space="preserve">2.0</w:t>
            </w:r>
          </w:p>
        </w:tc>
        <w:tc>
          <w:tcPr>
            <w:tcW w:type="dxa" w:w="2300"/>
            <w:tcMar>
              <w:top w:type="dxa" w:w="60"/>
              <w:left w:type="dxa" w:w="80"/>
              <w:bottom w:type="dxa" w:w="60"/>
              <w:right w:type="dxa" w:w="80"/>
            </w:tcMar>
            <w:vAlign w:val="top"/>
          </w:tcPr>
          <w:p>
            <w:pPr>
              <w:spacing w:after="0"/>
            </w:pPr>
            <w:r>
              <w:rPr>
                <w:b w:val="false"/>
                <w:bCs w:val="false"/>
                <w:i w:val="false"/>
                <w:iCs w:val="false"/>
                <w:sz w:val="18"/>
                <w:szCs w:val="18"/>
              </w:rPr>
              <w:t xml:space="preserve">Myristic Acid</w:t>
            </w:r>
          </w:p>
        </w:tc>
        <w:tc>
          <w:tcPr>
            <w:tcW w:type="dxa" w:w="3200"/>
            <w:tcMar>
              <w:top w:type="dxa" w:w="60"/>
              <w:left w:type="dxa" w:w="80"/>
              <w:bottom w:type="dxa" w:w="60"/>
              <w:right w:type="dxa" w:w="80"/>
            </w:tcMar>
            <w:vAlign w:val="top"/>
          </w:tcPr>
          <w:p>
            <w:pPr>
              <w:spacing w:after="0"/>
            </w:pPr>
            <w:r>
              <w:rPr>
                <w:b w:val="false"/>
                <w:bCs w:val="false"/>
                <w:i w:val="false"/>
                <w:iCs w:val="false"/>
                <w:sz w:val="17"/>
                <w:szCs w:val="17"/>
              </w:rPr>
              <w:t xml:space="preserve">Glucosamine, Heptose, KDO, Phosphoric Acid</w:t>
            </w:r>
          </w:p>
        </w:tc>
        <w:tc>
          <w:tcPr>
            <w:tcW w:type="dxa" w:w="1600"/>
            <w:shd w:fill="FDEBD0" w:val="clear"/>
            <w:tcMar>
              <w:top w:type="dxa" w:w="60"/>
              <w:left w:type="dxa" w:w="80"/>
              <w:bottom w:type="dxa" w:w="60"/>
              <w:right w:type="dxa" w:w="80"/>
            </w:tcMar>
            <w:vAlign w:val="top"/>
          </w:tcPr>
          <w:p>
            <w:pPr>
              <w:spacing w:after="0"/>
            </w:pPr>
            <w:r>
              <w:rPr>
                <w:b/>
                <w:bCs/>
                <w:i w:val="false"/>
                <w:iCs w:val="false"/>
                <w:color w:val="B9770E"/>
                <w:sz w:val="18"/>
                <w:szCs w:val="18"/>
              </w:rPr>
              <w:t xml:space="preserve">Moderate</w:t>
            </w:r>
          </w:p>
        </w:tc>
      </w:tr>
      <w:tr>
        <w:tc>
          <w:tcPr>
            <w:tcW w:type="dxa" w:w="1500"/>
            <w:tcMar>
              <w:top w:type="dxa" w:w="60"/>
              <w:left w:type="dxa" w:w="80"/>
              <w:bottom w:type="dxa" w:w="60"/>
              <w:right w:type="dxa" w:w="80"/>
            </w:tcMar>
            <w:vAlign w:val="top"/>
          </w:tcPr>
          <w:p>
            <w:pPr>
              <w:spacing w:after="0"/>
            </w:pPr>
            <w:r>
              <w:rPr>
                <w:b w:val="false"/>
                <w:bCs w:val="false"/>
                <w:i w:val="false"/>
                <w:iCs w:val="false"/>
                <w:sz w:val="18"/>
                <w:szCs w:val="18"/>
              </w:rPr>
              <w:t xml:space="preserve">1090.0</w:t>
            </w:r>
          </w:p>
        </w:tc>
        <w:tc>
          <w:tcPr>
            <w:tcW w:type="dxa" w:w="1500"/>
            <w:tcMar>
              <w:top w:type="dxa" w:w="60"/>
              <w:left w:type="dxa" w:w="80"/>
              <w:bottom w:type="dxa" w:w="60"/>
              <w:right w:type="dxa" w:w="80"/>
            </w:tcMar>
            <w:vAlign w:val="top"/>
          </w:tcPr>
          <w:p>
            <w:pPr>
              <w:spacing w:after="0"/>
            </w:pPr>
            <w:r>
              <w:rPr>
                <w:b w:val="false"/>
                <w:bCs w:val="false"/>
                <w:i w:val="false"/>
                <w:iCs w:val="false"/>
                <w:sz w:val="18"/>
                <w:szCs w:val="18"/>
              </w:rPr>
              <w:t xml:space="preserve">1098.0</w:t>
            </w:r>
          </w:p>
        </w:tc>
        <w:tc>
          <w:tcPr>
            <w:tcW w:type="dxa" w:w="1100"/>
            <w:tcMar>
              <w:top w:type="dxa" w:w="60"/>
              <w:left w:type="dxa" w:w="80"/>
              <w:bottom w:type="dxa" w:w="60"/>
              <w:right w:type="dxa" w:w="80"/>
            </w:tcMar>
            <w:vAlign w:val="top"/>
          </w:tcPr>
          <w:p>
            <w:pPr>
              <w:spacing w:after="0"/>
            </w:pPr>
            <w:r>
              <w:rPr>
                <w:b w:val="false"/>
                <w:bCs w:val="false"/>
                <w:i w:val="false"/>
                <w:iCs w:val="false"/>
                <w:sz w:val="18"/>
                <w:szCs w:val="18"/>
              </w:rPr>
              <w:t xml:space="preserve">-8.0</w:t>
            </w:r>
          </w:p>
        </w:tc>
        <w:tc>
          <w:tcPr>
            <w:tcW w:type="dxa" w:w="2300"/>
            <w:tcMar>
              <w:top w:type="dxa" w:w="60"/>
              <w:left w:type="dxa" w:w="80"/>
              <w:bottom w:type="dxa" w:w="60"/>
              <w:right w:type="dxa" w:w="80"/>
            </w:tcMar>
            <w:vAlign w:val="top"/>
          </w:tcPr>
          <w:p>
            <w:pPr>
              <w:spacing w:after="0"/>
            </w:pPr>
            <w:r>
              <w:rPr>
                <w:b w:val="false"/>
                <w:bCs w:val="false"/>
                <w:i w:val="false"/>
                <w:iCs w:val="false"/>
                <w:sz w:val="18"/>
                <w:szCs w:val="18"/>
              </w:rPr>
              <w:t xml:space="preserve">Heptose</w:t>
            </w:r>
          </w:p>
        </w:tc>
        <w:tc>
          <w:tcPr>
            <w:tcW w:type="dxa" w:w="3200"/>
            <w:tcMar>
              <w:top w:type="dxa" w:w="60"/>
              <w:left w:type="dxa" w:w="80"/>
              <w:bottom w:type="dxa" w:w="60"/>
              <w:right w:type="dxa" w:w="80"/>
            </w:tcMar>
            <w:vAlign w:val="top"/>
          </w:tcPr>
          <w:p>
            <w:pPr>
              <w:spacing w:after="0"/>
            </w:pPr>
            <w:r>
              <w:rPr>
                <w:b w:val="false"/>
                <w:bCs w:val="false"/>
                <w:i w:val="false"/>
                <w:iCs w:val="false"/>
                <w:sz w:val="17"/>
                <w:szCs w:val="17"/>
              </w:rPr>
              <w:t xml:space="preserve">Glucosamine</w:t>
            </w:r>
          </w:p>
        </w:tc>
        <w:tc>
          <w:tcPr>
            <w:tcW w:type="dxa" w:w="1600"/>
            <w:shd w:fill="FDEBD0" w:val="clear"/>
            <w:tcMar>
              <w:top w:type="dxa" w:w="60"/>
              <w:left w:type="dxa" w:w="80"/>
              <w:bottom w:type="dxa" w:w="60"/>
              <w:right w:type="dxa" w:w="80"/>
            </w:tcMar>
            <w:vAlign w:val="top"/>
          </w:tcPr>
          <w:p>
            <w:pPr>
              <w:spacing w:after="0"/>
            </w:pPr>
            <w:r>
              <w:rPr>
                <w:b/>
                <w:bCs/>
                <w:i w:val="false"/>
                <w:iCs w:val="false"/>
                <w:color w:val="B9770E"/>
                <w:sz w:val="18"/>
                <w:szCs w:val="18"/>
              </w:rPr>
              <w:t xml:space="preserve">Moderate</w:t>
            </w:r>
          </w:p>
        </w:tc>
      </w:tr>
      <w:tr>
        <w:tc>
          <w:tcPr>
            <w:tcW w:type="dxa" w:w="1500"/>
            <w:tcMar>
              <w:top w:type="dxa" w:w="60"/>
              <w:left w:type="dxa" w:w="80"/>
              <w:bottom w:type="dxa" w:w="60"/>
              <w:right w:type="dxa" w:w="80"/>
            </w:tcMar>
            <w:vAlign w:val="top"/>
          </w:tcPr>
          <w:p>
            <w:pPr>
              <w:spacing w:after="0"/>
            </w:pPr>
            <w:r>
              <w:rPr>
                <w:b w:val="false"/>
                <w:bCs w:val="false"/>
                <w:i w:val="false"/>
                <w:iCs w:val="false"/>
                <w:sz w:val="18"/>
                <w:szCs w:val="18"/>
              </w:rPr>
              <w:t xml:space="preserve">1101.0</w:t>
            </w:r>
          </w:p>
        </w:tc>
        <w:tc>
          <w:tcPr>
            <w:tcW w:type="dxa" w:w="1500"/>
            <w:tcMar>
              <w:top w:type="dxa" w:w="60"/>
              <w:left w:type="dxa" w:w="80"/>
              <w:bottom w:type="dxa" w:w="60"/>
              <w:right w:type="dxa" w:w="80"/>
            </w:tcMar>
            <w:vAlign w:val="top"/>
          </w:tcPr>
          <w:p>
            <w:pPr>
              <w:spacing w:after="0"/>
            </w:pPr>
            <w:r>
              <w:rPr>
                <w:b w:val="false"/>
                <w:bCs w:val="false"/>
                <w:i w:val="false"/>
                <w:iCs w:val="false"/>
                <w:sz w:val="18"/>
                <w:szCs w:val="18"/>
              </w:rPr>
              <w:t xml:space="preserve">1102.8</w:t>
            </w:r>
          </w:p>
        </w:tc>
        <w:tc>
          <w:tcPr>
            <w:tcW w:type="dxa" w:w="1100"/>
            <w:tcMar>
              <w:top w:type="dxa" w:w="60"/>
              <w:left w:type="dxa" w:w="80"/>
              <w:bottom w:type="dxa" w:w="60"/>
              <w:right w:type="dxa" w:w="80"/>
            </w:tcMar>
            <w:vAlign w:val="top"/>
          </w:tcPr>
          <w:p>
            <w:pPr>
              <w:spacing w:after="0"/>
            </w:pPr>
            <w:r>
              <w:rPr>
                <w:b w:val="false"/>
                <w:bCs w:val="false"/>
                <w:i w:val="false"/>
                <w:iCs w:val="false"/>
                <w:sz w:val="18"/>
                <w:szCs w:val="18"/>
              </w:rPr>
              <w:t xml:space="preserve">-1.8</w:t>
            </w:r>
          </w:p>
        </w:tc>
        <w:tc>
          <w:tcPr>
            <w:tcW w:type="dxa" w:w="2300"/>
            <w:tcMar>
              <w:top w:type="dxa" w:w="60"/>
              <w:left w:type="dxa" w:w="80"/>
              <w:bottom w:type="dxa" w:w="60"/>
              <w:right w:type="dxa" w:w="80"/>
            </w:tcMar>
            <w:vAlign w:val="top"/>
          </w:tcPr>
          <w:p>
            <w:pPr>
              <w:spacing w:after="0"/>
            </w:pPr>
            <w:r>
              <w:rPr>
                <w:b w:val="false"/>
                <w:bCs w:val="false"/>
                <w:i w:val="false"/>
                <w:iCs w:val="false"/>
                <w:sz w:val="18"/>
                <w:szCs w:val="18"/>
              </w:rPr>
              <w:t xml:space="preserve">Glucosamine</w:t>
            </w:r>
          </w:p>
        </w:tc>
        <w:tc>
          <w:tcPr>
            <w:tcW w:type="dxa" w:w="3200"/>
            <w:tcMar>
              <w:top w:type="dxa" w:w="60"/>
              <w:left w:type="dxa" w:w="80"/>
              <w:bottom w:type="dxa" w:w="60"/>
              <w:right w:type="dxa" w:w="80"/>
            </w:tcMar>
            <w:vAlign w:val="top"/>
          </w:tcPr>
          <w:p>
            <w:pPr>
              <w:spacing w:after="0"/>
            </w:pPr>
            <w:r>
              <w:rPr>
                <w:b w:val="false"/>
                <w:bCs w:val="false"/>
                <w:i w:val="false"/>
                <w:iCs w:val="false"/>
                <w:sz w:val="17"/>
                <w:szCs w:val="17"/>
              </w:rPr>
              <w:t xml:space="preserve">Heptose, Myristic Acid</w:t>
            </w:r>
          </w:p>
        </w:tc>
        <w:tc>
          <w:tcPr>
            <w:tcW w:type="dxa" w:w="1600"/>
            <w:shd w:fill="FDEBD0" w:val="clear"/>
            <w:tcMar>
              <w:top w:type="dxa" w:w="60"/>
              <w:left w:type="dxa" w:w="80"/>
              <w:bottom w:type="dxa" w:w="60"/>
              <w:right w:type="dxa" w:w="80"/>
            </w:tcMar>
            <w:vAlign w:val="top"/>
          </w:tcPr>
          <w:p>
            <w:pPr>
              <w:spacing w:after="0"/>
            </w:pPr>
            <w:r>
              <w:rPr>
                <w:b/>
                <w:bCs/>
                <w:i w:val="false"/>
                <w:iCs w:val="false"/>
                <w:color w:val="B9770E"/>
                <w:sz w:val="18"/>
                <w:szCs w:val="18"/>
              </w:rPr>
              <w:t xml:space="preserve">Moderate</w:t>
            </w:r>
          </w:p>
        </w:tc>
      </w:tr>
      <w:tr>
        <w:tc>
          <w:tcPr>
            <w:tcW w:type="dxa" w:w="1500"/>
            <w:tcMar>
              <w:top w:type="dxa" w:w="60"/>
              <w:left w:type="dxa" w:w="80"/>
              <w:bottom w:type="dxa" w:w="60"/>
              <w:right w:type="dxa" w:w="80"/>
            </w:tcMar>
            <w:vAlign w:val="top"/>
          </w:tcPr>
          <w:p>
            <w:pPr>
              <w:spacing w:after="0"/>
            </w:pPr>
            <w:r>
              <w:rPr>
                <w:b w:val="false"/>
                <w:bCs w:val="false"/>
                <w:i w:val="false"/>
                <w:iCs w:val="false"/>
                <w:sz w:val="18"/>
                <w:szCs w:val="18"/>
              </w:rPr>
              <w:t xml:space="preserve">1124.0</w:t>
            </w:r>
          </w:p>
        </w:tc>
        <w:tc>
          <w:tcPr>
            <w:tcW w:type="dxa" w:w="1500"/>
            <w:tcMar>
              <w:top w:type="dxa" w:w="60"/>
              <w:left w:type="dxa" w:w="80"/>
              <w:bottom w:type="dxa" w:w="60"/>
              <w:right w:type="dxa" w:w="80"/>
            </w:tcMar>
            <w:vAlign w:val="top"/>
          </w:tcPr>
          <w:p>
            <w:pPr>
              <w:spacing w:after="0"/>
            </w:pPr>
            <w:r>
              <w:rPr>
                <w:b w:val="false"/>
                <w:bCs w:val="false"/>
                <w:i w:val="false"/>
                <w:iCs w:val="false"/>
                <w:sz w:val="18"/>
                <w:szCs w:val="18"/>
              </w:rPr>
              <w:t xml:space="preserve">1122.3</w:t>
            </w:r>
          </w:p>
        </w:tc>
        <w:tc>
          <w:tcPr>
            <w:tcW w:type="dxa" w:w="1100"/>
            <w:tcMar>
              <w:top w:type="dxa" w:w="60"/>
              <w:left w:type="dxa" w:w="80"/>
              <w:bottom w:type="dxa" w:w="60"/>
              <w:right w:type="dxa" w:w="80"/>
            </w:tcMar>
            <w:vAlign w:val="top"/>
          </w:tcPr>
          <w:p>
            <w:pPr>
              <w:spacing w:after="0"/>
            </w:pPr>
            <w:r>
              <w:rPr>
                <w:b w:val="false"/>
                <w:bCs w:val="false"/>
                <w:i w:val="false"/>
                <w:iCs w:val="false"/>
                <w:sz w:val="18"/>
                <w:szCs w:val="18"/>
              </w:rPr>
              <w:t xml:space="preserve">1.7</w:t>
            </w:r>
          </w:p>
        </w:tc>
        <w:tc>
          <w:tcPr>
            <w:tcW w:type="dxa" w:w="2300"/>
            <w:tcMar>
              <w:top w:type="dxa" w:w="60"/>
              <w:left w:type="dxa" w:w="80"/>
              <w:bottom w:type="dxa" w:w="60"/>
              <w:right w:type="dxa" w:w="80"/>
            </w:tcMar>
            <w:vAlign w:val="top"/>
          </w:tcPr>
          <w:p>
            <w:pPr>
              <w:spacing w:after="0"/>
            </w:pPr>
            <w:r>
              <w:rPr>
                <w:b w:val="false"/>
                <w:bCs w:val="false"/>
                <w:i w:val="false"/>
                <w:iCs w:val="false"/>
                <w:sz w:val="18"/>
                <w:szCs w:val="18"/>
              </w:rPr>
              <w:t xml:space="preserve">KDO</w:t>
            </w:r>
          </w:p>
        </w:tc>
        <w:tc>
          <w:tcPr>
            <w:tcW w:type="dxa" w:w="3200"/>
            <w:tcMar>
              <w:top w:type="dxa" w:w="60"/>
              <w:left w:type="dxa" w:w="80"/>
              <w:bottom w:type="dxa" w:w="60"/>
              <w:right w:type="dxa" w:w="80"/>
            </w:tcMar>
            <w:vAlign w:val="top"/>
          </w:tcPr>
          <w:p>
            <w:pPr>
              <w:spacing w:after="0"/>
            </w:pPr>
            <w:r>
              <w:rPr>
                <w:b w:val="false"/>
                <w:bCs w:val="false"/>
                <w:i w:val="false"/>
                <w:iCs w:val="false"/>
                <w:sz w:val="17"/>
                <w:szCs w:val="17"/>
              </w:rPr>
              <w:t xml:space="preserve">Glucosamine, Myristic Acid</w:t>
            </w:r>
          </w:p>
        </w:tc>
        <w:tc>
          <w:tcPr>
            <w:tcW w:type="dxa" w:w="1600"/>
            <w:shd w:fill="FDEBD0" w:val="clear"/>
            <w:tcMar>
              <w:top w:type="dxa" w:w="60"/>
              <w:left w:type="dxa" w:w="80"/>
              <w:bottom w:type="dxa" w:w="60"/>
              <w:right w:type="dxa" w:w="80"/>
            </w:tcMar>
            <w:vAlign w:val="top"/>
          </w:tcPr>
          <w:p>
            <w:pPr>
              <w:spacing w:after="0"/>
            </w:pPr>
            <w:r>
              <w:rPr>
                <w:b/>
                <w:bCs/>
                <w:i w:val="false"/>
                <w:iCs w:val="false"/>
                <w:color w:val="B9770E"/>
                <w:sz w:val="18"/>
                <w:szCs w:val="18"/>
              </w:rPr>
              <w:t xml:space="preserve">Moderate</w:t>
            </w:r>
          </w:p>
        </w:tc>
      </w:tr>
      <w:tr>
        <w:tc>
          <w:tcPr>
            <w:tcW w:type="dxa" w:w="1500"/>
            <w:tcMar>
              <w:top w:type="dxa" w:w="60"/>
              <w:left w:type="dxa" w:w="80"/>
              <w:bottom w:type="dxa" w:w="60"/>
              <w:right w:type="dxa" w:w="80"/>
            </w:tcMar>
            <w:vAlign w:val="top"/>
          </w:tcPr>
          <w:p>
            <w:pPr>
              <w:spacing w:after="0"/>
            </w:pPr>
            <w:r>
              <w:rPr>
                <w:b w:val="false"/>
                <w:bCs w:val="false"/>
                <w:i w:val="false"/>
                <w:iCs w:val="false"/>
                <w:sz w:val="18"/>
                <w:szCs w:val="18"/>
              </w:rPr>
              <w:t xml:space="preserve">1195.0</w:t>
            </w:r>
          </w:p>
        </w:tc>
        <w:tc>
          <w:tcPr>
            <w:tcW w:type="dxa" w:w="1500"/>
            <w:tcMar>
              <w:top w:type="dxa" w:w="60"/>
              <w:left w:type="dxa" w:w="80"/>
              <w:bottom w:type="dxa" w:w="60"/>
              <w:right w:type="dxa" w:w="80"/>
            </w:tcMar>
            <w:vAlign w:val="top"/>
          </w:tcPr>
          <w:p>
            <w:pPr>
              <w:spacing w:after="0"/>
            </w:pPr>
            <w:r>
              <w:rPr>
                <w:b w:val="false"/>
                <w:bCs w:val="false"/>
                <w:i w:val="false"/>
                <w:iCs w:val="false"/>
                <w:sz w:val="18"/>
                <w:szCs w:val="18"/>
              </w:rPr>
              <w:t xml:space="preserve">1196.4</w:t>
            </w:r>
          </w:p>
        </w:tc>
        <w:tc>
          <w:tcPr>
            <w:tcW w:type="dxa" w:w="1100"/>
            <w:tcMar>
              <w:top w:type="dxa" w:w="60"/>
              <w:left w:type="dxa" w:w="80"/>
              <w:bottom w:type="dxa" w:w="60"/>
              <w:right w:type="dxa" w:w="80"/>
            </w:tcMar>
            <w:vAlign w:val="top"/>
          </w:tcPr>
          <w:p>
            <w:pPr>
              <w:spacing w:after="0"/>
            </w:pPr>
            <w:r>
              <w:rPr>
                <w:b w:val="false"/>
                <w:bCs w:val="false"/>
                <w:i w:val="false"/>
                <w:iCs w:val="false"/>
                <w:sz w:val="18"/>
                <w:szCs w:val="18"/>
              </w:rPr>
              <w:t xml:space="preserve">-1.4</w:t>
            </w:r>
          </w:p>
        </w:tc>
        <w:tc>
          <w:tcPr>
            <w:tcW w:type="dxa" w:w="2300"/>
            <w:tcMar>
              <w:top w:type="dxa" w:w="60"/>
              <w:left w:type="dxa" w:w="80"/>
              <w:bottom w:type="dxa" w:w="60"/>
              <w:right w:type="dxa" w:w="80"/>
            </w:tcMar>
            <w:vAlign w:val="top"/>
          </w:tcPr>
          <w:p>
            <w:pPr>
              <w:spacing w:after="0"/>
            </w:pPr>
            <w:r>
              <w:rPr>
                <w:b w:val="false"/>
                <w:bCs w:val="false"/>
                <w:i w:val="false"/>
                <w:iCs w:val="false"/>
                <w:sz w:val="18"/>
                <w:szCs w:val="18"/>
              </w:rPr>
              <w:t xml:space="preserve">Glucosamine</w:t>
            </w:r>
          </w:p>
        </w:tc>
        <w:tc>
          <w:tcPr>
            <w:tcW w:type="dxa" w:w="3200"/>
            <w:tcMar>
              <w:top w:type="dxa" w:w="60"/>
              <w:left w:type="dxa" w:w="80"/>
              <w:bottom w:type="dxa" w:w="60"/>
              <w:right w:type="dxa" w:w="80"/>
            </w:tcMar>
            <w:vAlign w:val="top"/>
          </w:tcPr>
          <w:p>
            <w:pPr>
              <w:spacing w:after="0"/>
            </w:pPr>
            <w:r>
              <w:rPr>
                <w:b w:val="false"/>
                <w:bCs w:val="false"/>
                <w:i w:val="false"/>
                <w:iCs w:val="false"/>
                <w:sz w:val="17"/>
                <w:szCs w:val="17"/>
              </w:rPr>
              <w:t xml:space="preserve">Heptose, KDO</w:t>
            </w:r>
          </w:p>
        </w:tc>
        <w:tc>
          <w:tcPr>
            <w:tcW w:type="dxa" w:w="1600"/>
            <w:shd w:fill="FDEBD0" w:val="clear"/>
            <w:tcMar>
              <w:top w:type="dxa" w:w="60"/>
              <w:left w:type="dxa" w:w="80"/>
              <w:bottom w:type="dxa" w:w="60"/>
              <w:right w:type="dxa" w:w="80"/>
            </w:tcMar>
            <w:vAlign w:val="top"/>
          </w:tcPr>
          <w:p>
            <w:pPr>
              <w:spacing w:after="0"/>
            </w:pPr>
            <w:r>
              <w:rPr>
                <w:b/>
                <w:bCs/>
                <w:i w:val="false"/>
                <w:iCs w:val="false"/>
                <w:color w:val="B9770E"/>
                <w:sz w:val="18"/>
                <w:szCs w:val="18"/>
              </w:rPr>
              <w:t xml:space="preserve">Moderate</w:t>
            </w:r>
          </w:p>
        </w:tc>
      </w:tr>
      <w:tr>
        <w:tc>
          <w:tcPr>
            <w:tcW w:type="dxa" w:w="1500"/>
            <w:tcMar>
              <w:top w:type="dxa" w:w="60"/>
              <w:left w:type="dxa" w:w="80"/>
              <w:bottom w:type="dxa" w:w="60"/>
              <w:right w:type="dxa" w:w="80"/>
            </w:tcMar>
            <w:vAlign w:val="top"/>
          </w:tcPr>
          <w:p>
            <w:pPr>
              <w:spacing w:after="0"/>
            </w:pPr>
            <w:r>
              <w:rPr>
                <w:b w:val="false"/>
                <w:bCs w:val="false"/>
                <w:i w:val="false"/>
                <w:iCs w:val="false"/>
                <w:sz w:val="18"/>
                <w:szCs w:val="18"/>
              </w:rPr>
              <w:t xml:space="preserve">1354.0</w:t>
            </w:r>
          </w:p>
        </w:tc>
        <w:tc>
          <w:tcPr>
            <w:tcW w:type="dxa" w:w="1500"/>
            <w:tcMar>
              <w:top w:type="dxa" w:w="60"/>
              <w:left w:type="dxa" w:w="80"/>
              <w:bottom w:type="dxa" w:w="60"/>
              <w:right w:type="dxa" w:w="80"/>
            </w:tcMar>
            <w:vAlign w:val="top"/>
          </w:tcPr>
          <w:p>
            <w:pPr>
              <w:spacing w:after="0"/>
            </w:pPr>
            <w:r>
              <w:rPr>
                <w:b w:val="false"/>
                <w:bCs w:val="false"/>
                <w:i w:val="false"/>
                <w:iCs w:val="false"/>
                <w:sz w:val="18"/>
                <w:szCs w:val="18"/>
              </w:rPr>
              <w:t xml:space="preserve">1354.8</w:t>
            </w:r>
          </w:p>
        </w:tc>
        <w:tc>
          <w:tcPr>
            <w:tcW w:type="dxa" w:w="1100"/>
            <w:tcMar>
              <w:top w:type="dxa" w:w="60"/>
              <w:left w:type="dxa" w:w="80"/>
              <w:bottom w:type="dxa" w:w="60"/>
              <w:right w:type="dxa" w:w="80"/>
            </w:tcMar>
            <w:vAlign w:val="top"/>
          </w:tcPr>
          <w:p>
            <w:pPr>
              <w:spacing w:after="0"/>
            </w:pPr>
            <w:r>
              <w:rPr>
                <w:b w:val="false"/>
                <w:bCs w:val="false"/>
                <w:i w:val="false"/>
                <w:iCs w:val="false"/>
                <w:sz w:val="18"/>
                <w:szCs w:val="18"/>
              </w:rPr>
              <w:t xml:space="preserve">-0.8</w:t>
            </w:r>
          </w:p>
        </w:tc>
        <w:tc>
          <w:tcPr>
            <w:tcW w:type="dxa" w:w="2300"/>
            <w:tcMar>
              <w:top w:type="dxa" w:w="60"/>
              <w:left w:type="dxa" w:w="80"/>
              <w:bottom w:type="dxa" w:w="60"/>
              <w:right w:type="dxa" w:w="80"/>
            </w:tcMar>
            <w:vAlign w:val="top"/>
          </w:tcPr>
          <w:p>
            <w:pPr>
              <w:spacing w:after="0"/>
            </w:pPr>
            <w:r>
              <w:rPr>
                <w:b w:val="false"/>
                <w:bCs w:val="false"/>
                <w:i w:val="false"/>
                <w:iCs w:val="false"/>
                <w:sz w:val="18"/>
                <w:szCs w:val="18"/>
              </w:rPr>
              <w:t xml:space="preserve">KDO</w:t>
            </w:r>
          </w:p>
        </w:tc>
        <w:tc>
          <w:tcPr>
            <w:tcW w:type="dxa" w:w="3200"/>
            <w:tcMar>
              <w:top w:type="dxa" w:w="60"/>
              <w:left w:type="dxa" w:w="80"/>
              <w:bottom w:type="dxa" w:w="60"/>
              <w:right w:type="dxa" w:w="80"/>
            </w:tcMar>
            <w:vAlign w:val="top"/>
          </w:tcPr>
          <w:p>
            <w:pPr>
              <w:spacing w:after="0"/>
            </w:pPr>
            <w:r>
              <w:rPr>
                <w:b w:val="false"/>
                <w:bCs w:val="false"/>
                <w:i w:val="false"/>
                <w:iCs w:val="false"/>
                <w:sz w:val="17"/>
                <w:szCs w:val="17"/>
              </w:rPr>
              <w:t xml:space="preserve">Glucosamine, Heptose</w:t>
            </w:r>
          </w:p>
        </w:tc>
        <w:tc>
          <w:tcPr>
            <w:tcW w:type="dxa" w:w="1600"/>
            <w:shd w:fill="FDEBD0" w:val="clear"/>
            <w:tcMar>
              <w:top w:type="dxa" w:w="60"/>
              <w:left w:type="dxa" w:w="80"/>
              <w:bottom w:type="dxa" w:w="60"/>
              <w:right w:type="dxa" w:w="80"/>
            </w:tcMar>
            <w:vAlign w:val="top"/>
          </w:tcPr>
          <w:p>
            <w:pPr>
              <w:spacing w:after="0"/>
            </w:pPr>
            <w:r>
              <w:rPr>
                <w:b/>
                <w:bCs/>
                <w:i w:val="false"/>
                <w:iCs w:val="false"/>
                <w:color w:val="B9770E"/>
                <w:sz w:val="18"/>
                <w:szCs w:val="18"/>
              </w:rPr>
              <w:t xml:space="preserve">Moderate</w:t>
            </w:r>
          </w:p>
        </w:tc>
      </w:tr>
      <w:tr>
        <w:tc>
          <w:tcPr>
            <w:tcW w:type="dxa" w:w="1500"/>
            <w:tcMar>
              <w:top w:type="dxa" w:w="60"/>
              <w:left w:type="dxa" w:w="80"/>
              <w:bottom w:type="dxa" w:w="60"/>
              <w:right w:type="dxa" w:w="80"/>
            </w:tcMar>
            <w:vAlign w:val="top"/>
          </w:tcPr>
          <w:p>
            <w:pPr>
              <w:spacing w:after="0"/>
            </w:pPr>
            <w:r>
              <w:rPr>
                <w:b w:val="false"/>
                <w:bCs w:val="false"/>
                <w:i w:val="false"/>
                <w:iCs w:val="false"/>
                <w:sz w:val="18"/>
                <w:szCs w:val="18"/>
              </w:rPr>
              <w:t xml:space="preserve">1630.0</w:t>
            </w:r>
          </w:p>
        </w:tc>
        <w:tc>
          <w:tcPr>
            <w:tcW w:type="dxa" w:w="1500"/>
            <w:tcMar>
              <w:top w:type="dxa" w:w="60"/>
              <w:left w:type="dxa" w:w="80"/>
              <w:bottom w:type="dxa" w:w="60"/>
              <w:right w:type="dxa" w:w="80"/>
            </w:tcMar>
            <w:vAlign w:val="top"/>
          </w:tcPr>
          <w:p>
            <w:pPr>
              <w:spacing w:after="0"/>
            </w:pPr>
            <w:r>
              <w:rPr>
                <w:b w:val="false"/>
                <w:bCs w:val="false"/>
                <w:i w:val="false"/>
                <w:iCs w:val="false"/>
                <w:sz w:val="18"/>
                <w:szCs w:val="18"/>
              </w:rPr>
              <w:t xml:space="preserve">1635.6</w:t>
            </w:r>
          </w:p>
        </w:tc>
        <w:tc>
          <w:tcPr>
            <w:tcW w:type="dxa" w:w="1100"/>
            <w:tcMar>
              <w:top w:type="dxa" w:w="60"/>
              <w:left w:type="dxa" w:w="80"/>
              <w:bottom w:type="dxa" w:w="60"/>
              <w:right w:type="dxa" w:w="80"/>
            </w:tcMar>
            <w:vAlign w:val="top"/>
          </w:tcPr>
          <w:p>
            <w:pPr>
              <w:spacing w:after="0"/>
            </w:pPr>
            <w:r>
              <w:rPr>
                <w:b w:val="false"/>
                <w:bCs w:val="false"/>
                <w:i w:val="false"/>
                <w:iCs w:val="false"/>
                <w:sz w:val="18"/>
                <w:szCs w:val="18"/>
              </w:rPr>
              <w:t xml:space="preserve">-5.6</w:t>
            </w:r>
          </w:p>
        </w:tc>
        <w:tc>
          <w:tcPr>
            <w:tcW w:type="dxa" w:w="2300"/>
            <w:tcMar>
              <w:top w:type="dxa" w:w="60"/>
              <w:left w:type="dxa" w:w="80"/>
              <w:bottom w:type="dxa" w:w="60"/>
              <w:right w:type="dxa" w:w="80"/>
            </w:tcMar>
            <w:vAlign w:val="top"/>
          </w:tcPr>
          <w:p>
            <w:pPr>
              <w:spacing w:after="0"/>
            </w:pPr>
            <w:r>
              <w:rPr>
                <w:b w:val="false"/>
                <w:bCs w:val="false"/>
                <w:i w:val="false"/>
                <w:iCs w:val="false"/>
                <w:sz w:val="18"/>
                <w:szCs w:val="18"/>
              </w:rPr>
              <w:t xml:space="preserve">Glucosamine</w:t>
            </w:r>
          </w:p>
        </w:tc>
        <w:tc>
          <w:tcPr>
            <w:tcW w:type="dxa" w:w="3200"/>
            <w:tcMar>
              <w:top w:type="dxa" w:w="60"/>
              <w:left w:type="dxa" w:w="80"/>
              <w:bottom w:type="dxa" w:w="60"/>
              <w:right w:type="dxa" w:w="80"/>
            </w:tcMar>
            <w:vAlign w:val="top"/>
          </w:tcPr>
          <w:p>
            <w:pPr>
              <w:spacing w:after="0"/>
            </w:pPr>
            <w:r>
              <w:rPr>
                <w:b w:val="false"/>
                <w:bCs w:val="false"/>
                <w:i w:val="false"/>
                <w:iCs w:val="false"/>
                <w:sz w:val="17"/>
                <w:szCs w:val="17"/>
              </w:rPr>
              <w:t xml:space="preserve">(unique)</w:t>
            </w:r>
          </w:p>
        </w:tc>
        <w:tc>
          <w:tcPr>
            <w:tcW w:type="dxa" w:w="1600"/>
            <w:shd w:fill="FDEBD0" w:val="clear"/>
            <w:tcMar>
              <w:top w:type="dxa" w:w="60"/>
              <w:left w:type="dxa" w:w="80"/>
              <w:bottom w:type="dxa" w:w="60"/>
              <w:right w:type="dxa" w:w="80"/>
            </w:tcMar>
            <w:vAlign w:val="top"/>
          </w:tcPr>
          <w:p>
            <w:pPr>
              <w:spacing w:after="0"/>
            </w:pPr>
            <w:r>
              <w:rPr>
                <w:b/>
                <w:bCs/>
                <w:i w:val="false"/>
                <w:iCs w:val="false"/>
                <w:color w:val="B9770E"/>
                <w:sz w:val="18"/>
                <w:szCs w:val="18"/>
              </w:rPr>
              <w:t xml:space="preserve">Moderate</w:t>
            </w:r>
          </w:p>
        </w:tc>
      </w:tr>
      <w:tr>
        <w:tc>
          <w:tcPr>
            <w:tcW w:type="dxa" w:w="1500"/>
            <w:tcMar>
              <w:top w:type="dxa" w:w="60"/>
              <w:left w:type="dxa" w:w="80"/>
              <w:bottom w:type="dxa" w:w="60"/>
              <w:right w:type="dxa" w:w="80"/>
            </w:tcMar>
            <w:vAlign w:val="top"/>
          </w:tcPr>
          <w:p>
            <w:pPr>
              <w:spacing w:after="0"/>
            </w:pPr>
            <w:r>
              <w:rPr>
                <w:b w:val="false"/>
                <w:bCs w:val="false"/>
                <w:i w:val="false"/>
                <w:iCs w:val="false"/>
                <w:sz w:val="18"/>
                <w:szCs w:val="18"/>
              </w:rPr>
              <w:t xml:space="preserve">698.0</w:t>
            </w:r>
          </w:p>
        </w:tc>
        <w:tc>
          <w:tcPr>
            <w:tcW w:type="dxa" w:w="1500"/>
            <w:tcMar>
              <w:top w:type="dxa" w:w="60"/>
              <w:left w:type="dxa" w:w="80"/>
              <w:bottom w:type="dxa" w:w="60"/>
              <w:right w:type="dxa" w:w="80"/>
            </w:tcMar>
            <w:vAlign w:val="top"/>
          </w:tcPr>
          <w:p>
            <w:pPr>
              <w:spacing w:after="0"/>
            </w:pPr>
            <w:r>
              <w:rPr>
                <w:b w:val="false"/>
                <w:bCs w:val="false"/>
                <w:i w:val="false"/>
                <w:iCs w:val="false"/>
                <w:sz w:val="18"/>
                <w:szCs w:val="18"/>
              </w:rPr>
              <w:t xml:space="preserve">683.5</w:t>
            </w:r>
          </w:p>
        </w:tc>
        <w:tc>
          <w:tcPr>
            <w:tcW w:type="dxa" w:w="1100"/>
            <w:tcMar>
              <w:top w:type="dxa" w:w="60"/>
              <w:left w:type="dxa" w:w="80"/>
              <w:bottom w:type="dxa" w:w="60"/>
              <w:right w:type="dxa" w:w="80"/>
            </w:tcMar>
            <w:vAlign w:val="top"/>
          </w:tcPr>
          <w:p>
            <w:pPr>
              <w:spacing w:after="0"/>
            </w:pPr>
            <w:r>
              <w:rPr>
                <w:b w:val="false"/>
                <w:bCs w:val="false"/>
                <w:i w:val="false"/>
                <w:iCs w:val="false"/>
                <w:sz w:val="18"/>
                <w:szCs w:val="18"/>
              </w:rPr>
              <w:t xml:space="preserve">14.5</w:t>
            </w:r>
          </w:p>
        </w:tc>
        <w:tc>
          <w:tcPr>
            <w:tcW w:type="dxa" w:w="2300"/>
            <w:tcMar>
              <w:top w:type="dxa" w:w="60"/>
              <w:left w:type="dxa" w:w="80"/>
              <w:bottom w:type="dxa" w:w="60"/>
              <w:right w:type="dxa" w:w="80"/>
            </w:tcMar>
            <w:vAlign w:val="top"/>
          </w:tcPr>
          <w:p>
            <w:pPr>
              <w:spacing w:after="0"/>
            </w:pPr>
            <w:r>
              <w:rPr>
                <w:b w:val="false"/>
                <w:bCs w:val="false"/>
                <w:i w:val="false"/>
                <w:iCs w:val="false"/>
                <w:sz w:val="18"/>
                <w:szCs w:val="18"/>
              </w:rPr>
              <w:t xml:space="preserve">KDO</w:t>
            </w:r>
          </w:p>
        </w:tc>
        <w:tc>
          <w:tcPr>
            <w:tcW w:type="dxa" w:w="3200"/>
            <w:tcMar>
              <w:top w:type="dxa" w:w="60"/>
              <w:left w:type="dxa" w:w="80"/>
              <w:bottom w:type="dxa" w:w="60"/>
              <w:right w:type="dxa" w:w="80"/>
            </w:tcMar>
            <w:vAlign w:val="top"/>
          </w:tcPr>
          <w:p>
            <w:pPr>
              <w:spacing w:after="0"/>
            </w:pPr>
            <w:r>
              <w:rPr>
                <w:b w:val="false"/>
                <w:bCs w:val="false"/>
                <w:i w:val="false"/>
                <w:iCs w:val="false"/>
                <w:sz w:val="17"/>
                <w:szCs w:val="17"/>
              </w:rPr>
              <w:t xml:space="preserve">(unique)</w:t>
            </w:r>
          </w:p>
        </w:tc>
        <w:tc>
          <w:tcPr>
            <w:tcW w:type="dxa" w:w="1600"/>
            <w:shd w:fill="FADBD8" w:val="clear"/>
            <w:tcMar>
              <w:top w:type="dxa" w:w="60"/>
              <w:left w:type="dxa" w:w="80"/>
              <w:bottom w:type="dxa" w:w="60"/>
              <w:right w:type="dxa" w:w="80"/>
            </w:tcMar>
            <w:vAlign w:val="top"/>
          </w:tcPr>
          <w:p>
            <w:pPr>
              <w:spacing w:after="0"/>
            </w:pPr>
            <w:r>
              <w:rPr>
                <w:b/>
                <w:bCs/>
                <w:i w:val="false"/>
                <w:iCs w:val="false"/>
                <w:color w:val="C0392B"/>
                <w:sz w:val="18"/>
                <w:szCs w:val="18"/>
              </w:rPr>
              <w:t xml:space="preserve">Low</w:t>
            </w:r>
          </w:p>
        </w:tc>
      </w:tr>
      <w:tr>
        <w:tc>
          <w:tcPr>
            <w:tcW w:type="dxa" w:w="1500"/>
            <w:tcMar>
              <w:top w:type="dxa" w:w="60"/>
              <w:left w:type="dxa" w:w="80"/>
              <w:bottom w:type="dxa" w:w="60"/>
              <w:right w:type="dxa" w:w="80"/>
            </w:tcMar>
            <w:vAlign w:val="top"/>
          </w:tcPr>
          <w:p>
            <w:pPr>
              <w:spacing w:after="0"/>
            </w:pPr>
            <w:r>
              <w:rPr>
                <w:b w:val="false"/>
                <w:bCs w:val="false"/>
                <w:i w:val="false"/>
                <w:iCs w:val="false"/>
                <w:sz w:val="18"/>
                <w:szCs w:val="18"/>
              </w:rPr>
              <w:t xml:space="preserve">902.0</w:t>
            </w:r>
          </w:p>
        </w:tc>
        <w:tc>
          <w:tcPr>
            <w:tcW w:type="dxa" w:w="1500"/>
            <w:tcMar>
              <w:top w:type="dxa" w:w="60"/>
              <w:left w:type="dxa" w:w="80"/>
              <w:bottom w:type="dxa" w:w="60"/>
              <w:right w:type="dxa" w:w="80"/>
            </w:tcMar>
            <w:vAlign w:val="top"/>
          </w:tcPr>
          <w:p>
            <w:pPr>
              <w:spacing w:after="0"/>
            </w:pPr>
            <w:r>
              <w:rPr>
                <w:b w:val="false"/>
                <w:bCs w:val="false"/>
                <w:i w:val="false"/>
                <w:iCs w:val="false"/>
                <w:sz w:val="18"/>
                <w:szCs w:val="18"/>
              </w:rPr>
              <w:t xml:space="preserve">913.2</w:t>
            </w:r>
          </w:p>
        </w:tc>
        <w:tc>
          <w:tcPr>
            <w:tcW w:type="dxa" w:w="1100"/>
            <w:tcMar>
              <w:top w:type="dxa" w:w="60"/>
              <w:left w:type="dxa" w:w="80"/>
              <w:bottom w:type="dxa" w:w="60"/>
              <w:right w:type="dxa" w:w="80"/>
            </w:tcMar>
            <w:vAlign w:val="top"/>
          </w:tcPr>
          <w:p>
            <w:pPr>
              <w:spacing w:after="0"/>
            </w:pPr>
            <w:r>
              <w:rPr>
                <w:b w:val="false"/>
                <w:bCs w:val="false"/>
                <w:i w:val="false"/>
                <w:iCs w:val="false"/>
                <w:sz w:val="18"/>
                <w:szCs w:val="18"/>
              </w:rPr>
              <w:t xml:space="preserve">-11.2</w:t>
            </w:r>
          </w:p>
        </w:tc>
        <w:tc>
          <w:tcPr>
            <w:tcW w:type="dxa" w:w="2300"/>
            <w:tcMar>
              <w:top w:type="dxa" w:w="60"/>
              <w:left w:type="dxa" w:w="80"/>
              <w:bottom w:type="dxa" w:w="60"/>
              <w:right w:type="dxa" w:w="80"/>
            </w:tcMar>
            <w:vAlign w:val="top"/>
          </w:tcPr>
          <w:p>
            <w:pPr>
              <w:spacing w:after="0"/>
            </w:pPr>
            <w:r>
              <w:rPr>
                <w:b w:val="false"/>
                <w:bCs w:val="false"/>
                <w:i w:val="false"/>
                <w:iCs w:val="false"/>
                <w:sz w:val="18"/>
                <w:szCs w:val="18"/>
              </w:rPr>
              <w:t xml:space="preserve">Heptose</w:t>
            </w:r>
          </w:p>
        </w:tc>
        <w:tc>
          <w:tcPr>
            <w:tcW w:type="dxa" w:w="3200"/>
            <w:tcMar>
              <w:top w:type="dxa" w:w="60"/>
              <w:left w:type="dxa" w:w="80"/>
              <w:bottom w:type="dxa" w:w="60"/>
              <w:right w:type="dxa" w:w="80"/>
            </w:tcMar>
            <w:vAlign w:val="top"/>
          </w:tcPr>
          <w:p>
            <w:pPr>
              <w:spacing w:after="0"/>
            </w:pPr>
            <w:r>
              <w:rPr>
                <w:b w:val="false"/>
                <w:bCs w:val="false"/>
                <w:i w:val="false"/>
                <w:iCs w:val="false"/>
                <w:sz w:val="17"/>
                <w:szCs w:val="17"/>
              </w:rPr>
              <w:t xml:space="preserve">KDO, Phosphoric Acid</w:t>
            </w:r>
          </w:p>
        </w:tc>
        <w:tc>
          <w:tcPr>
            <w:tcW w:type="dxa" w:w="1600"/>
            <w:shd w:fill="FADBD8" w:val="clear"/>
            <w:tcMar>
              <w:top w:type="dxa" w:w="60"/>
              <w:left w:type="dxa" w:w="80"/>
              <w:bottom w:type="dxa" w:w="60"/>
              <w:right w:type="dxa" w:w="80"/>
            </w:tcMar>
            <w:vAlign w:val="top"/>
          </w:tcPr>
          <w:p>
            <w:pPr>
              <w:spacing w:after="0"/>
            </w:pPr>
            <w:r>
              <w:rPr>
                <w:b/>
                <w:bCs/>
                <w:i w:val="false"/>
                <w:iCs w:val="false"/>
                <w:color w:val="C0392B"/>
                <w:sz w:val="18"/>
                <w:szCs w:val="18"/>
              </w:rPr>
              <w:t xml:space="preserve">Low</w:t>
            </w:r>
          </w:p>
        </w:tc>
      </w:tr>
    </w:tbl>
    <w:p>
      <w:pPr>
        <w:spacing w:after="250"/>
      </w:pPr>
      <w:r>
        <w:rPr>
          <w:b w:val="false"/>
          <w:bCs w:val="false"/>
          <w:i w:val="false"/>
          <w:iCs w:val="false"/>
          <w:sz w:val="18"/>
          <w:szCs w:val="18"/>
        </w:rPr>
        <w:t xml:space="preserve">Major experimental peaks with no DFT match within ±15 cm⁻¹ (17 of 43): 736.0, 1574.0, 1584.0, 1595.0, 1615.0, 1705.0, 1716.0, 1727.0, 1750.0, 1772.0, 1793.0, 1815.0, 1840.0, 1863.0, 1888.0, 1923.0, 1998.0 cm⁻¹. These cluster heavily in the 1574–1998 cm⁻¹ region — consistent with the DFT composite’s near-zero predicted activity there (see plot). Whether this reflects a real spectral feature the 5-fragment model cannot explain, or a baseline/edge-of-window artifact near the top of the 200–2000 cm⁻¹ window, is not resolved by this reanalysis.</w:t>
      </w:r>
    </w:p>
    <w:p>
      <w:pPr>
        <w:pStyle w:val="Heading1"/>
        <w:spacing w:after="150" w:before="200"/>
      </w:pPr>
      <w:r>
        <w:rPr>
          <w:b/>
          <w:bCs/>
        </w:rPr>
        <w:t xml:space="preserve">Three-Layer Comparison: Literature → Our Powder → DFT-Supported</w:t>
      </w:r>
    </w:p>
    <w:p>
      <w:pPr>
        <w:spacing w:after="150"/>
      </w:pPr>
      <w:r>
        <w:rPr>
          <w:b w:val="false"/>
          <w:bCs w:val="false"/>
          <w:i w:val="false"/>
          <w:iCs w:val="false"/>
          <w:sz w:val="18"/>
          <w:szCs w:val="18"/>
        </w:rPr>
        <w:t xml:space="preserve">Every literature peak found across the four (partly conflicting) source documents identified in the evidence audit is listed here, not just the ones that happen to line up — so the gaps are visible too, not only the hits. "Kundu-text" entries are flagged: a separate project document found that the paper actually attributed to Kundu et al. contains zero LPS mentions, so this source’s own identity is itself an unresolved internal conflict (preserved, not resolved, here).</w:t>
      </w:r>
    </w:p>
    <w:tbl>
      <w:tblPr>
        <w:tblW w:type="dxa" w:w="1410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3000"/>
        <w:gridCol w:w="1400"/>
        <w:gridCol w:w="2800"/>
        <w:gridCol w:w="3100"/>
      </w:tblGrid>
      <w:tr>
        <w:tc>
          <w:tcPr>
            <w:tcW w:type="dxa" w:w="1200"/>
            <w:shd w:fill="2F5496" w:val="clear"/>
            <w:tcMar>
              <w:top w:type="dxa" w:w="60"/>
              <w:left w:type="dxa" w:w="80"/>
              <w:bottom w:type="dxa" w:w="60"/>
              <w:right w:type="dxa" w:w="80"/>
            </w:tcMar>
            <w:vAlign w:val="top"/>
          </w:tcPr>
          <w:p>
            <w:pPr>
              <w:spacing w:after="0"/>
            </w:pPr>
            <w:r>
              <w:rPr>
                <w:b/>
                <w:bCs/>
                <w:i w:val="false"/>
                <w:iCs w:val="false"/>
                <w:color w:val="FFFFFF"/>
                <w:sz w:val="18"/>
                <w:szCs w:val="18"/>
              </w:rPr>
              <w:t xml:space="preserve">Literature (cm⁻¹)</w:t>
            </w:r>
          </w:p>
        </w:tc>
        <w:tc>
          <w:tcPr>
            <w:tcW w:type="dxa" w:w="2600"/>
            <w:shd w:fill="2F5496" w:val="clear"/>
            <w:tcMar>
              <w:top w:type="dxa" w:w="60"/>
              <w:left w:type="dxa" w:w="80"/>
              <w:bottom w:type="dxa" w:w="60"/>
              <w:right w:type="dxa" w:w="80"/>
            </w:tcMar>
            <w:vAlign w:val="top"/>
          </w:tcPr>
          <w:p>
            <w:pPr>
              <w:spacing w:after="0"/>
            </w:pPr>
            <w:r>
              <w:rPr>
                <w:b/>
                <w:bCs/>
                <w:i w:val="false"/>
                <w:iCs w:val="false"/>
                <w:color w:val="FFFFFF"/>
                <w:sz w:val="18"/>
                <w:szCs w:val="18"/>
              </w:rPr>
              <w:t xml:space="preserve">Source</w:t>
            </w:r>
          </w:p>
        </w:tc>
        <w:tc>
          <w:tcPr>
            <w:tcW w:type="dxa" w:w="3000"/>
            <w:shd w:fill="2F5496" w:val="clear"/>
            <w:tcMar>
              <w:top w:type="dxa" w:w="60"/>
              <w:left w:type="dxa" w:w="80"/>
              <w:bottom w:type="dxa" w:w="60"/>
              <w:right w:type="dxa" w:w="80"/>
            </w:tcMar>
            <w:vAlign w:val="top"/>
          </w:tcPr>
          <w:p>
            <w:pPr>
              <w:spacing w:after="0"/>
            </w:pPr>
            <w:r>
              <w:rPr>
                <w:b/>
                <w:bCs/>
                <w:i w:val="false"/>
                <w:iCs w:val="false"/>
                <w:color w:val="FFFFFF"/>
                <w:sz w:val="18"/>
                <w:szCs w:val="18"/>
              </w:rPr>
              <w:t xml:space="preserve">Assignment</w:t>
            </w:r>
          </w:p>
        </w:tc>
        <w:tc>
          <w:tcPr>
            <w:tcW w:type="dxa" w:w="1400"/>
            <w:shd w:fill="2F5496" w:val="clear"/>
            <w:tcMar>
              <w:top w:type="dxa" w:w="60"/>
              <w:left w:type="dxa" w:w="80"/>
              <w:bottom w:type="dxa" w:w="60"/>
              <w:right w:type="dxa" w:w="80"/>
            </w:tcMar>
            <w:vAlign w:val="top"/>
          </w:tcPr>
          <w:p>
            <w:pPr>
              <w:spacing w:after="0"/>
            </w:pPr>
            <w:r>
              <w:rPr>
                <w:b/>
                <w:bCs/>
                <w:i w:val="false"/>
                <w:iCs w:val="false"/>
                <w:color w:val="FFFFFF"/>
                <w:sz w:val="18"/>
                <w:szCs w:val="18"/>
              </w:rPr>
              <w:t xml:space="preserve">Our Powder (cm⁻¹)</w:t>
            </w:r>
          </w:p>
        </w:tc>
        <w:tc>
          <w:tcPr>
            <w:tcW w:type="dxa" w:w="2800"/>
            <w:shd w:fill="2F5496" w:val="clear"/>
            <w:tcMar>
              <w:top w:type="dxa" w:w="60"/>
              <w:left w:type="dxa" w:w="80"/>
              <w:bottom w:type="dxa" w:w="60"/>
              <w:right w:type="dxa" w:w="80"/>
            </w:tcMar>
            <w:vAlign w:val="top"/>
          </w:tcPr>
          <w:p>
            <w:pPr>
              <w:spacing w:after="0"/>
            </w:pPr>
            <w:r>
              <w:rPr>
                <w:b/>
                <w:bCs/>
                <w:i w:val="false"/>
                <w:iCs w:val="false"/>
                <w:color w:val="FFFFFF"/>
                <w:sz w:val="18"/>
                <w:szCs w:val="18"/>
              </w:rPr>
              <w:t xml:space="preserve">DFT-Supported (cm⁻¹, fragment, confidence)</w:t>
            </w:r>
          </w:p>
        </w:tc>
        <w:tc>
          <w:tcPr>
            <w:tcW w:type="dxa" w:w="3100"/>
            <w:shd w:fill="2F5496" w:val="clear"/>
            <w:tcMar>
              <w:top w:type="dxa" w:w="60"/>
              <w:left w:type="dxa" w:w="80"/>
              <w:bottom w:type="dxa" w:w="60"/>
              <w:right w:type="dxa" w:w="80"/>
            </w:tcMar>
            <w:vAlign w:val="top"/>
          </w:tcPr>
          <w:p>
            <w:pPr>
              <w:spacing w:after="0"/>
            </w:pPr>
            <w:r>
              <w:rPr>
                <w:b/>
                <w:bCs/>
                <w:i w:val="false"/>
                <w:iCs w:val="false"/>
                <w:color w:val="FFFFFF"/>
                <w:sz w:val="18"/>
                <w:szCs w:val="18"/>
              </w:rPr>
              <w:t xml:space="preserve">Status</w:t>
            </w:r>
          </w:p>
        </w:tc>
      </w:tr>
      <w:tr>
        <w:tc>
          <w:tcPr>
            <w:tcW w:type="dxa" w:w="1200"/>
            <w:tcMar>
              <w:top w:type="dxa" w:w="60"/>
              <w:left w:type="dxa" w:w="80"/>
              <w:bottom w:type="dxa" w:w="60"/>
              <w:right w:type="dxa" w:w="80"/>
            </w:tcMar>
            <w:vAlign w:val="top"/>
          </w:tcPr>
          <w:p>
            <w:pPr>
              <w:spacing w:after="0"/>
            </w:pPr>
            <w:r>
              <w:rPr>
                <w:b w:val="false"/>
                <w:bCs w:val="false"/>
                <w:i w:val="false"/>
                <w:iCs w:val="false"/>
                <w:sz w:val="17"/>
                <w:szCs w:val="17"/>
              </w:rPr>
              <w:t xml:space="preserve">550</w:t>
            </w:r>
          </w:p>
        </w:tc>
        <w:tc>
          <w:tcPr>
            <w:tcW w:type="dxa" w:w="2600"/>
            <w:tcMar>
              <w:top w:type="dxa" w:w="60"/>
              <w:left w:type="dxa" w:w="80"/>
              <w:bottom w:type="dxa" w:w="60"/>
              <w:right w:type="dxa" w:w="80"/>
            </w:tcMar>
            <w:vAlign w:val="top"/>
          </w:tcPr>
          <w:p>
            <w:pPr>
              <w:spacing w:after="0"/>
            </w:pPr>
            <w:r>
              <w:rPr>
                <w:b w:val="false"/>
                <w:bCs w:val="false"/>
                <w:i w:val="false"/>
                <w:iCs w:val="false"/>
                <w:sz w:val="15"/>
                <w:szCs w:val="15"/>
              </w:rPr>
              <w:t xml:space="preserve">A (Wu 2021, Enteric LPS)</w:t>
            </w:r>
          </w:p>
        </w:tc>
        <w:tc>
          <w:tcPr>
            <w:tcW w:type="dxa" w:w="3000"/>
            <w:tcMar>
              <w:top w:type="dxa" w:w="60"/>
              <w:left w:type="dxa" w:w="80"/>
              <w:bottom w:type="dxa" w:w="60"/>
              <w:right w:type="dxa" w:w="80"/>
            </w:tcMar>
            <w:vAlign w:val="top"/>
          </w:tcPr>
          <w:p>
            <w:pPr>
              <w:spacing w:after="0"/>
            </w:pPr>
            <w:r>
              <w:rPr>
                <w:b w:val="false"/>
                <w:bCs w:val="false"/>
                <w:i w:val="false"/>
                <w:iCs w:val="false"/>
                <w:sz w:val="15"/>
                <w:szCs w:val="15"/>
              </w:rPr>
              <w:t xml:space="preserve">beta(CH2) ring</w:t>
            </w:r>
          </w:p>
        </w:tc>
        <w:tc>
          <w:tcPr>
            <w:tcW w:type="dxa" w:w="1400"/>
            <w:tcMar>
              <w:top w:type="dxa" w:w="60"/>
              <w:left w:type="dxa" w:w="80"/>
              <w:bottom w:type="dxa" w:w="60"/>
              <w:right w:type="dxa" w:w="80"/>
            </w:tcMar>
            <w:vAlign w:val="top"/>
          </w:tcPr>
          <w:p>
            <w:pPr>
              <w:spacing w:after="0"/>
            </w:pPr>
            <w:r>
              <w:rPr>
                <w:b w:val="false"/>
                <w:bCs w:val="false"/>
                <w:i w:val="false"/>
                <w:iCs w:val="false"/>
                <w:sz w:val="17"/>
                <w:szCs w:val="17"/>
              </w:rPr>
              <w:t xml:space="preserve">542</w:t>
            </w:r>
          </w:p>
        </w:tc>
        <w:tc>
          <w:tcPr>
            <w:tcW w:type="dxa" w:w="2800"/>
            <w:tcMar>
              <w:top w:type="dxa" w:w="60"/>
              <w:left w:type="dxa" w:w="80"/>
              <w:bottom w:type="dxa" w:w="60"/>
              <w:right w:type="dxa" w:w="80"/>
            </w:tcMar>
            <w:vAlign w:val="top"/>
          </w:tcPr>
          <w:p>
            <w:pPr>
              <w:spacing w:after="0"/>
            </w:pPr>
            <w:r>
              <w:rPr>
                <w:b w:val="false"/>
                <w:bCs w:val="false"/>
                <w:i w:val="false"/>
                <w:iCs w:val="false"/>
                <w:sz w:val="15"/>
                <w:szCs w:val="15"/>
              </w:rPr>
              <w:t xml:space="preserve">542 (Heptose, Moderate)</w:t>
            </w:r>
          </w:p>
        </w:tc>
        <w:tc>
          <w:tcPr>
            <w:tcW w:type="dxa" w:w="3100"/>
            <w:shd w:fill="D5F5E3" w:val="clear"/>
            <w:tcMar>
              <w:top w:type="dxa" w:w="60"/>
              <w:left w:type="dxa" w:w="80"/>
              <w:bottom w:type="dxa" w:w="60"/>
              <w:right w:type="dxa" w:w="80"/>
            </w:tcMar>
            <w:vAlign w:val="top"/>
          </w:tcPr>
          <w:p>
            <w:pPr>
              <w:spacing w:after="0"/>
            </w:pPr>
            <w:r>
              <w:rPr>
                <w:b w:val="false"/>
                <w:bCs w:val="false"/>
                <w:i w:val="false"/>
                <w:iCs w:val="false"/>
                <w:sz w:val="15"/>
                <w:szCs w:val="15"/>
              </w:rPr>
              <w:t xml:space="preserve">Strong (literature -&gt; our powder -&gt; DFT-supported)</w:t>
            </w:r>
          </w:p>
        </w:tc>
      </w:tr>
      <w:tr>
        <w:tc>
          <w:tcPr>
            <w:tcW w:type="dxa" w:w="1200"/>
            <w:tcMar>
              <w:top w:type="dxa" w:w="60"/>
              <w:left w:type="dxa" w:w="80"/>
              <w:bottom w:type="dxa" w:w="60"/>
              <w:right w:type="dxa" w:w="80"/>
            </w:tcMar>
            <w:vAlign w:val="top"/>
          </w:tcPr>
          <w:p>
            <w:pPr>
              <w:spacing w:after="0"/>
            </w:pPr>
            <w:r>
              <w:rPr>
                <w:b w:val="false"/>
                <w:bCs w:val="false"/>
                <w:i w:val="false"/>
                <w:iCs w:val="false"/>
                <w:sz w:val="17"/>
                <w:szCs w:val="17"/>
              </w:rPr>
              <w:t xml:space="preserve">680</w:t>
            </w:r>
          </w:p>
        </w:tc>
        <w:tc>
          <w:tcPr>
            <w:tcW w:type="dxa" w:w="2600"/>
            <w:tcMar>
              <w:top w:type="dxa" w:w="60"/>
              <w:left w:type="dxa" w:w="80"/>
              <w:bottom w:type="dxa" w:w="60"/>
              <w:right w:type="dxa" w:w="80"/>
            </w:tcMar>
            <w:vAlign w:val="top"/>
          </w:tcPr>
          <w:p>
            <w:pPr>
              <w:spacing w:after="0"/>
            </w:pPr>
            <w:r>
              <w:rPr>
                <w:b w:val="false"/>
                <w:bCs w:val="false"/>
                <w:i w:val="false"/>
                <w:iCs w:val="false"/>
                <w:sz w:val="15"/>
                <w:szCs w:val="15"/>
              </w:rPr>
              <w:t xml:space="preserve">A (Wu 2021, Enteric LPS)</w:t>
            </w:r>
          </w:p>
        </w:tc>
        <w:tc>
          <w:tcPr>
            <w:tcW w:type="dxa" w:w="3000"/>
            <w:tcMar>
              <w:top w:type="dxa" w:w="60"/>
              <w:left w:type="dxa" w:w="80"/>
              <w:bottom w:type="dxa" w:w="60"/>
              <w:right w:type="dxa" w:w="80"/>
            </w:tcMar>
            <w:vAlign w:val="top"/>
          </w:tcPr>
          <w:p>
            <w:pPr>
              <w:spacing w:after="0"/>
            </w:pPr>
            <w:r>
              <w:rPr>
                <w:b w:val="false"/>
                <w:bCs w:val="false"/>
                <w:i w:val="false"/>
                <w:iCs w:val="false"/>
                <w:sz w:val="15"/>
                <w:szCs w:val="15"/>
              </w:rPr>
              <w:t xml:space="preserve">delta(C-O-C) fatty acid</w:t>
            </w:r>
          </w:p>
        </w:tc>
        <w:tc>
          <w:tcPr>
            <w:tcW w:type="dxa" w:w="1400"/>
            <w:tcMar>
              <w:top w:type="dxa" w:w="60"/>
              <w:left w:type="dxa" w:w="80"/>
              <w:bottom w:type="dxa" w:w="60"/>
              <w:right w:type="dxa" w:w="80"/>
            </w:tcMar>
            <w:vAlign w:val="top"/>
          </w:tcPr>
          <w:p>
            <w:pPr>
              <w:spacing w:after="0"/>
            </w:pPr>
            <w:r>
              <w:rPr>
                <w:b w:val="false"/>
                <w:bCs w:val="false"/>
                <w:i w:val="false"/>
                <w:iCs w:val="false"/>
                <w:sz w:val="17"/>
                <w:szCs w:val="17"/>
              </w:rPr>
              <w:t xml:space="preserve">674</w:t>
            </w:r>
          </w:p>
        </w:tc>
        <w:tc>
          <w:tcPr>
            <w:tcW w:type="dxa" w:w="2800"/>
            <w:tcMar>
              <w:top w:type="dxa" w:w="60"/>
              <w:left w:type="dxa" w:w="80"/>
              <w:bottom w:type="dxa" w:w="60"/>
              <w:right w:type="dxa" w:w="80"/>
            </w:tcMar>
            <w:vAlign w:val="top"/>
          </w:tcPr>
          <w:p>
            <w:pPr>
              <w:spacing w:after="0"/>
            </w:pPr>
            <w:r>
              <w:rPr>
                <w:b w:val="false"/>
                <w:bCs w:val="false"/>
                <w:i w:val="false"/>
                <w:iCs w:val="false"/>
                <w:sz w:val="15"/>
                <w:szCs w:val="15"/>
              </w:rPr>
              <w:t xml:space="preserve">676 (Heptose, Moderate)</w:t>
            </w:r>
          </w:p>
        </w:tc>
        <w:tc>
          <w:tcPr>
            <w:tcW w:type="dxa" w:w="3100"/>
            <w:shd w:fill="D5F5E3" w:val="clear"/>
            <w:tcMar>
              <w:top w:type="dxa" w:w="60"/>
              <w:left w:type="dxa" w:w="80"/>
              <w:bottom w:type="dxa" w:w="60"/>
              <w:right w:type="dxa" w:w="80"/>
            </w:tcMar>
            <w:vAlign w:val="top"/>
          </w:tcPr>
          <w:p>
            <w:pPr>
              <w:spacing w:after="0"/>
            </w:pPr>
            <w:r>
              <w:rPr>
                <w:b w:val="false"/>
                <w:bCs w:val="false"/>
                <w:i w:val="false"/>
                <w:iCs w:val="false"/>
                <w:sz w:val="15"/>
                <w:szCs w:val="15"/>
              </w:rPr>
              <w:t xml:space="preserve">Strong (literature -&gt; our powder -&gt; DFT-supported)</w:t>
            </w:r>
          </w:p>
        </w:tc>
      </w:tr>
      <w:tr>
        <w:tc>
          <w:tcPr>
            <w:tcW w:type="dxa" w:w="1200"/>
            <w:tcMar>
              <w:top w:type="dxa" w:w="60"/>
              <w:left w:type="dxa" w:w="80"/>
              <w:bottom w:type="dxa" w:w="60"/>
              <w:right w:type="dxa" w:w="80"/>
            </w:tcMar>
            <w:vAlign w:val="top"/>
          </w:tcPr>
          <w:p>
            <w:pPr>
              <w:spacing w:after="0"/>
            </w:pPr>
            <w:r>
              <w:rPr>
                <w:b w:val="false"/>
                <w:bCs w:val="false"/>
                <w:i w:val="false"/>
                <w:iCs w:val="false"/>
                <w:sz w:val="17"/>
                <w:szCs w:val="17"/>
              </w:rPr>
              <w:t xml:space="preserve">850</w:t>
            </w:r>
          </w:p>
        </w:tc>
        <w:tc>
          <w:tcPr>
            <w:tcW w:type="dxa" w:w="2600"/>
            <w:tcMar>
              <w:top w:type="dxa" w:w="60"/>
              <w:left w:type="dxa" w:w="80"/>
              <w:bottom w:type="dxa" w:w="60"/>
              <w:right w:type="dxa" w:w="80"/>
            </w:tcMar>
            <w:vAlign w:val="top"/>
          </w:tcPr>
          <w:p>
            <w:pPr>
              <w:spacing w:after="0"/>
            </w:pPr>
            <w:r>
              <w:rPr>
                <w:b w:val="false"/>
                <w:bCs w:val="false"/>
                <w:i w:val="false"/>
                <w:iCs w:val="false"/>
                <w:sz w:val="15"/>
                <w:szCs w:val="15"/>
              </w:rPr>
              <w:t xml:space="preserve">A (Wu 2021, Enteric LPS / thesis)</w:t>
            </w:r>
          </w:p>
        </w:tc>
        <w:tc>
          <w:tcPr>
            <w:tcW w:type="dxa" w:w="3000"/>
            <w:tcMar>
              <w:top w:type="dxa" w:w="60"/>
              <w:left w:type="dxa" w:w="80"/>
              <w:bottom w:type="dxa" w:w="60"/>
              <w:right w:type="dxa" w:w="80"/>
            </w:tcMar>
            <w:vAlign w:val="top"/>
          </w:tcPr>
          <w:p>
            <w:pPr>
              <w:spacing w:after="0"/>
            </w:pPr>
            <w:r>
              <w:rPr>
                <w:b w:val="false"/>
                <w:bCs w:val="false"/>
                <w:i w:val="false"/>
                <w:iCs w:val="false"/>
                <w:sz w:val="15"/>
                <w:szCs w:val="15"/>
              </w:rPr>
              <w:t xml:space="preserve">nu(C-O-C) saccharide / glycosidic</w:t>
            </w:r>
          </w:p>
        </w:tc>
        <w:tc>
          <w:tcPr>
            <w:tcW w:type="dxa" w:w="1400"/>
            <w:tcMar>
              <w:top w:type="dxa" w:w="60"/>
              <w:left w:type="dxa" w:w="80"/>
              <w:bottom w:type="dxa" w:w="60"/>
              <w:right w:type="dxa" w:w="80"/>
            </w:tcMar>
            <w:vAlign w:val="top"/>
          </w:tcPr>
          <w:p>
            <w:pPr>
              <w:spacing w:after="0"/>
            </w:pPr>
            <w:r>
              <w:rPr>
                <w:b w:val="false"/>
                <w:bCs w:val="false"/>
                <w:i w:val="false"/>
                <w:iCs w:val="false"/>
                <w:sz w:val="17"/>
                <w:szCs w:val="17"/>
              </w:rPr>
              <w:t xml:space="preserve">-</w:t>
            </w:r>
          </w:p>
        </w:tc>
        <w:tc>
          <w:tcPr>
            <w:tcW w:type="dxa" w:w="2800"/>
            <w:tcMar>
              <w:top w:type="dxa" w:w="60"/>
              <w:left w:type="dxa" w:w="80"/>
              <w:bottom w:type="dxa" w:w="60"/>
              <w:right w:type="dxa" w:w="80"/>
            </w:tcMar>
            <w:vAlign w:val="top"/>
          </w:tcPr>
          <w:p>
            <w:pPr>
              <w:spacing w:after="0"/>
            </w:pPr>
            <w:r>
              <w:rPr>
                <w:b w:val="false"/>
                <w:bCs w:val="false"/>
                <w:i w:val="false"/>
                <w:iCs w:val="false"/>
                <w:sz w:val="15"/>
                <w:szCs w:val="15"/>
              </w:rPr>
              <w:t xml:space="preserve">849 (Myristic_Acid)</w:t>
            </w:r>
          </w:p>
        </w:tc>
        <w:tc>
          <w:tcPr>
            <w:tcW w:type="dxa" w:w="3100"/>
            <w:shd w:fill="FDEBD0" w:val="clear"/>
            <w:tcMar>
              <w:top w:type="dxa" w:w="60"/>
              <w:left w:type="dxa" w:w="80"/>
              <w:bottom w:type="dxa" w:w="60"/>
              <w:right w:type="dxa" w:w="80"/>
            </w:tcMar>
            <w:vAlign w:val="top"/>
          </w:tcPr>
          <w:p>
            <w:pPr>
              <w:spacing w:after="0"/>
            </w:pPr>
            <w:r>
              <w:rPr>
                <w:b w:val="false"/>
                <w:bCs w:val="false"/>
                <w:i w:val="false"/>
                <w:iCs w:val="false"/>
                <w:sz w:val="15"/>
                <w:szCs w:val="15"/>
              </w:rPr>
              <w:t xml:space="preserve">Literature/DFT only (theory places a mode here; no major exp peak detected)</w:t>
            </w:r>
          </w:p>
        </w:tc>
      </w:tr>
      <w:tr>
        <w:tc>
          <w:tcPr>
            <w:tcW w:type="dxa" w:w="1200"/>
            <w:tcMar>
              <w:top w:type="dxa" w:w="60"/>
              <w:left w:type="dxa" w:w="80"/>
              <w:bottom w:type="dxa" w:w="60"/>
              <w:right w:type="dxa" w:w="80"/>
            </w:tcMar>
            <w:vAlign w:val="top"/>
          </w:tcPr>
          <w:p>
            <w:pPr>
              <w:spacing w:after="0"/>
            </w:pPr>
            <w:r>
              <w:rPr>
                <w:b w:val="false"/>
                <w:bCs w:val="false"/>
                <w:i w:val="false"/>
                <w:iCs w:val="false"/>
                <w:sz w:val="17"/>
                <w:szCs w:val="17"/>
              </w:rPr>
              <w:t xml:space="preserve">988</w:t>
            </w:r>
          </w:p>
        </w:tc>
        <w:tc>
          <w:tcPr>
            <w:tcW w:type="dxa" w:w="2600"/>
            <w:tcMar>
              <w:top w:type="dxa" w:w="60"/>
              <w:left w:type="dxa" w:w="80"/>
              <w:bottom w:type="dxa" w:w="60"/>
              <w:right w:type="dxa" w:w="80"/>
            </w:tcMar>
            <w:vAlign w:val="top"/>
          </w:tcPr>
          <w:p>
            <w:pPr>
              <w:spacing w:after="0"/>
            </w:pPr>
            <w:r>
              <w:rPr>
                <w:b w:val="false"/>
                <w:bCs w:val="false"/>
                <w:i w:val="false"/>
                <w:iCs w:val="false"/>
                <w:sz w:val="15"/>
                <w:szCs w:val="15"/>
              </w:rPr>
              <w:t xml:space="preserve">A (Wu 2021, Enteric LPS / thesis)</w:t>
            </w:r>
          </w:p>
        </w:tc>
        <w:tc>
          <w:tcPr>
            <w:tcW w:type="dxa" w:w="3000"/>
            <w:tcMar>
              <w:top w:type="dxa" w:w="60"/>
              <w:left w:type="dxa" w:w="80"/>
              <w:bottom w:type="dxa" w:w="60"/>
              <w:right w:type="dxa" w:w="80"/>
            </w:tcMar>
            <w:vAlign w:val="top"/>
          </w:tcPr>
          <w:p>
            <w:pPr>
              <w:spacing w:after="0"/>
            </w:pPr>
            <w:r>
              <w:rPr>
                <w:b w:val="false"/>
                <w:bCs w:val="false"/>
                <w:i w:val="false"/>
                <w:iCs w:val="false"/>
                <w:sz w:val="15"/>
                <w:szCs w:val="15"/>
              </w:rPr>
              <w:t xml:space="preserve">Carbohydrate (KDO)</w:t>
            </w:r>
          </w:p>
        </w:tc>
        <w:tc>
          <w:tcPr>
            <w:tcW w:type="dxa" w:w="1400"/>
            <w:tcMar>
              <w:top w:type="dxa" w:w="60"/>
              <w:left w:type="dxa" w:w="80"/>
              <w:bottom w:type="dxa" w:w="60"/>
              <w:right w:type="dxa" w:w="80"/>
            </w:tcMar>
            <w:vAlign w:val="top"/>
          </w:tcPr>
          <w:p>
            <w:pPr>
              <w:spacing w:after="0"/>
            </w:pPr>
            <w:r>
              <w:rPr>
                <w:b w:val="false"/>
                <w:bCs w:val="false"/>
                <w:i w:val="false"/>
                <w:iCs w:val="false"/>
                <w:sz w:val="17"/>
                <w:szCs w:val="17"/>
              </w:rPr>
              <w:t xml:space="preserve">-</w:t>
            </w:r>
          </w:p>
        </w:tc>
        <w:tc>
          <w:tcPr>
            <w:tcW w:type="dxa" w:w="2800"/>
            <w:tcMar>
              <w:top w:type="dxa" w:w="60"/>
              <w:left w:type="dxa" w:w="80"/>
              <w:bottom w:type="dxa" w:w="60"/>
              <w:right w:type="dxa" w:w="80"/>
            </w:tcMar>
            <w:vAlign w:val="top"/>
          </w:tcPr>
          <w:p>
            <w:pPr>
              <w:spacing w:after="0"/>
            </w:pPr>
            <w:r>
              <w:rPr>
                <w:b w:val="false"/>
                <w:bCs w:val="false"/>
                <w:i w:val="false"/>
                <w:iCs w:val="false"/>
                <w:sz w:val="15"/>
                <w:szCs w:val="15"/>
              </w:rPr>
              <w:t xml:space="preserve">990 (KDO)</w:t>
            </w:r>
          </w:p>
        </w:tc>
        <w:tc>
          <w:tcPr>
            <w:tcW w:type="dxa" w:w="3100"/>
            <w:shd w:fill="FDEBD0" w:val="clear"/>
            <w:tcMar>
              <w:top w:type="dxa" w:w="60"/>
              <w:left w:type="dxa" w:w="80"/>
              <w:bottom w:type="dxa" w:w="60"/>
              <w:right w:type="dxa" w:w="80"/>
            </w:tcMar>
            <w:vAlign w:val="top"/>
          </w:tcPr>
          <w:p>
            <w:pPr>
              <w:spacing w:after="0"/>
            </w:pPr>
            <w:r>
              <w:rPr>
                <w:b w:val="false"/>
                <w:bCs w:val="false"/>
                <w:i w:val="false"/>
                <w:iCs w:val="false"/>
                <w:sz w:val="15"/>
                <w:szCs w:val="15"/>
              </w:rPr>
              <w:t xml:space="preserve">Literature/DFT only (theory places a mode here; no major exp peak detected)</w:t>
            </w:r>
          </w:p>
        </w:tc>
      </w:tr>
      <w:tr>
        <w:tc>
          <w:tcPr>
            <w:tcW w:type="dxa" w:w="1200"/>
            <w:tcMar>
              <w:top w:type="dxa" w:w="60"/>
              <w:left w:type="dxa" w:w="80"/>
              <w:bottom w:type="dxa" w:w="60"/>
              <w:right w:type="dxa" w:w="80"/>
            </w:tcMar>
            <w:vAlign w:val="top"/>
          </w:tcPr>
          <w:p>
            <w:pPr>
              <w:spacing w:after="0"/>
            </w:pPr>
            <w:r>
              <w:rPr>
                <w:b w:val="false"/>
                <w:bCs w:val="false"/>
                <w:i w:val="false"/>
                <w:iCs w:val="false"/>
                <w:sz w:val="17"/>
                <w:szCs w:val="17"/>
              </w:rPr>
              <w:t xml:space="preserve">1131</w:t>
            </w:r>
          </w:p>
        </w:tc>
        <w:tc>
          <w:tcPr>
            <w:tcW w:type="dxa" w:w="2600"/>
            <w:tcMar>
              <w:top w:type="dxa" w:w="60"/>
              <w:left w:type="dxa" w:w="80"/>
              <w:bottom w:type="dxa" w:w="60"/>
              <w:right w:type="dxa" w:w="80"/>
            </w:tcMar>
            <w:vAlign w:val="top"/>
          </w:tcPr>
          <w:p>
            <w:pPr>
              <w:spacing w:after="0"/>
            </w:pPr>
            <w:r>
              <w:rPr>
                <w:b w:val="false"/>
                <w:bCs w:val="false"/>
                <w:i w:val="false"/>
                <w:iCs w:val="false"/>
                <w:sz w:val="15"/>
                <w:szCs w:val="15"/>
              </w:rPr>
              <w:t xml:space="preserve">A (Wu 2021, both LPS types) + Kundu-text</w:t>
            </w:r>
          </w:p>
        </w:tc>
        <w:tc>
          <w:tcPr>
            <w:tcW w:type="dxa" w:w="3000"/>
            <w:tcMar>
              <w:top w:type="dxa" w:w="60"/>
              <w:left w:type="dxa" w:w="80"/>
              <w:bottom w:type="dxa" w:w="60"/>
              <w:right w:type="dxa" w:w="80"/>
            </w:tcMar>
            <w:vAlign w:val="top"/>
          </w:tcPr>
          <w:p>
            <w:pPr>
              <w:spacing w:after="0"/>
            </w:pPr>
            <w:r>
              <w:rPr>
                <w:b w:val="false"/>
                <w:bCs w:val="false"/>
                <w:i w:val="false"/>
                <w:iCs w:val="false"/>
                <w:sz w:val="15"/>
                <w:szCs w:val="15"/>
              </w:rPr>
              <w:t xml:space="preserve">Fatty acid C-C / lipid vibrations</w:t>
            </w:r>
          </w:p>
        </w:tc>
        <w:tc>
          <w:tcPr>
            <w:tcW w:type="dxa" w:w="1400"/>
            <w:tcMar>
              <w:top w:type="dxa" w:w="60"/>
              <w:left w:type="dxa" w:w="80"/>
              <w:bottom w:type="dxa" w:w="60"/>
              <w:right w:type="dxa" w:w="80"/>
            </w:tcMar>
            <w:vAlign w:val="top"/>
          </w:tcPr>
          <w:p>
            <w:pPr>
              <w:spacing w:after="0"/>
            </w:pPr>
            <w:r>
              <w:rPr>
                <w:b w:val="false"/>
                <w:bCs w:val="false"/>
                <w:i w:val="false"/>
                <w:iCs w:val="false"/>
                <w:sz w:val="17"/>
                <w:szCs w:val="17"/>
              </w:rPr>
              <w:t xml:space="preserve">1124</w:t>
            </w:r>
          </w:p>
        </w:tc>
        <w:tc>
          <w:tcPr>
            <w:tcW w:type="dxa" w:w="2800"/>
            <w:tcMar>
              <w:top w:type="dxa" w:w="60"/>
              <w:left w:type="dxa" w:w="80"/>
              <w:bottom w:type="dxa" w:w="60"/>
              <w:right w:type="dxa" w:w="80"/>
            </w:tcMar>
            <w:vAlign w:val="top"/>
          </w:tcPr>
          <w:p>
            <w:pPr>
              <w:spacing w:after="0"/>
            </w:pPr>
            <w:r>
              <w:rPr>
                <w:b w:val="false"/>
                <w:bCs w:val="false"/>
                <w:i w:val="false"/>
                <w:iCs w:val="false"/>
                <w:sz w:val="15"/>
                <w:szCs w:val="15"/>
              </w:rPr>
              <w:t xml:space="preserve">1122 (KDO, Moderate)</w:t>
            </w:r>
          </w:p>
        </w:tc>
        <w:tc>
          <w:tcPr>
            <w:tcW w:type="dxa" w:w="3100"/>
            <w:shd w:fill="D5F5E3" w:val="clear"/>
            <w:tcMar>
              <w:top w:type="dxa" w:w="60"/>
              <w:left w:type="dxa" w:w="80"/>
              <w:bottom w:type="dxa" w:w="60"/>
              <w:right w:type="dxa" w:w="80"/>
            </w:tcMar>
            <w:vAlign w:val="top"/>
          </w:tcPr>
          <w:p>
            <w:pPr>
              <w:spacing w:after="0"/>
            </w:pPr>
            <w:r>
              <w:rPr>
                <w:b w:val="false"/>
                <w:bCs w:val="false"/>
                <w:i w:val="false"/>
                <w:iCs w:val="false"/>
                <w:sz w:val="15"/>
                <w:szCs w:val="15"/>
              </w:rPr>
              <w:t xml:space="preserve">Strong (literature -&gt; our powder -&gt; DFT-supported)</w:t>
            </w:r>
          </w:p>
        </w:tc>
      </w:tr>
      <w:tr>
        <w:tc>
          <w:tcPr>
            <w:tcW w:type="dxa" w:w="1200"/>
            <w:tcMar>
              <w:top w:type="dxa" w:w="60"/>
              <w:left w:type="dxa" w:w="80"/>
              <w:bottom w:type="dxa" w:w="60"/>
              <w:right w:type="dxa" w:w="80"/>
            </w:tcMar>
            <w:vAlign w:val="top"/>
          </w:tcPr>
          <w:p>
            <w:pPr>
              <w:spacing w:after="0"/>
            </w:pPr>
            <w:r>
              <w:rPr>
                <w:b w:val="false"/>
                <w:bCs w:val="false"/>
                <w:i w:val="false"/>
                <w:iCs w:val="false"/>
                <w:sz w:val="17"/>
                <w:szCs w:val="17"/>
              </w:rPr>
              <w:t xml:space="preserve">1330</w:t>
            </w:r>
          </w:p>
        </w:tc>
        <w:tc>
          <w:tcPr>
            <w:tcW w:type="dxa" w:w="2600"/>
            <w:tcMar>
              <w:top w:type="dxa" w:w="60"/>
              <w:left w:type="dxa" w:w="80"/>
              <w:bottom w:type="dxa" w:w="60"/>
              <w:right w:type="dxa" w:w="80"/>
            </w:tcMar>
            <w:vAlign w:val="top"/>
          </w:tcPr>
          <w:p>
            <w:pPr>
              <w:spacing w:after="0"/>
            </w:pPr>
            <w:r>
              <w:rPr>
                <w:b w:val="false"/>
                <w:bCs w:val="false"/>
                <w:i w:val="false"/>
                <w:iCs w:val="false"/>
                <w:sz w:val="15"/>
                <w:szCs w:val="15"/>
              </w:rPr>
              <w:t xml:space="preserve">A (Wu 2021, both LPS types)</w:t>
            </w:r>
          </w:p>
        </w:tc>
        <w:tc>
          <w:tcPr>
            <w:tcW w:type="dxa" w:w="3000"/>
            <w:tcMar>
              <w:top w:type="dxa" w:w="60"/>
              <w:left w:type="dxa" w:w="80"/>
              <w:bottom w:type="dxa" w:w="60"/>
              <w:right w:type="dxa" w:w="80"/>
            </w:tcMar>
            <w:vAlign w:val="top"/>
          </w:tcPr>
          <w:p>
            <w:pPr>
              <w:spacing w:after="0"/>
            </w:pPr>
            <w:r>
              <w:rPr>
                <w:b w:val="false"/>
                <w:bCs w:val="false"/>
                <w:i w:val="false"/>
                <w:iCs w:val="false"/>
                <w:sz w:val="15"/>
                <w:szCs w:val="15"/>
              </w:rPr>
              <w:t xml:space="preserve">Phospholipid delta(CH)</w:t>
            </w:r>
          </w:p>
        </w:tc>
        <w:tc>
          <w:tcPr>
            <w:tcW w:type="dxa" w:w="1400"/>
            <w:tcMar>
              <w:top w:type="dxa" w:w="60"/>
              <w:left w:type="dxa" w:w="80"/>
              <w:bottom w:type="dxa" w:w="60"/>
              <w:right w:type="dxa" w:w="80"/>
            </w:tcMar>
            <w:vAlign w:val="top"/>
          </w:tcPr>
          <w:p>
            <w:pPr>
              <w:spacing w:after="0"/>
            </w:pPr>
            <w:r>
              <w:rPr>
                <w:b w:val="false"/>
                <w:bCs w:val="false"/>
                <w:i w:val="false"/>
                <w:iCs w:val="false"/>
                <w:sz w:val="17"/>
                <w:szCs w:val="17"/>
              </w:rPr>
              <w:t xml:space="preserve">-</w:t>
            </w:r>
          </w:p>
        </w:tc>
        <w:tc>
          <w:tcPr>
            <w:tcW w:type="dxa" w:w="2800"/>
            <w:tcMar>
              <w:top w:type="dxa" w:w="60"/>
              <w:left w:type="dxa" w:w="80"/>
              <w:bottom w:type="dxa" w:w="60"/>
              <w:right w:type="dxa" w:w="80"/>
            </w:tcMar>
            <w:vAlign w:val="top"/>
          </w:tcPr>
          <w:p>
            <w:pPr>
              <w:spacing w:after="0"/>
            </w:pPr>
            <w:r>
              <w:rPr>
                <w:b w:val="false"/>
                <w:bCs w:val="false"/>
                <w:i w:val="false"/>
                <w:iCs w:val="false"/>
                <w:sz w:val="15"/>
                <w:szCs w:val="15"/>
              </w:rPr>
              <w:t xml:space="preserve">1330 (KDO)</w:t>
            </w:r>
          </w:p>
        </w:tc>
        <w:tc>
          <w:tcPr>
            <w:tcW w:type="dxa" w:w="3100"/>
            <w:shd w:fill="FDEBD0" w:val="clear"/>
            <w:tcMar>
              <w:top w:type="dxa" w:w="60"/>
              <w:left w:type="dxa" w:w="80"/>
              <w:bottom w:type="dxa" w:w="60"/>
              <w:right w:type="dxa" w:w="80"/>
            </w:tcMar>
            <w:vAlign w:val="top"/>
          </w:tcPr>
          <w:p>
            <w:pPr>
              <w:spacing w:after="0"/>
            </w:pPr>
            <w:r>
              <w:rPr>
                <w:b w:val="false"/>
                <w:bCs w:val="false"/>
                <w:i w:val="false"/>
                <w:iCs w:val="false"/>
                <w:sz w:val="15"/>
                <w:szCs w:val="15"/>
              </w:rPr>
              <w:t xml:space="preserve">Literature/DFT only (theory places a mode here; no major exp peak detected)</w:t>
            </w:r>
          </w:p>
        </w:tc>
      </w:tr>
      <w:tr>
        <w:tc>
          <w:tcPr>
            <w:tcW w:type="dxa" w:w="1200"/>
            <w:tcMar>
              <w:top w:type="dxa" w:w="60"/>
              <w:left w:type="dxa" w:w="80"/>
              <w:bottom w:type="dxa" w:w="60"/>
              <w:right w:type="dxa" w:w="80"/>
            </w:tcMar>
            <w:vAlign w:val="top"/>
          </w:tcPr>
          <w:p>
            <w:pPr>
              <w:spacing w:after="0"/>
            </w:pPr>
            <w:r>
              <w:rPr>
                <w:b w:val="false"/>
                <w:bCs w:val="false"/>
                <w:i w:val="false"/>
                <w:iCs w:val="false"/>
                <w:sz w:val="17"/>
                <w:szCs w:val="17"/>
              </w:rPr>
              <w:t xml:space="preserve">1450</w:t>
            </w:r>
          </w:p>
        </w:tc>
        <w:tc>
          <w:tcPr>
            <w:tcW w:type="dxa" w:w="2600"/>
            <w:tcMar>
              <w:top w:type="dxa" w:w="60"/>
              <w:left w:type="dxa" w:w="80"/>
              <w:bottom w:type="dxa" w:w="60"/>
              <w:right w:type="dxa" w:w="80"/>
            </w:tcMar>
            <w:vAlign w:val="top"/>
          </w:tcPr>
          <w:p>
            <w:pPr>
              <w:spacing w:after="0"/>
            </w:pPr>
            <w:r>
              <w:rPr>
                <w:b w:val="false"/>
                <w:bCs w:val="false"/>
                <w:i w:val="false"/>
                <w:iCs w:val="false"/>
                <w:sz w:val="15"/>
                <w:szCs w:val="15"/>
              </w:rPr>
              <w:t xml:space="preserve">A (Wu 2021, Enteric LPS)</w:t>
            </w:r>
          </w:p>
        </w:tc>
        <w:tc>
          <w:tcPr>
            <w:tcW w:type="dxa" w:w="3000"/>
            <w:tcMar>
              <w:top w:type="dxa" w:w="60"/>
              <w:left w:type="dxa" w:w="80"/>
              <w:bottom w:type="dxa" w:w="60"/>
              <w:right w:type="dxa" w:w="80"/>
            </w:tcMar>
            <w:vAlign w:val="top"/>
          </w:tcPr>
          <w:p>
            <w:pPr>
              <w:spacing w:after="0"/>
            </w:pPr>
            <w:r>
              <w:rPr>
                <w:b w:val="false"/>
                <w:bCs w:val="false"/>
                <w:i w:val="false"/>
                <w:iCs w:val="false"/>
                <w:sz w:val="15"/>
                <w:szCs w:val="15"/>
              </w:rPr>
              <w:t xml:space="preserve">CH3/CH2 deformation</w:t>
            </w:r>
          </w:p>
        </w:tc>
        <w:tc>
          <w:tcPr>
            <w:tcW w:type="dxa" w:w="1400"/>
            <w:tcMar>
              <w:top w:type="dxa" w:w="60"/>
              <w:left w:type="dxa" w:w="80"/>
              <w:bottom w:type="dxa" w:w="60"/>
              <w:right w:type="dxa" w:w="80"/>
            </w:tcMar>
            <w:vAlign w:val="top"/>
          </w:tcPr>
          <w:p>
            <w:pPr>
              <w:spacing w:after="0"/>
            </w:pPr>
            <w:r>
              <w:rPr>
                <w:b w:val="false"/>
                <w:bCs w:val="false"/>
                <w:i w:val="false"/>
                <w:iCs w:val="false"/>
                <w:sz w:val="17"/>
                <w:szCs w:val="17"/>
              </w:rPr>
              <w:t xml:space="preserve">-</w:t>
            </w:r>
          </w:p>
        </w:tc>
        <w:tc>
          <w:tcPr>
            <w:tcW w:type="dxa" w:w="2800"/>
            <w:tcMar>
              <w:top w:type="dxa" w:w="60"/>
              <w:left w:type="dxa" w:w="80"/>
              <w:bottom w:type="dxa" w:w="60"/>
              <w:right w:type="dxa" w:w="80"/>
            </w:tcMar>
            <w:vAlign w:val="top"/>
          </w:tcPr>
          <w:p>
            <w:pPr>
              <w:spacing w:after="0"/>
            </w:pPr>
            <w:r>
              <w:rPr>
                <w:b w:val="false"/>
                <w:bCs w:val="false"/>
                <w:i w:val="false"/>
                <w:iCs w:val="false"/>
                <w:sz w:val="15"/>
                <w:szCs w:val="15"/>
              </w:rPr>
              <w:t xml:space="preserve">1458 (Myristic_Acid)</w:t>
            </w:r>
          </w:p>
        </w:tc>
        <w:tc>
          <w:tcPr>
            <w:tcW w:type="dxa" w:w="3100"/>
            <w:shd w:fill="FDEBD0" w:val="clear"/>
            <w:tcMar>
              <w:top w:type="dxa" w:w="60"/>
              <w:left w:type="dxa" w:w="80"/>
              <w:bottom w:type="dxa" w:w="60"/>
              <w:right w:type="dxa" w:w="80"/>
            </w:tcMar>
            <w:vAlign w:val="top"/>
          </w:tcPr>
          <w:p>
            <w:pPr>
              <w:spacing w:after="0"/>
            </w:pPr>
            <w:r>
              <w:rPr>
                <w:b w:val="false"/>
                <w:bCs w:val="false"/>
                <w:i w:val="false"/>
                <w:iCs w:val="false"/>
                <w:sz w:val="15"/>
                <w:szCs w:val="15"/>
              </w:rPr>
              <w:t xml:space="preserve">Literature/DFT only (theory places a mode here; no major exp peak detected)</w:t>
            </w:r>
          </w:p>
        </w:tc>
      </w:tr>
      <w:tr>
        <w:tc>
          <w:tcPr>
            <w:tcW w:type="dxa" w:w="1200"/>
            <w:tcMar>
              <w:top w:type="dxa" w:w="60"/>
              <w:left w:type="dxa" w:w="80"/>
              <w:bottom w:type="dxa" w:w="60"/>
              <w:right w:type="dxa" w:w="80"/>
            </w:tcMar>
            <w:vAlign w:val="top"/>
          </w:tcPr>
          <w:p>
            <w:pPr>
              <w:spacing w:after="0"/>
            </w:pPr>
            <w:r>
              <w:rPr>
                <w:b w:val="false"/>
                <w:bCs w:val="false"/>
                <w:i w:val="false"/>
                <w:iCs w:val="false"/>
                <w:sz w:val="17"/>
                <w:szCs w:val="17"/>
              </w:rPr>
              <w:t xml:space="preserve">543</w:t>
            </w:r>
          </w:p>
        </w:tc>
        <w:tc>
          <w:tcPr>
            <w:tcW w:type="dxa" w:w="2600"/>
            <w:tcMar>
              <w:top w:type="dxa" w:w="60"/>
              <w:left w:type="dxa" w:w="80"/>
              <w:bottom w:type="dxa" w:w="60"/>
              <w:right w:type="dxa" w:w="80"/>
            </w:tcMar>
            <w:vAlign w:val="top"/>
          </w:tcPr>
          <w:p>
            <w:pPr>
              <w:spacing w:after="0"/>
            </w:pPr>
            <w:r>
              <w:rPr>
                <w:b w:val="false"/>
                <w:bCs w:val="false"/>
                <w:i w:val="false"/>
                <w:iCs w:val="false"/>
                <w:sz w:val="15"/>
                <w:szCs w:val="15"/>
              </w:rPr>
              <w:t xml:space="preserve">A2 (Wu 2021, N. meningitidis LPS)</w:t>
            </w:r>
          </w:p>
        </w:tc>
        <w:tc>
          <w:tcPr>
            <w:tcW w:type="dxa" w:w="3000"/>
            <w:tcMar>
              <w:top w:type="dxa" w:w="60"/>
              <w:left w:type="dxa" w:w="80"/>
              <w:bottom w:type="dxa" w:w="60"/>
              <w:right w:type="dxa" w:w="80"/>
            </w:tcMar>
            <w:vAlign w:val="top"/>
          </w:tcPr>
          <w:p>
            <w:pPr>
              <w:spacing w:after="0"/>
            </w:pPr>
            <w:r>
              <w:rPr>
                <w:b w:val="false"/>
                <w:bCs w:val="false"/>
                <w:i w:val="false"/>
                <w:iCs w:val="false"/>
                <w:sz w:val="15"/>
                <w:szCs w:val="15"/>
              </w:rPr>
              <w:t xml:space="preserve">Glycosidic ring</w:t>
            </w:r>
          </w:p>
        </w:tc>
        <w:tc>
          <w:tcPr>
            <w:tcW w:type="dxa" w:w="1400"/>
            <w:tcMar>
              <w:top w:type="dxa" w:w="60"/>
              <w:left w:type="dxa" w:w="80"/>
              <w:bottom w:type="dxa" w:w="60"/>
              <w:right w:type="dxa" w:w="80"/>
            </w:tcMar>
            <w:vAlign w:val="top"/>
          </w:tcPr>
          <w:p>
            <w:pPr>
              <w:spacing w:after="0"/>
            </w:pPr>
            <w:r>
              <w:rPr>
                <w:b w:val="false"/>
                <w:bCs w:val="false"/>
                <w:i w:val="false"/>
                <w:iCs w:val="false"/>
                <w:sz w:val="17"/>
                <w:szCs w:val="17"/>
              </w:rPr>
              <w:t xml:space="preserve">542</w:t>
            </w:r>
          </w:p>
        </w:tc>
        <w:tc>
          <w:tcPr>
            <w:tcW w:type="dxa" w:w="2800"/>
            <w:tcMar>
              <w:top w:type="dxa" w:w="60"/>
              <w:left w:type="dxa" w:w="80"/>
              <w:bottom w:type="dxa" w:w="60"/>
              <w:right w:type="dxa" w:w="80"/>
            </w:tcMar>
            <w:vAlign w:val="top"/>
          </w:tcPr>
          <w:p>
            <w:pPr>
              <w:spacing w:after="0"/>
            </w:pPr>
            <w:r>
              <w:rPr>
                <w:b w:val="false"/>
                <w:bCs w:val="false"/>
                <w:i w:val="false"/>
                <w:iCs w:val="false"/>
                <w:sz w:val="15"/>
                <w:szCs w:val="15"/>
              </w:rPr>
              <w:t xml:space="preserve">542 (Heptose, Moderate)</w:t>
            </w:r>
          </w:p>
        </w:tc>
        <w:tc>
          <w:tcPr>
            <w:tcW w:type="dxa" w:w="3100"/>
            <w:shd w:fill="D5F5E3" w:val="clear"/>
            <w:tcMar>
              <w:top w:type="dxa" w:w="60"/>
              <w:left w:type="dxa" w:w="80"/>
              <w:bottom w:type="dxa" w:w="60"/>
              <w:right w:type="dxa" w:w="80"/>
            </w:tcMar>
            <w:vAlign w:val="top"/>
          </w:tcPr>
          <w:p>
            <w:pPr>
              <w:spacing w:after="0"/>
            </w:pPr>
            <w:r>
              <w:rPr>
                <w:b w:val="false"/>
                <w:bCs w:val="false"/>
                <w:i w:val="false"/>
                <w:iCs w:val="false"/>
                <w:sz w:val="15"/>
                <w:szCs w:val="15"/>
              </w:rPr>
              <w:t xml:space="preserve">Strong (literature -&gt; our powder -&gt; DFT-supported)</w:t>
            </w:r>
          </w:p>
        </w:tc>
      </w:tr>
      <w:tr>
        <w:tc>
          <w:tcPr>
            <w:tcW w:type="dxa" w:w="1200"/>
            <w:tcMar>
              <w:top w:type="dxa" w:w="60"/>
              <w:left w:type="dxa" w:w="80"/>
              <w:bottom w:type="dxa" w:w="60"/>
              <w:right w:type="dxa" w:w="80"/>
            </w:tcMar>
            <w:vAlign w:val="top"/>
          </w:tcPr>
          <w:p>
            <w:pPr>
              <w:spacing w:after="0"/>
            </w:pPr>
            <w:r>
              <w:rPr>
                <w:b w:val="false"/>
                <w:bCs w:val="false"/>
                <w:i w:val="false"/>
                <w:iCs w:val="false"/>
                <w:sz w:val="17"/>
                <w:szCs w:val="17"/>
              </w:rPr>
              <w:t xml:space="preserve">552</w:t>
            </w:r>
          </w:p>
        </w:tc>
        <w:tc>
          <w:tcPr>
            <w:tcW w:type="dxa" w:w="2600"/>
            <w:tcMar>
              <w:top w:type="dxa" w:w="60"/>
              <w:left w:type="dxa" w:w="80"/>
              <w:bottom w:type="dxa" w:w="60"/>
              <w:right w:type="dxa" w:w="80"/>
            </w:tcMar>
            <w:vAlign w:val="top"/>
          </w:tcPr>
          <w:p>
            <w:pPr>
              <w:spacing w:after="0"/>
            </w:pPr>
            <w:r>
              <w:rPr>
                <w:b w:val="false"/>
                <w:bCs w:val="false"/>
                <w:i w:val="false"/>
                <w:iCs w:val="false"/>
                <w:sz w:val="15"/>
                <w:szCs w:val="15"/>
              </w:rPr>
              <w:t xml:space="preserve">A2 (Wu 2021, N. meningitidis LPS)</w:t>
            </w:r>
          </w:p>
        </w:tc>
        <w:tc>
          <w:tcPr>
            <w:tcW w:type="dxa" w:w="3000"/>
            <w:tcMar>
              <w:top w:type="dxa" w:w="60"/>
              <w:left w:type="dxa" w:w="80"/>
              <w:bottom w:type="dxa" w:w="60"/>
              <w:right w:type="dxa" w:w="80"/>
            </w:tcMar>
            <w:vAlign w:val="top"/>
          </w:tcPr>
          <w:p>
            <w:pPr>
              <w:spacing w:after="0"/>
            </w:pPr>
            <w:r>
              <w:rPr>
                <w:b w:val="false"/>
                <w:bCs w:val="false"/>
                <w:i w:val="false"/>
                <w:iCs w:val="false"/>
                <w:sz w:val="15"/>
                <w:szCs w:val="15"/>
              </w:rPr>
              <w:t xml:space="preserve">Lipid ring</w:t>
            </w:r>
          </w:p>
        </w:tc>
        <w:tc>
          <w:tcPr>
            <w:tcW w:type="dxa" w:w="1400"/>
            <w:tcMar>
              <w:top w:type="dxa" w:w="60"/>
              <w:left w:type="dxa" w:w="80"/>
              <w:bottom w:type="dxa" w:w="60"/>
              <w:right w:type="dxa" w:w="80"/>
            </w:tcMar>
            <w:vAlign w:val="top"/>
          </w:tcPr>
          <w:p>
            <w:pPr>
              <w:spacing w:after="0"/>
            </w:pPr>
            <w:r>
              <w:rPr>
                <w:b w:val="false"/>
                <w:bCs w:val="false"/>
                <w:i w:val="false"/>
                <w:iCs w:val="false"/>
                <w:sz w:val="17"/>
                <w:szCs w:val="17"/>
              </w:rPr>
              <w:t xml:space="preserve">542</w:t>
            </w:r>
          </w:p>
        </w:tc>
        <w:tc>
          <w:tcPr>
            <w:tcW w:type="dxa" w:w="2800"/>
            <w:tcMar>
              <w:top w:type="dxa" w:w="60"/>
              <w:left w:type="dxa" w:w="80"/>
              <w:bottom w:type="dxa" w:w="60"/>
              <w:right w:type="dxa" w:w="80"/>
            </w:tcMar>
            <w:vAlign w:val="top"/>
          </w:tcPr>
          <w:p>
            <w:pPr>
              <w:spacing w:after="0"/>
            </w:pPr>
            <w:r>
              <w:rPr>
                <w:b w:val="false"/>
                <w:bCs w:val="false"/>
                <w:i w:val="false"/>
                <w:iCs w:val="false"/>
                <w:sz w:val="15"/>
                <w:szCs w:val="15"/>
              </w:rPr>
              <w:t xml:space="preserve">542 (Heptose, Moderate)</w:t>
            </w:r>
          </w:p>
        </w:tc>
        <w:tc>
          <w:tcPr>
            <w:tcW w:type="dxa" w:w="3100"/>
            <w:shd w:fill="D5F5E3" w:val="clear"/>
            <w:tcMar>
              <w:top w:type="dxa" w:w="60"/>
              <w:left w:type="dxa" w:w="80"/>
              <w:bottom w:type="dxa" w:w="60"/>
              <w:right w:type="dxa" w:w="80"/>
            </w:tcMar>
            <w:vAlign w:val="top"/>
          </w:tcPr>
          <w:p>
            <w:pPr>
              <w:spacing w:after="0"/>
            </w:pPr>
            <w:r>
              <w:rPr>
                <w:b w:val="false"/>
                <w:bCs w:val="false"/>
                <w:i w:val="false"/>
                <w:iCs w:val="false"/>
                <w:sz w:val="15"/>
                <w:szCs w:val="15"/>
              </w:rPr>
              <w:t xml:space="preserve">Strong (literature -&gt; our powder -&gt; DFT-supported)</w:t>
            </w:r>
          </w:p>
        </w:tc>
      </w:tr>
      <w:tr>
        <w:tc>
          <w:tcPr>
            <w:tcW w:type="dxa" w:w="1200"/>
            <w:tcMar>
              <w:top w:type="dxa" w:w="60"/>
              <w:left w:type="dxa" w:w="80"/>
              <w:bottom w:type="dxa" w:w="60"/>
              <w:right w:type="dxa" w:w="80"/>
            </w:tcMar>
            <w:vAlign w:val="top"/>
          </w:tcPr>
          <w:p>
            <w:pPr>
              <w:spacing w:after="0"/>
            </w:pPr>
            <w:r>
              <w:rPr>
                <w:b w:val="false"/>
                <w:bCs w:val="false"/>
                <w:i w:val="false"/>
                <w:iCs w:val="false"/>
                <w:sz w:val="17"/>
                <w:szCs w:val="17"/>
              </w:rPr>
              <w:t xml:space="preserve">715</w:t>
            </w:r>
          </w:p>
        </w:tc>
        <w:tc>
          <w:tcPr>
            <w:tcW w:type="dxa" w:w="2600"/>
            <w:tcMar>
              <w:top w:type="dxa" w:w="60"/>
              <w:left w:type="dxa" w:w="80"/>
              <w:bottom w:type="dxa" w:w="60"/>
              <w:right w:type="dxa" w:w="80"/>
            </w:tcMar>
            <w:vAlign w:val="top"/>
          </w:tcPr>
          <w:p>
            <w:pPr>
              <w:spacing w:after="0"/>
            </w:pPr>
            <w:r>
              <w:rPr>
                <w:b w:val="false"/>
                <w:bCs w:val="false"/>
                <w:i w:val="false"/>
                <w:iCs w:val="false"/>
                <w:sz w:val="15"/>
                <w:szCs w:val="15"/>
              </w:rPr>
              <w:t xml:space="preserve">A2 (Wu 2021, N. meningitidis LPS)</w:t>
            </w:r>
          </w:p>
        </w:tc>
        <w:tc>
          <w:tcPr>
            <w:tcW w:type="dxa" w:w="3000"/>
            <w:tcMar>
              <w:top w:type="dxa" w:w="60"/>
              <w:left w:type="dxa" w:w="80"/>
              <w:bottom w:type="dxa" w:w="60"/>
              <w:right w:type="dxa" w:w="80"/>
            </w:tcMar>
            <w:vAlign w:val="top"/>
          </w:tcPr>
          <w:p>
            <w:pPr>
              <w:spacing w:after="0"/>
            </w:pPr>
            <w:r>
              <w:rPr>
                <w:b w:val="false"/>
                <w:bCs w:val="false"/>
                <w:i w:val="false"/>
                <w:iCs w:val="false"/>
                <w:sz w:val="15"/>
                <w:szCs w:val="15"/>
              </w:rPr>
              <w:t xml:space="preserve">C-N</w:t>
            </w:r>
          </w:p>
        </w:tc>
        <w:tc>
          <w:tcPr>
            <w:tcW w:type="dxa" w:w="1400"/>
            <w:tcMar>
              <w:top w:type="dxa" w:w="60"/>
              <w:left w:type="dxa" w:w="80"/>
              <w:bottom w:type="dxa" w:w="60"/>
              <w:right w:type="dxa" w:w="80"/>
            </w:tcMar>
            <w:vAlign w:val="top"/>
          </w:tcPr>
          <w:p>
            <w:pPr>
              <w:spacing w:after="0"/>
            </w:pPr>
            <w:r>
              <w:rPr>
                <w:b w:val="false"/>
                <w:bCs w:val="false"/>
                <w:i w:val="false"/>
                <w:iCs w:val="false"/>
                <w:sz w:val="17"/>
                <w:szCs w:val="17"/>
              </w:rPr>
              <w:t xml:space="preserve">721</w:t>
            </w:r>
          </w:p>
        </w:tc>
        <w:tc>
          <w:tcPr>
            <w:tcW w:type="dxa" w:w="2800"/>
            <w:tcMar>
              <w:top w:type="dxa" w:w="60"/>
              <w:left w:type="dxa" w:w="80"/>
              <w:bottom w:type="dxa" w:w="60"/>
              <w:right w:type="dxa" w:w="80"/>
            </w:tcMar>
            <w:vAlign w:val="top"/>
          </w:tcPr>
          <w:p>
            <w:pPr>
              <w:spacing w:after="0"/>
            </w:pPr>
            <w:r>
              <w:rPr>
                <w:b w:val="false"/>
                <w:bCs w:val="false"/>
                <w:i w:val="false"/>
                <w:iCs w:val="false"/>
                <w:sz w:val="15"/>
                <w:szCs w:val="15"/>
              </w:rPr>
              <w:t xml:space="preserve">718 (KDO, High)</w:t>
            </w:r>
          </w:p>
        </w:tc>
        <w:tc>
          <w:tcPr>
            <w:tcW w:type="dxa" w:w="3100"/>
            <w:shd w:fill="D5F5E3" w:val="clear"/>
            <w:tcMar>
              <w:top w:type="dxa" w:w="60"/>
              <w:left w:type="dxa" w:w="80"/>
              <w:bottom w:type="dxa" w:w="60"/>
              <w:right w:type="dxa" w:w="80"/>
            </w:tcMar>
            <w:vAlign w:val="top"/>
          </w:tcPr>
          <w:p>
            <w:pPr>
              <w:spacing w:after="0"/>
            </w:pPr>
            <w:r>
              <w:rPr>
                <w:b w:val="false"/>
                <w:bCs w:val="false"/>
                <w:i w:val="false"/>
                <w:iCs w:val="false"/>
                <w:sz w:val="15"/>
                <w:szCs w:val="15"/>
              </w:rPr>
              <w:t xml:space="preserve">Strong (literature -&gt; our powder -&gt; DFT-supported)</w:t>
            </w:r>
          </w:p>
        </w:tc>
      </w:tr>
      <w:tr>
        <w:tc>
          <w:tcPr>
            <w:tcW w:type="dxa" w:w="1200"/>
            <w:tcMar>
              <w:top w:type="dxa" w:w="60"/>
              <w:left w:type="dxa" w:w="80"/>
              <w:bottom w:type="dxa" w:w="60"/>
              <w:right w:type="dxa" w:w="80"/>
            </w:tcMar>
            <w:vAlign w:val="top"/>
          </w:tcPr>
          <w:p>
            <w:pPr>
              <w:spacing w:after="0"/>
            </w:pPr>
            <w:r>
              <w:rPr>
                <w:b w:val="false"/>
                <w:bCs w:val="false"/>
                <w:i w:val="false"/>
                <w:iCs w:val="false"/>
                <w:sz w:val="17"/>
                <w:szCs w:val="17"/>
              </w:rPr>
              <w:t xml:space="preserve">733</w:t>
            </w:r>
          </w:p>
        </w:tc>
        <w:tc>
          <w:tcPr>
            <w:tcW w:type="dxa" w:w="2600"/>
            <w:tcMar>
              <w:top w:type="dxa" w:w="60"/>
              <w:left w:type="dxa" w:w="80"/>
              <w:bottom w:type="dxa" w:w="60"/>
              <w:right w:type="dxa" w:w="80"/>
            </w:tcMar>
            <w:vAlign w:val="top"/>
          </w:tcPr>
          <w:p>
            <w:pPr>
              <w:spacing w:after="0"/>
            </w:pPr>
            <w:r>
              <w:rPr>
                <w:b w:val="false"/>
                <w:bCs w:val="false"/>
                <w:i w:val="false"/>
                <w:iCs w:val="false"/>
                <w:sz w:val="15"/>
                <w:szCs w:val="15"/>
              </w:rPr>
              <w:t xml:space="preserve">A2 (Wu 2021, N. meningitidis LPS)</w:t>
            </w:r>
          </w:p>
        </w:tc>
        <w:tc>
          <w:tcPr>
            <w:tcW w:type="dxa" w:w="3000"/>
            <w:tcMar>
              <w:top w:type="dxa" w:w="60"/>
              <w:left w:type="dxa" w:w="80"/>
              <w:bottom w:type="dxa" w:w="60"/>
              <w:right w:type="dxa" w:w="80"/>
            </w:tcMar>
            <w:vAlign w:val="top"/>
          </w:tcPr>
          <w:p>
            <w:pPr>
              <w:spacing w:after="0"/>
            </w:pPr>
            <w:r>
              <w:rPr>
                <w:b w:val="false"/>
                <w:bCs w:val="false"/>
                <w:i w:val="false"/>
                <w:iCs w:val="false"/>
                <w:sz w:val="15"/>
                <w:szCs w:val="15"/>
              </w:rPr>
              <w:t xml:space="preserve">Carbohydrate</w:t>
            </w:r>
          </w:p>
        </w:tc>
        <w:tc>
          <w:tcPr>
            <w:tcW w:type="dxa" w:w="1400"/>
            <w:tcMar>
              <w:top w:type="dxa" w:w="60"/>
              <w:left w:type="dxa" w:w="80"/>
              <w:bottom w:type="dxa" w:w="60"/>
              <w:right w:type="dxa" w:w="80"/>
            </w:tcMar>
            <w:vAlign w:val="top"/>
          </w:tcPr>
          <w:p>
            <w:pPr>
              <w:spacing w:after="0"/>
            </w:pPr>
            <w:r>
              <w:rPr>
                <w:b w:val="false"/>
                <w:bCs w:val="false"/>
                <w:i w:val="false"/>
                <w:iCs w:val="false"/>
                <w:sz w:val="17"/>
                <w:szCs w:val="17"/>
              </w:rPr>
              <w:t xml:space="preserve">736</w:t>
            </w:r>
          </w:p>
        </w:tc>
        <w:tc>
          <w:tcPr>
            <w:tcW w:type="dxa" w:w="2800"/>
            <w:tcMar>
              <w:top w:type="dxa" w:w="60"/>
              <w:left w:type="dxa" w:w="80"/>
              <w:bottom w:type="dxa" w:w="60"/>
              <w:right w:type="dxa" w:w="80"/>
            </w:tcMar>
            <w:vAlign w:val="top"/>
          </w:tcPr>
          <w:p>
            <w:pPr>
              <w:spacing w:after="0"/>
            </w:pPr>
            <w:r>
              <w:rPr>
                <w:b w:val="false"/>
                <w:bCs w:val="false"/>
                <w:i w:val="false"/>
                <w:iCs w:val="false"/>
                <w:sz w:val="15"/>
                <w:szCs w:val="15"/>
              </w:rPr>
              <w:t xml:space="preserve">-</w:t>
            </w:r>
          </w:p>
        </w:tc>
        <w:tc>
          <w:tcPr>
            <w:tcW w:type="dxa" w:w="3100"/>
            <w:shd w:fill="FDEBD0" w:val="clear"/>
            <w:tcMar>
              <w:top w:type="dxa" w:w="60"/>
              <w:left w:type="dxa" w:w="80"/>
              <w:bottom w:type="dxa" w:w="60"/>
              <w:right w:type="dxa" w:w="80"/>
            </w:tcMar>
            <w:vAlign w:val="top"/>
          </w:tcPr>
          <w:p>
            <w:pPr>
              <w:spacing w:after="0"/>
            </w:pPr>
            <w:r>
              <w:rPr>
                <w:b w:val="false"/>
                <w:bCs w:val="false"/>
                <w:i w:val="false"/>
                <w:iCs w:val="false"/>
                <w:sz w:val="15"/>
                <w:szCs w:val="15"/>
              </w:rPr>
              <w:t xml:space="preserve">Experimental/Literature only (no DFT-supported match at this exp peak)</w:t>
            </w:r>
          </w:p>
        </w:tc>
      </w:tr>
      <w:tr>
        <w:tc>
          <w:tcPr>
            <w:tcW w:type="dxa" w:w="1200"/>
            <w:tcMar>
              <w:top w:type="dxa" w:w="60"/>
              <w:left w:type="dxa" w:w="80"/>
              <w:bottom w:type="dxa" w:w="60"/>
              <w:right w:type="dxa" w:w="80"/>
            </w:tcMar>
            <w:vAlign w:val="top"/>
          </w:tcPr>
          <w:p>
            <w:pPr>
              <w:spacing w:after="0"/>
            </w:pPr>
            <w:r>
              <w:rPr>
                <w:b w:val="false"/>
                <w:bCs w:val="false"/>
                <w:i w:val="false"/>
                <w:iCs w:val="false"/>
                <w:sz w:val="17"/>
                <w:szCs w:val="17"/>
              </w:rPr>
              <w:t xml:space="preserve">981</w:t>
            </w:r>
          </w:p>
        </w:tc>
        <w:tc>
          <w:tcPr>
            <w:tcW w:type="dxa" w:w="2600"/>
            <w:tcMar>
              <w:top w:type="dxa" w:w="60"/>
              <w:left w:type="dxa" w:w="80"/>
              <w:bottom w:type="dxa" w:w="60"/>
              <w:right w:type="dxa" w:w="80"/>
            </w:tcMar>
            <w:vAlign w:val="top"/>
          </w:tcPr>
          <w:p>
            <w:pPr>
              <w:spacing w:after="0"/>
            </w:pPr>
            <w:r>
              <w:rPr>
                <w:b w:val="false"/>
                <w:bCs w:val="false"/>
                <w:i w:val="false"/>
                <w:iCs w:val="false"/>
                <w:sz w:val="15"/>
                <w:szCs w:val="15"/>
              </w:rPr>
              <w:t xml:space="preserve">A2 (Wu 2021, N. meningitidis LPS)</w:t>
            </w:r>
          </w:p>
        </w:tc>
        <w:tc>
          <w:tcPr>
            <w:tcW w:type="dxa" w:w="3000"/>
            <w:tcMar>
              <w:top w:type="dxa" w:w="60"/>
              <w:left w:type="dxa" w:w="80"/>
              <w:bottom w:type="dxa" w:w="60"/>
              <w:right w:type="dxa" w:w="80"/>
            </w:tcMar>
            <w:vAlign w:val="top"/>
          </w:tcPr>
          <w:p>
            <w:pPr>
              <w:spacing w:after="0"/>
            </w:pPr>
            <w:r>
              <w:rPr>
                <w:b w:val="false"/>
                <w:bCs w:val="false"/>
                <w:i w:val="false"/>
                <w:iCs w:val="false"/>
                <w:sz w:val="15"/>
                <w:szCs w:val="15"/>
              </w:rPr>
              <w:t xml:space="preserve">Lipid beta(CH)</w:t>
            </w:r>
          </w:p>
        </w:tc>
        <w:tc>
          <w:tcPr>
            <w:tcW w:type="dxa" w:w="1400"/>
            <w:tcMar>
              <w:top w:type="dxa" w:w="60"/>
              <w:left w:type="dxa" w:w="80"/>
              <w:bottom w:type="dxa" w:w="60"/>
              <w:right w:type="dxa" w:w="80"/>
            </w:tcMar>
            <w:vAlign w:val="top"/>
          </w:tcPr>
          <w:p>
            <w:pPr>
              <w:spacing w:after="0"/>
            </w:pPr>
            <w:r>
              <w:rPr>
                <w:b w:val="false"/>
                <w:bCs w:val="false"/>
                <w:i w:val="false"/>
                <w:iCs w:val="false"/>
                <w:sz w:val="17"/>
                <w:szCs w:val="17"/>
              </w:rPr>
              <w:t xml:space="preserve">972</w:t>
            </w:r>
          </w:p>
        </w:tc>
        <w:tc>
          <w:tcPr>
            <w:tcW w:type="dxa" w:w="2800"/>
            <w:tcMar>
              <w:top w:type="dxa" w:w="60"/>
              <w:left w:type="dxa" w:w="80"/>
              <w:bottom w:type="dxa" w:w="60"/>
              <w:right w:type="dxa" w:w="80"/>
            </w:tcMar>
            <w:vAlign w:val="top"/>
          </w:tcPr>
          <w:p>
            <w:pPr>
              <w:spacing w:after="0"/>
            </w:pPr>
            <w:r>
              <w:rPr>
                <w:b w:val="false"/>
                <w:bCs w:val="false"/>
                <w:i w:val="false"/>
                <w:iCs w:val="false"/>
                <w:sz w:val="15"/>
                <w:szCs w:val="15"/>
              </w:rPr>
              <w:t xml:space="preserve">962 (Heptose, Moderate)</w:t>
            </w:r>
          </w:p>
        </w:tc>
        <w:tc>
          <w:tcPr>
            <w:tcW w:type="dxa" w:w="3100"/>
            <w:shd w:fill="D5F5E3" w:val="clear"/>
            <w:tcMar>
              <w:top w:type="dxa" w:w="60"/>
              <w:left w:type="dxa" w:w="80"/>
              <w:bottom w:type="dxa" w:w="60"/>
              <w:right w:type="dxa" w:w="80"/>
            </w:tcMar>
            <w:vAlign w:val="top"/>
          </w:tcPr>
          <w:p>
            <w:pPr>
              <w:spacing w:after="0"/>
            </w:pPr>
            <w:r>
              <w:rPr>
                <w:b w:val="false"/>
                <w:bCs w:val="false"/>
                <w:i w:val="false"/>
                <w:iCs w:val="false"/>
                <w:sz w:val="15"/>
                <w:szCs w:val="15"/>
              </w:rPr>
              <w:t xml:space="preserve">Strong (literature -&gt; our powder -&gt; DFT-supported)</w:t>
            </w:r>
          </w:p>
        </w:tc>
      </w:tr>
      <w:tr>
        <w:tc>
          <w:tcPr>
            <w:tcW w:type="dxa" w:w="1200"/>
            <w:tcMar>
              <w:top w:type="dxa" w:w="60"/>
              <w:left w:type="dxa" w:w="80"/>
              <w:bottom w:type="dxa" w:w="60"/>
              <w:right w:type="dxa" w:w="80"/>
            </w:tcMar>
            <w:vAlign w:val="top"/>
          </w:tcPr>
          <w:p>
            <w:pPr>
              <w:spacing w:after="0"/>
            </w:pPr>
            <w:r>
              <w:rPr>
                <w:b w:val="false"/>
                <w:bCs w:val="false"/>
                <w:i w:val="false"/>
                <w:iCs w:val="false"/>
                <w:sz w:val="17"/>
                <w:szCs w:val="17"/>
              </w:rPr>
              <w:t xml:space="preserve">1066</w:t>
            </w:r>
          </w:p>
        </w:tc>
        <w:tc>
          <w:tcPr>
            <w:tcW w:type="dxa" w:w="2600"/>
            <w:tcMar>
              <w:top w:type="dxa" w:w="60"/>
              <w:left w:type="dxa" w:w="80"/>
              <w:bottom w:type="dxa" w:w="60"/>
              <w:right w:type="dxa" w:w="80"/>
            </w:tcMar>
            <w:vAlign w:val="top"/>
          </w:tcPr>
          <w:p>
            <w:pPr>
              <w:spacing w:after="0"/>
            </w:pPr>
            <w:r>
              <w:rPr>
                <w:b w:val="false"/>
                <w:bCs w:val="false"/>
                <w:i w:val="false"/>
                <w:iCs w:val="false"/>
                <w:sz w:val="15"/>
                <w:szCs w:val="15"/>
              </w:rPr>
              <w:t xml:space="preserve">B (Apr-2026 lit. report)</w:t>
            </w:r>
          </w:p>
        </w:tc>
        <w:tc>
          <w:tcPr>
            <w:tcW w:type="dxa" w:w="3000"/>
            <w:tcMar>
              <w:top w:type="dxa" w:w="60"/>
              <w:left w:type="dxa" w:w="80"/>
              <w:bottom w:type="dxa" w:w="60"/>
              <w:right w:type="dxa" w:w="80"/>
            </w:tcMar>
            <w:vAlign w:val="top"/>
          </w:tcPr>
          <w:p>
            <w:pPr>
              <w:spacing w:after="0"/>
            </w:pPr>
            <w:r>
              <w:rPr>
                <w:b w:val="false"/>
                <w:bCs w:val="false"/>
                <w:i w:val="false"/>
                <w:iCs w:val="false"/>
                <w:sz w:val="15"/>
                <w:szCs w:val="15"/>
              </w:rPr>
              <w:t xml:space="preserve">P-O-C / C-O (~1058-1075)</w:t>
            </w:r>
          </w:p>
        </w:tc>
        <w:tc>
          <w:tcPr>
            <w:tcW w:type="dxa" w:w="1400"/>
            <w:tcMar>
              <w:top w:type="dxa" w:w="60"/>
              <w:left w:type="dxa" w:w="80"/>
              <w:bottom w:type="dxa" w:w="60"/>
              <w:right w:type="dxa" w:w="80"/>
            </w:tcMar>
            <w:vAlign w:val="top"/>
          </w:tcPr>
          <w:p>
            <w:pPr>
              <w:spacing w:after="0"/>
            </w:pPr>
            <w:r>
              <w:rPr>
                <w:b w:val="false"/>
                <w:bCs w:val="false"/>
                <w:i w:val="false"/>
                <w:iCs w:val="false"/>
                <w:sz w:val="17"/>
                <w:szCs w:val="17"/>
              </w:rPr>
              <w:t xml:space="preserve">-</w:t>
            </w:r>
          </w:p>
        </w:tc>
        <w:tc>
          <w:tcPr>
            <w:tcW w:type="dxa" w:w="2800"/>
            <w:tcMar>
              <w:top w:type="dxa" w:w="60"/>
              <w:left w:type="dxa" w:w="80"/>
              <w:bottom w:type="dxa" w:w="60"/>
              <w:right w:type="dxa" w:w="80"/>
            </w:tcMar>
            <w:vAlign w:val="top"/>
          </w:tcPr>
          <w:p>
            <w:pPr>
              <w:spacing w:after="0"/>
            </w:pPr>
            <w:r>
              <w:rPr>
                <w:b w:val="false"/>
                <w:bCs w:val="false"/>
                <w:i w:val="false"/>
                <w:iCs w:val="false"/>
                <w:sz w:val="15"/>
                <w:szCs w:val="15"/>
              </w:rPr>
              <w:t xml:space="preserve">1066 (Glucosamine)</w:t>
            </w:r>
          </w:p>
        </w:tc>
        <w:tc>
          <w:tcPr>
            <w:tcW w:type="dxa" w:w="3100"/>
            <w:shd w:fill="FDEBD0" w:val="clear"/>
            <w:tcMar>
              <w:top w:type="dxa" w:w="60"/>
              <w:left w:type="dxa" w:w="80"/>
              <w:bottom w:type="dxa" w:w="60"/>
              <w:right w:type="dxa" w:w="80"/>
            </w:tcMar>
            <w:vAlign w:val="top"/>
          </w:tcPr>
          <w:p>
            <w:pPr>
              <w:spacing w:after="0"/>
            </w:pPr>
            <w:r>
              <w:rPr>
                <w:b w:val="false"/>
                <w:bCs w:val="false"/>
                <w:i w:val="false"/>
                <w:iCs w:val="false"/>
                <w:sz w:val="15"/>
                <w:szCs w:val="15"/>
              </w:rPr>
              <w:t xml:space="preserve">Literature/DFT only (theory places a mode here; no major exp peak detected)</w:t>
            </w:r>
          </w:p>
        </w:tc>
      </w:tr>
      <w:tr>
        <w:tc>
          <w:tcPr>
            <w:tcW w:type="dxa" w:w="1200"/>
            <w:tcMar>
              <w:top w:type="dxa" w:w="60"/>
              <w:left w:type="dxa" w:w="80"/>
              <w:bottom w:type="dxa" w:w="60"/>
              <w:right w:type="dxa" w:w="80"/>
            </w:tcMar>
            <w:vAlign w:val="top"/>
          </w:tcPr>
          <w:p>
            <w:pPr>
              <w:spacing w:after="0"/>
            </w:pPr>
            <w:r>
              <w:rPr>
                <w:b w:val="false"/>
                <w:bCs w:val="false"/>
                <w:i w:val="false"/>
                <w:iCs w:val="false"/>
                <w:sz w:val="17"/>
                <w:szCs w:val="17"/>
              </w:rPr>
              <w:t xml:space="preserve">1230</w:t>
            </w:r>
          </w:p>
        </w:tc>
        <w:tc>
          <w:tcPr>
            <w:tcW w:type="dxa" w:w="2600"/>
            <w:tcMar>
              <w:top w:type="dxa" w:w="60"/>
              <w:left w:type="dxa" w:w="80"/>
              <w:bottom w:type="dxa" w:w="60"/>
              <w:right w:type="dxa" w:w="80"/>
            </w:tcMar>
            <w:vAlign w:val="top"/>
          </w:tcPr>
          <w:p>
            <w:pPr>
              <w:spacing w:after="0"/>
            </w:pPr>
            <w:r>
              <w:rPr>
                <w:b w:val="false"/>
                <w:bCs w:val="false"/>
                <w:i w:val="false"/>
                <w:iCs w:val="false"/>
                <w:sz w:val="15"/>
                <w:szCs w:val="15"/>
              </w:rPr>
              <w:t xml:space="preserve">B (Apr-2026 lit. report, PRIMARY)</w:t>
            </w:r>
          </w:p>
        </w:tc>
        <w:tc>
          <w:tcPr>
            <w:tcW w:type="dxa" w:w="3000"/>
            <w:tcMar>
              <w:top w:type="dxa" w:w="60"/>
              <w:left w:type="dxa" w:w="80"/>
              <w:bottom w:type="dxa" w:w="60"/>
              <w:right w:type="dxa" w:w="80"/>
            </w:tcMar>
            <w:vAlign w:val="top"/>
          </w:tcPr>
          <w:p>
            <w:pPr>
              <w:spacing w:after="0"/>
            </w:pPr>
            <w:r>
              <w:rPr>
                <w:b w:val="false"/>
                <w:bCs w:val="false"/>
                <w:i w:val="false"/>
                <w:iCs w:val="false"/>
                <w:sz w:val="15"/>
                <w:szCs w:val="15"/>
              </w:rPr>
              <w:t xml:space="preserve">P=O asym (~1220-1240)</w:t>
            </w:r>
          </w:p>
        </w:tc>
        <w:tc>
          <w:tcPr>
            <w:tcW w:type="dxa" w:w="1400"/>
            <w:tcMar>
              <w:top w:type="dxa" w:w="60"/>
              <w:left w:type="dxa" w:w="80"/>
              <w:bottom w:type="dxa" w:w="60"/>
              <w:right w:type="dxa" w:w="80"/>
            </w:tcMar>
            <w:vAlign w:val="top"/>
          </w:tcPr>
          <w:p>
            <w:pPr>
              <w:spacing w:after="0"/>
            </w:pPr>
            <w:r>
              <w:rPr>
                <w:b w:val="false"/>
                <w:bCs w:val="false"/>
                <w:i w:val="false"/>
                <w:iCs w:val="false"/>
                <w:sz w:val="17"/>
                <w:szCs w:val="17"/>
              </w:rPr>
              <w:t xml:space="preserve">-</w:t>
            </w:r>
          </w:p>
        </w:tc>
        <w:tc>
          <w:tcPr>
            <w:tcW w:type="dxa" w:w="2800"/>
            <w:tcMar>
              <w:top w:type="dxa" w:w="60"/>
              <w:left w:type="dxa" w:w="80"/>
              <w:bottom w:type="dxa" w:w="60"/>
              <w:right w:type="dxa" w:w="80"/>
            </w:tcMar>
            <w:vAlign w:val="top"/>
          </w:tcPr>
          <w:p>
            <w:pPr>
              <w:spacing w:after="0"/>
            </w:pPr>
            <w:r>
              <w:rPr>
                <w:b w:val="false"/>
                <w:bCs w:val="false"/>
                <w:i w:val="false"/>
                <w:iCs w:val="false"/>
                <w:sz w:val="15"/>
                <w:szCs w:val="15"/>
              </w:rPr>
              <w:t xml:space="preserve">1224 (Heptose)</w:t>
            </w:r>
          </w:p>
        </w:tc>
        <w:tc>
          <w:tcPr>
            <w:tcW w:type="dxa" w:w="3100"/>
            <w:shd w:fill="FDEBD0" w:val="clear"/>
            <w:tcMar>
              <w:top w:type="dxa" w:w="60"/>
              <w:left w:type="dxa" w:w="80"/>
              <w:bottom w:type="dxa" w:w="60"/>
              <w:right w:type="dxa" w:w="80"/>
            </w:tcMar>
            <w:vAlign w:val="top"/>
          </w:tcPr>
          <w:p>
            <w:pPr>
              <w:spacing w:after="0"/>
            </w:pPr>
            <w:r>
              <w:rPr>
                <w:b w:val="false"/>
                <w:bCs w:val="false"/>
                <w:i w:val="false"/>
                <w:iCs w:val="false"/>
                <w:sz w:val="15"/>
                <w:szCs w:val="15"/>
              </w:rPr>
              <w:t xml:space="preserve">Literature/DFT only (theory places a mode here; no major exp peak detected)</w:t>
            </w:r>
          </w:p>
        </w:tc>
      </w:tr>
      <w:tr>
        <w:tc>
          <w:tcPr>
            <w:tcW w:type="dxa" w:w="1200"/>
            <w:tcMar>
              <w:top w:type="dxa" w:w="60"/>
              <w:left w:type="dxa" w:w="80"/>
              <w:bottom w:type="dxa" w:w="60"/>
              <w:right w:type="dxa" w:w="80"/>
            </w:tcMar>
            <w:vAlign w:val="top"/>
          </w:tcPr>
          <w:p>
            <w:pPr>
              <w:spacing w:after="0"/>
            </w:pPr>
            <w:r>
              <w:rPr>
                <w:b w:val="false"/>
                <w:bCs w:val="false"/>
                <w:i w:val="false"/>
                <w:iCs w:val="false"/>
                <w:sz w:val="17"/>
                <w:szCs w:val="17"/>
              </w:rPr>
              <w:t xml:space="preserve">1550</w:t>
            </w:r>
          </w:p>
        </w:tc>
        <w:tc>
          <w:tcPr>
            <w:tcW w:type="dxa" w:w="2600"/>
            <w:tcMar>
              <w:top w:type="dxa" w:w="60"/>
              <w:left w:type="dxa" w:w="80"/>
              <w:bottom w:type="dxa" w:w="60"/>
              <w:right w:type="dxa" w:w="80"/>
            </w:tcMar>
            <w:vAlign w:val="top"/>
          </w:tcPr>
          <w:p>
            <w:pPr>
              <w:spacing w:after="0"/>
            </w:pPr>
            <w:r>
              <w:rPr>
                <w:b w:val="false"/>
                <w:bCs w:val="false"/>
                <w:i w:val="false"/>
                <w:iCs w:val="false"/>
                <w:sz w:val="15"/>
                <w:szCs w:val="15"/>
              </w:rPr>
              <w:t xml:space="preserve">B (Apr-2026 lit. report)</w:t>
            </w:r>
          </w:p>
        </w:tc>
        <w:tc>
          <w:tcPr>
            <w:tcW w:type="dxa" w:w="3000"/>
            <w:tcMar>
              <w:top w:type="dxa" w:w="60"/>
              <w:left w:type="dxa" w:w="80"/>
              <w:bottom w:type="dxa" w:w="60"/>
              <w:right w:type="dxa" w:w="80"/>
            </w:tcMar>
            <w:vAlign w:val="top"/>
          </w:tcPr>
          <w:p>
            <w:pPr>
              <w:spacing w:after="0"/>
            </w:pPr>
            <w:r>
              <w:rPr>
                <w:b w:val="false"/>
                <w:bCs w:val="false"/>
                <w:i w:val="false"/>
                <w:iCs w:val="false"/>
                <w:sz w:val="15"/>
                <w:szCs w:val="15"/>
              </w:rPr>
              <w:t xml:space="preserve">Amide II (~1540-1560)</w:t>
            </w:r>
          </w:p>
        </w:tc>
        <w:tc>
          <w:tcPr>
            <w:tcW w:type="dxa" w:w="1400"/>
            <w:tcMar>
              <w:top w:type="dxa" w:w="60"/>
              <w:left w:type="dxa" w:w="80"/>
              <w:bottom w:type="dxa" w:w="60"/>
              <w:right w:type="dxa" w:w="80"/>
            </w:tcMar>
            <w:vAlign w:val="top"/>
          </w:tcPr>
          <w:p>
            <w:pPr>
              <w:spacing w:after="0"/>
            </w:pPr>
            <w:r>
              <w:rPr>
                <w:b w:val="false"/>
                <w:bCs w:val="false"/>
                <w:i w:val="false"/>
                <w:iCs w:val="false"/>
                <w:sz w:val="17"/>
                <w:szCs w:val="17"/>
              </w:rPr>
              <w:t xml:space="preserve">-</w:t>
            </w:r>
          </w:p>
        </w:tc>
        <w:tc>
          <w:tcPr>
            <w:tcW w:type="dxa" w:w="2800"/>
            <w:tcMar>
              <w:top w:type="dxa" w:w="60"/>
              <w:left w:type="dxa" w:w="80"/>
              <w:bottom w:type="dxa" w:w="60"/>
              <w:right w:type="dxa" w:w="80"/>
            </w:tcMar>
            <w:vAlign w:val="top"/>
          </w:tcPr>
          <w:p>
            <w:pPr>
              <w:spacing w:after="0"/>
            </w:pPr>
            <w:r>
              <w:rPr>
                <w:b w:val="false"/>
                <w:bCs w:val="false"/>
                <w:i w:val="false"/>
                <w:iCs w:val="false"/>
                <w:sz w:val="15"/>
                <w:szCs w:val="15"/>
              </w:rPr>
              <w:t xml:space="preserve">-</w:t>
            </w:r>
          </w:p>
        </w:tc>
        <w:tc>
          <w:tcPr>
            <w:tcW w:type="dxa" w:w="3100"/>
            <w:shd w:fill="FADBD8" w:val="clear"/>
            <w:tcMar>
              <w:top w:type="dxa" w:w="60"/>
              <w:left w:type="dxa" w:w="80"/>
              <w:bottom w:type="dxa" w:w="60"/>
              <w:right w:type="dxa" w:w="80"/>
            </w:tcMar>
            <w:vAlign w:val="top"/>
          </w:tcPr>
          <w:p>
            <w:pPr>
              <w:spacing w:after="0"/>
            </w:pPr>
            <w:r>
              <w:rPr>
                <w:b w:val="false"/>
                <w:bCs w:val="false"/>
                <w:i w:val="false"/>
                <w:iCs w:val="false"/>
                <w:sz w:val="15"/>
                <w:szCs w:val="15"/>
              </w:rPr>
              <w:t xml:space="preserve">Literature only (no match in our data)</w:t>
            </w:r>
          </w:p>
        </w:tc>
      </w:tr>
      <w:tr>
        <w:tc>
          <w:tcPr>
            <w:tcW w:type="dxa" w:w="1200"/>
            <w:tcMar>
              <w:top w:type="dxa" w:w="60"/>
              <w:left w:type="dxa" w:w="80"/>
              <w:bottom w:type="dxa" w:w="60"/>
              <w:right w:type="dxa" w:w="80"/>
            </w:tcMar>
            <w:vAlign w:val="top"/>
          </w:tcPr>
          <w:p>
            <w:pPr>
              <w:spacing w:after="0"/>
            </w:pPr>
            <w:r>
              <w:rPr>
                <w:b w:val="false"/>
                <w:bCs w:val="false"/>
                <w:i w:val="false"/>
                <w:iCs w:val="false"/>
                <w:sz w:val="17"/>
                <w:szCs w:val="17"/>
              </w:rPr>
              <w:t xml:space="preserve">1651</w:t>
            </w:r>
          </w:p>
        </w:tc>
        <w:tc>
          <w:tcPr>
            <w:tcW w:type="dxa" w:w="2600"/>
            <w:tcMar>
              <w:top w:type="dxa" w:w="60"/>
              <w:left w:type="dxa" w:w="80"/>
              <w:bottom w:type="dxa" w:w="60"/>
              <w:right w:type="dxa" w:w="80"/>
            </w:tcMar>
            <w:vAlign w:val="top"/>
          </w:tcPr>
          <w:p>
            <w:pPr>
              <w:spacing w:after="0"/>
            </w:pPr>
            <w:r>
              <w:rPr>
                <w:b w:val="false"/>
                <w:bCs w:val="false"/>
                <w:i w:val="false"/>
                <w:iCs w:val="false"/>
                <w:sz w:val="15"/>
                <w:szCs w:val="15"/>
              </w:rPr>
              <w:t xml:space="preserve">B (Apr-2026 lit. report)</w:t>
            </w:r>
          </w:p>
        </w:tc>
        <w:tc>
          <w:tcPr>
            <w:tcW w:type="dxa" w:w="3000"/>
            <w:tcMar>
              <w:top w:type="dxa" w:w="60"/>
              <w:left w:type="dxa" w:w="80"/>
              <w:bottom w:type="dxa" w:w="60"/>
              <w:right w:type="dxa" w:w="80"/>
            </w:tcMar>
            <w:vAlign w:val="top"/>
          </w:tcPr>
          <w:p>
            <w:pPr>
              <w:spacing w:after="0"/>
            </w:pPr>
            <w:r>
              <w:rPr>
                <w:b w:val="false"/>
                <w:bCs w:val="false"/>
                <w:i w:val="false"/>
                <w:iCs w:val="false"/>
                <w:sz w:val="15"/>
                <w:szCs w:val="15"/>
              </w:rPr>
              <w:t xml:space="preserve">Amide I (~1645-1658)</w:t>
            </w:r>
          </w:p>
        </w:tc>
        <w:tc>
          <w:tcPr>
            <w:tcW w:type="dxa" w:w="1400"/>
            <w:tcMar>
              <w:top w:type="dxa" w:w="60"/>
              <w:left w:type="dxa" w:w="80"/>
              <w:bottom w:type="dxa" w:w="60"/>
              <w:right w:type="dxa" w:w="80"/>
            </w:tcMar>
            <w:vAlign w:val="top"/>
          </w:tcPr>
          <w:p>
            <w:pPr>
              <w:spacing w:after="0"/>
            </w:pPr>
            <w:r>
              <w:rPr>
                <w:b w:val="false"/>
                <w:bCs w:val="false"/>
                <w:i w:val="false"/>
                <w:iCs w:val="false"/>
                <w:sz w:val="17"/>
                <w:szCs w:val="17"/>
              </w:rPr>
              <w:t xml:space="preserve">1659</w:t>
            </w:r>
          </w:p>
        </w:tc>
        <w:tc>
          <w:tcPr>
            <w:tcW w:type="dxa" w:w="2800"/>
            <w:tcMar>
              <w:top w:type="dxa" w:w="60"/>
              <w:left w:type="dxa" w:w="80"/>
              <w:bottom w:type="dxa" w:w="60"/>
              <w:right w:type="dxa" w:w="80"/>
            </w:tcMar>
            <w:vAlign w:val="top"/>
          </w:tcPr>
          <w:p>
            <w:pPr>
              <w:spacing w:after="0"/>
            </w:pPr>
            <w:r>
              <w:rPr>
                <w:b w:val="false"/>
                <w:bCs w:val="false"/>
                <w:i w:val="false"/>
                <w:iCs w:val="false"/>
                <w:sz w:val="15"/>
                <w:szCs w:val="15"/>
              </w:rPr>
              <w:t xml:space="preserve">1659 (KDO, High)</w:t>
            </w:r>
          </w:p>
        </w:tc>
        <w:tc>
          <w:tcPr>
            <w:tcW w:type="dxa" w:w="3100"/>
            <w:shd w:fill="D5F5E3" w:val="clear"/>
            <w:tcMar>
              <w:top w:type="dxa" w:w="60"/>
              <w:left w:type="dxa" w:w="80"/>
              <w:bottom w:type="dxa" w:w="60"/>
              <w:right w:type="dxa" w:w="80"/>
            </w:tcMar>
            <w:vAlign w:val="top"/>
          </w:tcPr>
          <w:p>
            <w:pPr>
              <w:spacing w:after="0"/>
            </w:pPr>
            <w:r>
              <w:rPr>
                <w:b w:val="false"/>
                <w:bCs w:val="false"/>
                <w:i w:val="false"/>
                <w:iCs w:val="false"/>
                <w:sz w:val="15"/>
                <w:szCs w:val="15"/>
              </w:rPr>
              <w:t xml:space="preserve">Strong (literature -&gt; our powder -&gt; DFT-supported)</w:t>
            </w:r>
          </w:p>
        </w:tc>
      </w:tr>
      <w:tr>
        <w:tc>
          <w:tcPr>
            <w:tcW w:type="dxa" w:w="1200"/>
            <w:tcMar>
              <w:top w:type="dxa" w:w="60"/>
              <w:left w:type="dxa" w:w="80"/>
              <w:bottom w:type="dxa" w:w="60"/>
              <w:right w:type="dxa" w:w="80"/>
            </w:tcMar>
            <w:vAlign w:val="top"/>
          </w:tcPr>
          <w:p>
            <w:pPr>
              <w:spacing w:after="0"/>
            </w:pPr>
            <w:r>
              <w:rPr>
                <w:b w:val="false"/>
                <w:bCs w:val="false"/>
                <w:i w:val="false"/>
                <w:iCs w:val="false"/>
                <w:sz w:val="17"/>
                <w:szCs w:val="17"/>
              </w:rPr>
              <w:t xml:space="preserve">1738</w:t>
            </w:r>
          </w:p>
        </w:tc>
        <w:tc>
          <w:tcPr>
            <w:tcW w:type="dxa" w:w="2600"/>
            <w:tcMar>
              <w:top w:type="dxa" w:w="60"/>
              <w:left w:type="dxa" w:w="80"/>
              <w:bottom w:type="dxa" w:w="60"/>
              <w:right w:type="dxa" w:w="80"/>
            </w:tcMar>
            <w:vAlign w:val="top"/>
          </w:tcPr>
          <w:p>
            <w:pPr>
              <w:spacing w:after="0"/>
            </w:pPr>
            <w:r>
              <w:rPr>
                <w:b w:val="false"/>
                <w:bCs w:val="false"/>
                <w:i w:val="false"/>
                <w:iCs w:val="false"/>
                <w:sz w:val="15"/>
                <w:szCs w:val="15"/>
              </w:rPr>
              <w:t xml:space="preserve">B (Apr-2026 lit. report)</w:t>
            </w:r>
          </w:p>
        </w:tc>
        <w:tc>
          <w:tcPr>
            <w:tcW w:type="dxa" w:w="3000"/>
            <w:tcMar>
              <w:top w:type="dxa" w:w="60"/>
              <w:left w:type="dxa" w:w="80"/>
              <w:bottom w:type="dxa" w:w="60"/>
              <w:right w:type="dxa" w:w="80"/>
            </w:tcMar>
            <w:vAlign w:val="top"/>
          </w:tcPr>
          <w:p>
            <w:pPr>
              <w:spacing w:after="0"/>
            </w:pPr>
            <w:r>
              <w:rPr>
                <w:b w:val="false"/>
                <w:bCs w:val="false"/>
                <w:i w:val="false"/>
                <w:iCs w:val="false"/>
                <w:sz w:val="15"/>
                <w:szCs w:val="15"/>
              </w:rPr>
              <w:t xml:space="preserve">C=O ester (~1735-1742)</w:t>
            </w:r>
          </w:p>
        </w:tc>
        <w:tc>
          <w:tcPr>
            <w:tcW w:type="dxa" w:w="1400"/>
            <w:tcMar>
              <w:top w:type="dxa" w:w="60"/>
              <w:left w:type="dxa" w:w="80"/>
              <w:bottom w:type="dxa" w:w="60"/>
              <w:right w:type="dxa" w:w="80"/>
            </w:tcMar>
            <w:vAlign w:val="top"/>
          </w:tcPr>
          <w:p>
            <w:pPr>
              <w:spacing w:after="0"/>
            </w:pPr>
            <w:r>
              <w:rPr>
                <w:b w:val="false"/>
                <w:bCs w:val="false"/>
                <w:i w:val="false"/>
                <w:iCs w:val="false"/>
                <w:sz w:val="17"/>
                <w:szCs w:val="17"/>
              </w:rPr>
              <w:t xml:space="preserve">1727</w:t>
            </w:r>
          </w:p>
        </w:tc>
        <w:tc>
          <w:tcPr>
            <w:tcW w:type="dxa" w:w="2800"/>
            <w:tcMar>
              <w:top w:type="dxa" w:w="60"/>
              <w:left w:type="dxa" w:w="80"/>
              <w:bottom w:type="dxa" w:w="60"/>
              <w:right w:type="dxa" w:w="80"/>
            </w:tcMar>
            <w:vAlign w:val="top"/>
          </w:tcPr>
          <w:p>
            <w:pPr>
              <w:spacing w:after="0"/>
            </w:pPr>
            <w:r>
              <w:rPr>
                <w:b w:val="false"/>
                <w:bCs w:val="false"/>
                <w:i w:val="false"/>
                <w:iCs w:val="false"/>
                <w:sz w:val="15"/>
                <w:szCs w:val="15"/>
              </w:rPr>
              <w:t xml:space="preserve">-</w:t>
            </w:r>
          </w:p>
        </w:tc>
        <w:tc>
          <w:tcPr>
            <w:tcW w:type="dxa" w:w="3100"/>
            <w:shd w:fill="FDEBD0" w:val="clear"/>
            <w:tcMar>
              <w:top w:type="dxa" w:w="60"/>
              <w:left w:type="dxa" w:w="80"/>
              <w:bottom w:type="dxa" w:w="60"/>
              <w:right w:type="dxa" w:w="80"/>
            </w:tcMar>
            <w:vAlign w:val="top"/>
          </w:tcPr>
          <w:p>
            <w:pPr>
              <w:spacing w:after="0"/>
            </w:pPr>
            <w:r>
              <w:rPr>
                <w:b w:val="false"/>
                <w:bCs w:val="false"/>
                <w:i w:val="false"/>
                <w:iCs w:val="false"/>
                <w:sz w:val="15"/>
                <w:szCs w:val="15"/>
              </w:rPr>
              <w:t xml:space="preserve">Experimental/Literature only (no DFT-supported match at this exp peak)</w:t>
            </w:r>
          </w:p>
        </w:tc>
      </w:tr>
      <w:tr>
        <w:tc>
          <w:tcPr>
            <w:tcW w:type="dxa" w:w="1200"/>
            <w:tcMar>
              <w:top w:type="dxa" w:w="60"/>
              <w:left w:type="dxa" w:w="80"/>
              <w:bottom w:type="dxa" w:w="60"/>
              <w:right w:type="dxa" w:w="80"/>
            </w:tcMar>
            <w:vAlign w:val="top"/>
          </w:tcPr>
          <w:p>
            <w:pPr>
              <w:spacing w:after="0"/>
            </w:pPr>
            <w:r>
              <w:rPr>
                <w:b w:val="false"/>
                <w:bCs w:val="false"/>
                <w:i w:val="false"/>
                <w:iCs w:val="false"/>
                <w:sz w:val="17"/>
                <w:szCs w:val="17"/>
              </w:rPr>
              <w:t xml:space="preserve">857</w:t>
            </w:r>
          </w:p>
        </w:tc>
        <w:tc>
          <w:tcPr>
            <w:tcW w:type="dxa" w:w="2600"/>
            <w:tcMar>
              <w:top w:type="dxa" w:w="60"/>
              <w:left w:type="dxa" w:w="80"/>
              <w:bottom w:type="dxa" w:w="60"/>
              <w:right w:type="dxa" w:w="80"/>
            </w:tcMar>
            <w:vAlign w:val="top"/>
          </w:tcPr>
          <w:p>
            <w:pPr>
              <w:spacing w:after="0"/>
            </w:pPr>
            <w:r>
              <w:rPr>
                <w:b w:val="false"/>
                <w:bCs w:val="false"/>
                <w:i w:val="false"/>
                <w:iCs w:val="false"/>
                <w:sz w:val="15"/>
                <w:szCs w:val="15"/>
              </w:rPr>
              <w:t xml:space="preserve">D (Yang et al. 2022 / Fig P1)</w:t>
            </w:r>
          </w:p>
        </w:tc>
        <w:tc>
          <w:tcPr>
            <w:tcW w:type="dxa" w:w="3000"/>
            <w:tcMar>
              <w:top w:type="dxa" w:w="60"/>
              <w:left w:type="dxa" w:w="80"/>
              <w:bottom w:type="dxa" w:w="60"/>
              <w:right w:type="dxa" w:w="80"/>
            </w:tcMar>
            <w:vAlign w:val="top"/>
          </w:tcPr>
          <w:p>
            <w:pPr>
              <w:spacing w:after="0"/>
            </w:pPr>
            <w:r>
              <w:rPr>
                <w:b w:val="false"/>
                <w:bCs w:val="false"/>
                <w:i w:val="false"/>
                <w:iCs w:val="false"/>
                <w:sz w:val="15"/>
                <w:szCs w:val="15"/>
              </w:rPr>
              <w:t xml:space="preserve">LPS band (differentiation set)</w:t>
            </w:r>
          </w:p>
        </w:tc>
        <w:tc>
          <w:tcPr>
            <w:tcW w:type="dxa" w:w="1400"/>
            <w:tcMar>
              <w:top w:type="dxa" w:w="60"/>
              <w:left w:type="dxa" w:w="80"/>
              <w:bottom w:type="dxa" w:w="60"/>
              <w:right w:type="dxa" w:w="80"/>
            </w:tcMar>
            <w:vAlign w:val="top"/>
          </w:tcPr>
          <w:p>
            <w:pPr>
              <w:spacing w:after="0"/>
            </w:pPr>
            <w:r>
              <w:rPr>
                <w:b w:val="false"/>
                <w:bCs w:val="false"/>
                <w:i w:val="false"/>
                <w:iCs w:val="false"/>
                <w:sz w:val="17"/>
                <w:szCs w:val="17"/>
              </w:rPr>
              <w:t xml:space="preserve">-</w:t>
            </w:r>
          </w:p>
        </w:tc>
        <w:tc>
          <w:tcPr>
            <w:tcW w:type="dxa" w:w="2800"/>
            <w:tcMar>
              <w:top w:type="dxa" w:w="60"/>
              <w:left w:type="dxa" w:w="80"/>
              <w:bottom w:type="dxa" w:w="60"/>
              <w:right w:type="dxa" w:w="80"/>
            </w:tcMar>
            <w:vAlign w:val="top"/>
          </w:tcPr>
          <w:p>
            <w:pPr>
              <w:spacing w:after="0"/>
            </w:pPr>
            <w:r>
              <w:rPr>
                <w:b w:val="false"/>
                <w:bCs w:val="false"/>
                <w:i w:val="false"/>
                <w:iCs w:val="false"/>
                <w:sz w:val="15"/>
                <w:szCs w:val="15"/>
              </w:rPr>
              <w:t xml:space="preserve">858 (Glucosamine)</w:t>
            </w:r>
          </w:p>
        </w:tc>
        <w:tc>
          <w:tcPr>
            <w:tcW w:type="dxa" w:w="3100"/>
            <w:shd w:fill="FDEBD0" w:val="clear"/>
            <w:tcMar>
              <w:top w:type="dxa" w:w="60"/>
              <w:left w:type="dxa" w:w="80"/>
              <w:bottom w:type="dxa" w:w="60"/>
              <w:right w:type="dxa" w:w="80"/>
            </w:tcMar>
            <w:vAlign w:val="top"/>
          </w:tcPr>
          <w:p>
            <w:pPr>
              <w:spacing w:after="0"/>
            </w:pPr>
            <w:r>
              <w:rPr>
                <w:b w:val="false"/>
                <w:bCs w:val="false"/>
                <w:i w:val="false"/>
                <w:iCs w:val="false"/>
                <w:sz w:val="15"/>
                <w:szCs w:val="15"/>
              </w:rPr>
              <w:t xml:space="preserve">Literature/DFT only (theory places a mode here; no major exp peak detected)</w:t>
            </w:r>
          </w:p>
        </w:tc>
      </w:tr>
      <w:tr>
        <w:tc>
          <w:tcPr>
            <w:tcW w:type="dxa" w:w="1200"/>
            <w:tcMar>
              <w:top w:type="dxa" w:w="60"/>
              <w:left w:type="dxa" w:w="80"/>
              <w:bottom w:type="dxa" w:w="60"/>
              <w:right w:type="dxa" w:w="80"/>
            </w:tcMar>
            <w:vAlign w:val="top"/>
          </w:tcPr>
          <w:p>
            <w:pPr>
              <w:spacing w:after="0"/>
            </w:pPr>
            <w:r>
              <w:rPr>
                <w:b w:val="false"/>
                <w:bCs w:val="false"/>
                <w:i w:val="false"/>
                <w:iCs w:val="false"/>
                <w:sz w:val="17"/>
                <w:szCs w:val="17"/>
              </w:rPr>
              <w:t xml:space="preserve">1003</w:t>
            </w:r>
          </w:p>
        </w:tc>
        <w:tc>
          <w:tcPr>
            <w:tcW w:type="dxa" w:w="2600"/>
            <w:tcMar>
              <w:top w:type="dxa" w:w="60"/>
              <w:left w:type="dxa" w:w="80"/>
              <w:bottom w:type="dxa" w:w="60"/>
              <w:right w:type="dxa" w:w="80"/>
            </w:tcMar>
            <w:vAlign w:val="top"/>
          </w:tcPr>
          <w:p>
            <w:pPr>
              <w:spacing w:after="0"/>
            </w:pPr>
            <w:r>
              <w:rPr>
                <w:b w:val="false"/>
                <w:bCs w:val="false"/>
                <w:i w:val="false"/>
                <w:iCs w:val="false"/>
                <w:sz w:val="15"/>
                <w:szCs w:val="15"/>
              </w:rPr>
              <w:t xml:space="preserve">D (Yang et al. 2022 / Fig P1)</w:t>
            </w:r>
          </w:p>
        </w:tc>
        <w:tc>
          <w:tcPr>
            <w:tcW w:type="dxa" w:w="3000"/>
            <w:tcMar>
              <w:top w:type="dxa" w:w="60"/>
              <w:left w:type="dxa" w:w="80"/>
              <w:bottom w:type="dxa" w:w="60"/>
              <w:right w:type="dxa" w:w="80"/>
            </w:tcMar>
            <w:vAlign w:val="top"/>
          </w:tcPr>
          <w:p>
            <w:pPr>
              <w:spacing w:after="0"/>
            </w:pPr>
            <w:r>
              <w:rPr>
                <w:b w:val="false"/>
                <w:bCs w:val="false"/>
                <w:i w:val="false"/>
                <w:iCs w:val="false"/>
                <w:sz w:val="15"/>
                <w:szCs w:val="15"/>
              </w:rPr>
              <w:t xml:space="preserve">LPS band (differentiation set)</w:t>
            </w:r>
          </w:p>
        </w:tc>
        <w:tc>
          <w:tcPr>
            <w:tcW w:type="dxa" w:w="1400"/>
            <w:tcMar>
              <w:top w:type="dxa" w:w="60"/>
              <w:left w:type="dxa" w:w="80"/>
              <w:bottom w:type="dxa" w:w="60"/>
              <w:right w:type="dxa" w:w="80"/>
            </w:tcMar>
            <w:vAlign w:val="top"/>
          </w:tcPr>
          <w:p>
            <w:pPr>
              <w:spacing w:after="0"/>
            </w:pPr>
            <w:r>
              <w:rPr>
                <w:b w:val="false"/>
                <w:bCs w:val="false"/>
                <w:i w:val="false"/>
                <w:iCs w:val="false"/>
                <w:sz w:val="17"/>
                <w:szCs w:val="17"/>
              </w:rPr>
              <w:t xml:space="preserve">-</w:t>
            </w:r>
          </w:p>
        </w:tc>
        <w:tc>
          <w:tcPr>
            <w:tcW w:type="dxa" w:w="2800"/>
            <w:tcMar>
              <w:top w:type="dxa" w:w="60"/>
              <w:left w:type="dxa" w:w="80"/>
              <w:bottom w:type="dxa" w:w="60"/>
              <w:right w:type="dxa" w:w="80"/>
            </w:tcMar>
            <w:vAlign w:val="top"/>
          </w:tcPr>
          <w:p>
            <w:pPr>
              <w:spacing w:after="0"/>
            </w:pPr>
            <w:r>
              <w:rPr>
                <w:b w:val="false"/>
                <w:bCs w:val="false"/>
                <w:i w:val="false"/>
                <w:iCs w:val="false"/>
                <w:sz w:val="15"/>
                <w:szCs w:val="15"/>
              </w:rPr>
              <w:t xml:space="preserve">1003 (Heptose)</w:t>
            </w:r>
          </w:p>
        </w:tc>
        <w:tc>
          <w:tcPr>
            <w:tcW w:type="dxa" w:w="3100"/>
            <w:shd w:fill="FDEBD0" w:val="clear"/>
            <w:tcMar>
              <w:top w:type="dxa" w:w="60"/>
              <w:left w:type="dxa" w:w="80"/>
              <w:bottom w:type="dxa" w:w="60"/>
              <w:right w:type="dxa" w:w="80"/>
            </w:tcMar>
            <w:vAlign w:val="top"/>
          </w:tcPr>
          <w:p>
            <w:pPr>
              <w:spacing w:after="0"/>
            </w:pPr>
            <w:r>
              <w:rPr>
                <w:b w:val="false"/>
                <w:bCs w:val="false"/>
                <w:i w:val="false"/>
                <w:iCs w:val="false"/>
                <w:sz w:val="15"/>
                <w:szCs w:val="15"/>
              </w:rPr>
              <w:t xml:space="preserve">Literature/DFT only (theory places a mode here; no major exp peak detected)</w:t>
            </w:r>
          </w:p>
        </w:tc>
      </w:tr>
      <w:tr>
        <w:tc>
          <w:tcPr>
            <w:tcW w:type="dxa" w:w="1200"/>
            <w:tcMar>
              <w:top w:type="dxa" w:w="60"/>
              <w:left w:type="dxa" w:w="80"/>
              <w:bottom w:type="dxa" w:w="60"/>
              <w:right w:type="dxa" w:w="80"/>
            </w:tcMar>
            <w:vAlign w:val="top"/>
          </w:tcPr>
          <w:p>
            <w:pPr>
              <w:spacing w:after="0"/>
            </w:pPr>
            <w:r>
              <w:rPr>
                <w:b w:val="false"/>
                <w:bCs w:val="false"/>
                <w:i w:val="false"/>
                <w:iCs w:val="false"/>
                <w:sz w:val="17"/>
                <w:szCs w:val="17"/>
              </w:rPr>
              <w:t xml:space="preserve">1333</w:t>
            </w:r>
          </w:p>
        </w:tc>
        <w:tc>
          <w:tcPr>
            <w:tcW w:type="dxa" w:w="2600"/>
            <w:tcMar>
              <w:top w:type="dxa" w:w="60"/>
              <w:left w:type="dxa" w:w="80"/>
              <w:bottom w:type="dxa" w:w="60"/>
              <w:right w:type="dxa" w:w="80"/>
            </w:tcMar>
            <w:vAlign w:val="top"/>
          </w:tcPr>
          <w:p>
            <w:pPr>
              <w:spacing w:after="0"/>
            </w:pPr>
            <w:r>
              <w:rPr>
                <w:b w:val="false"/>
                <w:bCs w:val="false"/>
                <w:i w:val="false"/>
                <w:iCs w:val="false"/>
                <w:sz w:val="15"/>
                <w:szCs w:val="15"/>
              </w:rPr>
              <w:t xml:space="preserve">D (Yang et al. 2022 / Fig P1)</w:t>
            </w:r>
          </w:p>
        </w:tc>
        <w:tc>
          <w:tcPr>
            <w:tcW w:type="dxa" w:w="3000"/>
            <w:tcMar>
              <w:top w:type="dxa" w:w="60"/>
              <w:left w:type="dxa" w:w="80"/>
              <w:bottom w:type="dxa" w:w="60"/>
              <w:right w:type="dxa" w:w="80"/>
            </w:tcMar>
            <w:vAlign w:val="top"/>
          </w:tcPr>
          <w:p>
            <w:pPr>
              <w:spacing w:after="0"/>
            </w:pPr>
            <w:r>
              <w:rPr>
                <w:b w:val="false"/>
                <w:bCs w:val="false"/>
                <w:i w:val="false"/>
                <w:iCs w:val="false"/>
                <w:sz w:val="15"/>
                <w:szCs w:val="15"/>
              </w:rPr>
              <w:t xml:space="preserve">LPS band; overlaps LTA per Fig P1 note</w:t>
            </w:r>
          </w:p>
        </w:tc>
        <w:tc>
          <w:tcPr>
            <w:tcW w:type="dxa" w:w="1400"/>
            <w:tcMar>
              <w:top w:type="dxa" w:w="60"/>
              <w:left w:type="dxa" w:w="80"/>
              <w:bottom w:type="dxa" w:w="60"/>
              <w:right w:type="dxa" w:w="80"/>
            </w:tcMar>
            <w:vAlign w:val="top"/>
          </w:tcPr>
          <w:p>
            <w:pPr>
              <w:spacing w:after="0"/>
            </w:pPr>
            <w:r>
              <w:rPr>
                <w:b w:val="false"/>
                <w:bCs w:val="false"/>
                <w:i w:val="false"/>
                <w:iCs w:val="false"/>
                <w:sz w:val="17"/>
                <w:szCs w:val="17"/>
              </w:rPr>
              <w:t xml:space="preserve">-</w:t>
            </w:r>
          </w:p>
        </w:tc>
        <w:tc>
          <w:tcPr>
            <w:tcW w:type="dxa" w:w="2800"/>
            <w:tcMar>
              <w:top w:type="dxa" w:w="60"/>
              <w:left w:type="dxa" w:w="80"/>
              <w:bottom w:type="dxa" w:w="60"/>
              <w:right w:type="dxa" w:w="80"/>
            </w:tcMar>
            <w:vAlign w:val="top"/>
          </w:tcPr>
          <w:p>
            <w:pPr>
              <w:spacing w:after="0"/>
            </w:pPr>
            <w:r>
              <w:rPr>
                <w:b w:val="false"/>
                <w:bCs w:val="false"/>
                <w:i w:val="false"/>
                <w:iCs w:val="false"/>
                <w:sz w:val="15"/>
                <w:szCs w:val="15"/>
              </w:rPr>
              <w:t xml:space="preserve">1330 (KDO)</w:t>
            </w:r>
          </w:p>
        </w:tc>
        <w:tc>
          <w:tcPr>
            <w:tcW w:type="dxa" w:w="3100"/>
            <w:shd w:fill="FDEBD0" w:val="clear"/>
            <w:tcMar>
              <w:top w:type="dxa" w:w="60"/>
              <w:left w:type="dxa" w:w="80"/>
              <w:bottom w:type="dxa" w:w="60"/>
              <w:right w:type="dxa" w:w="80"/>
            </w:tcMar>
            <w:vAlign w:val="top"/>
          </w:tcPr>
          <w:p>
            <w:pPr>
              <w:spacing w:after="0"/>
            </w:pPr>
            <w:r>
              <w:rPr>
                <w:b w:val="false"/>
                <w:bCs w:val="false"/>
                <w:i w:val="false"/>
                <w:iCs w:val="false"/>
                <w:sz w:val="15"/>
                <w:szCs w:val="15"/>
              </w:rPr>
              <w:t xml:space="preserve">Literature/DFT only (theory places a mode here; no major exp peak detected)</w:t>
            </w:r>
          </w:p>
        </w:tc>
      </w:tr>
      <w:tr>
        <w:tc>
          <w:tcPr>
            <w:tcW w:type="dxa" w:w="1200"/>
            <w:tcMar>
              <w:top w:type="dxa" w:w="60"/>
              <w:left w:type="dxa" w:w="80"/>
              <w:bottom w:type="dxa" w:w="60"/>
              <w:right w:type="dxa" w:w="80"/>
            </w:tcMar>
            <w:vAlign w:val="top"/>
          </w:tcPr>
          <w:p>
            <w:pPr>
              <w:spacing w:after="0"/>
            </w:pPr>
            <w:r>
              <w:rPr>
                <w:b w:val="false"/>
                <w:bCs w:val="false"/>
                <w:i w:val="false"/>
                <w:iCs w:val="false"/>
                <w:sz w:val="17"/>
                <w:szCs w:val="17"/>
              </w:rPr>
              <w:t xml:space="preserve">1614</w:t>
            </w:r>
          </w:p>
        </w:tc>
        <w:tc>
          <w:tcPr>
            <w:tcW w:type="dxa" w:w="2600"/>
            <w:tcMar>
              <w:top w:type="dxa" w:w="60"/>
              <w:left w:type="dxa" w:w="80"/>
              <w:bottom w:type="dxa" w:w="60"/>
              <w:right w:type="dxa" w:w="80"/>
            </w:tcMar>
            <w:vAlign w:val="top"/>
          </w:tcPr>
          <w:p>
            <w:pPr>
              <w:spacing w:after="0"/>
            </w:pPr>
            <w:r>
              <w:rPr>
                <w:b w:val="false"/>
                <w:bCs w:val="false"/>
                <w:i w:val="false"/>
                <w:iCs w:val="false"/>
                <w:sz w:val="15"/>
                <w:szCs w:val="15"/>
              </w:rPr>
              <w:t xml:space="preserve">D (Yang et al. 2022 / Fig P1)</w:t>
            </w:r>
          </w:p>
        </w:tc>
        <w:tc>
          <w:tcPr>
            <w:tcW w:type="dxa" w:w="3000"/>
            <w:tcMar>
              <w:top w:type="dxa" w:w="60"/>
              <w:left w:type="dxa" w:w="80"/>
              <w:bottom w:type="dxa" w:w="60"/>
              <w:right w:type="dxa" w:w="80"/>
            </w:tcMar>
            <w:vAlign w:val="top"/>
          </w:tcPr>
          <w:p>
            <w:pPr>
              <w:spacing w:after="0"/>
            </w:pPr>
            <w:r>
              <w:rPr>
                <w:b w:val="false"/>
                <w:bCs w:val="false"/>
                <w:i w:val="false"/>
                <w:iCs w:val="false"/>
                <w:sz w:val="15"/>
                <w:szCs w:val="15"/>
              </w:rPr>
              <w:t xml:space="preserve">LPS band; overlaps LTA per Fig P1 note</w:t>
            </w:r>
          </w:p>
        </w:tc>
        <w:tc>
          <w:tcPr>
            <w:tcW w:type="dxa" w:w="1400"/>
            <w:tcMar>
              <w:top w:type="dxa" w:w="60"/>
              <w:left w:type="dxa" w:w="80"/>
              <w:bottom w:type="dxa" w:w="60"/>
              <w:right w:type="dxa" w:w="80"/>
            </w:tcMar>
            <w:vAlign w:val="top"/>
          </w:tcPr>
          <w:p>
            <w:pPr>
              <w:spacing w:after="0"/>
            </w:pPr>
            <w:r>
              <w:rPr>
                <w:b w:val="false"/>
                <w:bCs w:val="false"/>
                <w:i w:val="false"/>
                <w:iCs w:val="false"/>
                <w:sz w:val="17"/>
                <w:szCs w:val="17"/>
              </w:rPr>
              <w:t xml:space="preserve">1615</w:t>
            </w:r>
          </w:p>
        </w:tc>
        <w:tc>
          <w:tcPr>
            <w:tcW w:type="dxa" w:w="2800"/>
            <w:tcMar>
              <w:top w:type="dxa" w:w="60"/>
              <w:left w:type="dxa" w:w="80"/>
              <w:bottom w:type="dxa" w:w="60"/>
              <w:right w:type="dxa" w:w="80"/>
            </w:tcMar>
            <w:vAlign w:val="top"/>
          </w:tcPr>
          <w:p>
            <w:pPr>
              <w:spacing w:after="0"/>
            </w:pPr>
            <w:r>
              <w:rPr>
                <w:b w:val="false"/>
                <w:bCs w:val="false"/>
                <w:i w:val="false"/>
                <w:iCs w:val="false"/>
                <w:sz w:val="15"/>
                <w:szCs w:val="15"/>
              </w:rPr>
              <w:t xml:space="preserve">-</w:t>
            </w:r>
          </w:p>
        </w:tc>
        <w:tc>
          <w:tcPr>
            <w:tcW w:type="dxa" w:w="3100"/>
            <w:shd w:fill="FDEBD0" w:val="clear"/>
            <w:tcMar>
              <w:top w:type="dxa" w:w="60"/>
              <w:left w:type="dxa" w:w="80"/>
              <w:bottom w:type="dxa" w:w="60"/>
              <w:right w:type="dxa" w:w="80"/>
            </w:tcMar>
            <w:vAlign w:val="top"/>
          </w:tcPr>
          <w:p>
            <w:pPr>
              <w:spacing w:after="0"/>
            </w:pPr>
            <w:r>
              <w:rPr>
                <w:b w:val="false"/>
                <w:bCs w:val="false"/>
                <w:i w:val="false"/>
                <w:iCs w:val="false"/>
                <w:sz w:val="15"/>
                <w:szCs w:val="15"/>
              </w:rPr>
              <w:t xml:space="preserve">Experimental/Literature only (no DFT-supported match at this exp peak)</w:t>
            </w:r>
          </w:p>
        </w:tc>
      </w:tr>
      <w:tr>
        <w:tc>
          <w:tcPr>
            <w:tcW w:type="dxa" w:w="1200"/>
            <w:tcMar>
              <w:top w:type="dxa" w:w="60"/>
              <w:left w:type="dxa" w:w="80"/>
              <w:bottom w:type="dxa" w:w="60"/>
              <w:right w:type="dxa" w:w="80"/>
            </w:tcMar>
            <w:vAlign w:val="top"/>
          </w:tcPr>
          <w:p>
            <w:pPr>
              <w:spacing w:after="0"/>
            </w:pPr>
            <w:r>
              <w:rPr>
                <w:b w:val="false"/>
                <w:bCs w:val="false"/>
                <w:i w:val="false"/>
                <w:iCs w:val="false"/>
                <w:sz w:val="17"/>
                <w:szCs w:val="17"/>
              </w:rPr>
              <w:t xml:space="preserve">1316</w:t>
            </w:r>
          </w:p>
        </w:tc>
        <w:tc>
          <w:tcPr>
            <w:tcW w:type="dxa" w:w="2600"/>
            <w:tcMar>
              <w:top w:type="dxa" w:w="60"/>
              <w:left w:type="dxa" w:w="80"/>
              <w:bottom w:type="dxa" w:w="60"/>
              <w:right w:type="dxa" w:w="80"/>
            </w:tcMar>
            <w:vAlign w:val="top"/>
          </w:tcPr>
          <w:p>
            <w:pPr>
              <w:spacing w:after="0"/>
            </w:pPr>
            <w:r>
              <w:rPr>
                <w:b w:val="false"/>
                <w:bCs w:val="false"/>
                <w:i w:val="false"/>
                <w:iCs w:val="false"/>
                <w:sz w:val="15"/>
                <w:szCs w:val="15"/>
              </w:rPr>
              <w:t xml:space="preserve">Kundu-text (flagged conflicted, see note)</w:t>
            </w:r>
          </w:p>
        </w:tc>
        <w:tc>
          <w:tcPr>
            <w:tcW w:type="dxa" w:w="3000"/>
            <w:tcMar>
              <w:top w:type="dxa" w:w="60"/>
              <w:left w:type="dxa" w:w="80"/>
              <w:bottom w:type="dxa" w:w="60"/>
              <w:right w:type="dxa" w:w="80"/>
            </w:tcMar>
            <w:vAlign w:val="top"/>
          </w:tcPr>
          <w:p>
            <w:pPr>
              <w:spacing w:after="0"/>
            </w:pPr>
            <w:r>
              <w:rPr>
                <w:b w:val="false"/>
                <w:bCs w:val="false"/>
                <w:i w:val="false"/>
                <w:iCs w:val="false"/>
                <w:sz w:val="15"/>
                <w:szCs w:val="15"/>
              </w:rPr>
              <w:t xml:space="preserve">Aliphatic molecules</w:t>
            </w:r>
          </w:p>
        </w:tc>
        <w:tc>
          <w:tcPr>
            <w:tcW w:type="dxa" w:w="1400"/>
            <w:tcMar>
              <w:top w:type="dxa" w:w="60"/>
              <w:left w:type="dxa" w:w="80"/>
              <w:bottom w:type="dxa" w:w="60"/>
              <w:right w:type="dxa" w:w="80"/>
            </w:tcMar>
            <w:vAlign w:val="top"/>
          </w:tcPr>
          <w:p>
            <w:pPr>
              <w:spacing w:after="0"/>
            </w:pPr>
            <w:r>
              <w:rPr>
                <w:b w:val="false"/>
                <w:bCs w:val="false"/>
                <w:i w:val="false"/>
                <w:iCs w:val="false"/>
                <w:sz w:val="17"/>
                <w:szCs w:val="17"/>
              </w:rPr>
              <w:t xml:space="preserve">-</w:t>
            </w:r>
          </w:p>
        </w:tc>
        <w:tc>
          <w:tcPr>
            <w:tcW w:type="dxa" w:w="2800"/>
            <w:tcMar>
              <w:top w:type="dxa" w:w="60"/>
              <w:left w:type="dxa" w:w="80"/>
              <w:bottom w:type="dxa" w:w="60"/>
              <w:right w:type="dxa" w:w="80"/>
            </w:tcMar>
            <w:vAlign w:val="top"/>
          </w:tcPr>
          <w:p>
            <w:pPr>
              <w:spacing w:after="0"/>
            </w:pPr>
            <w:r>
              <w:rPr>
                <w:b w:val="false"/>
                <w:bCs w:val="false"/>
                <w:i w:val="false"/>
                <w:iCs w:val="false"/>
                <w:sz w:val="15"/>
                <w:szCs w:val="15"/>
              </w:rPr>
              <w:t xml:space="preserve">1322 (Heptose)</w:t>
            </w:r>
          </w:p>
        </w:tc>
        <w:tc>
          <w:tcPr>
            <w:tcW w:type="dxa" w:w="3100"/>
            <w:shd w:fill="FDEBD0" w:val="clear"/>
            <w:tcMar>
              <w:top w:type="dxa" w:w="60"/>
              <w:left w:type="dxa" w:w="80"/>
              <w:bottom w:type="dxa" w:w="60"/>
              <w:right w:type="dxa" w:w="80"/>
            </w:tcMar>
            <w:vAlign w:val="top"/>
          </w:tcPr>
          <w:p>
            <w:pPr>
              <w:spacing w:after="0"/>
            </w:pPr>
            <w:r>
              <w:rPr>
                <w:b w:val="false"/>
                <w:bCs w:val="false"/>
                <w:i w:val="false"/>
                <w:iCs w:val="false"/>
                <w:sz w:val="15"/>
                <w:szCs w:val="15"/>
              </w:rPr>
              <w:t xml:space="preserve">Literature/DFT only (theory places a mode here; no major exp peak detected)</w:t>
            </w:r>
          </w:p>
        </w:tc>
      </w:tr>
      <w:tr>
        <w:tc>
          <w:tcPr>
            <w:tcW w:type="dxa" w:w="1200"/>
            <w:tcMar>
              <w:top w:type="dxa" w:w="60"/>
              <w:left w:type="dxa" w:w="80"/>
              <w:bottom w:type="dxa" w:w="60"/>
              <w:right w:type="dxa" w:w="80"/>
            </w:tcMar>
            <w:vAlign w:val="top"/>
          </w:tcPr>
          <w:p>
            <w:pPr>
              <w:spacing w:after="0"/>
            </w:pPr>
            <w:r>
              <w:rPr>
                <w:b w:val="false"/>
                <w:bCs w:val="false"/>
                <w:i w:val="false"/>
                <w:iCs w:val="false"/>
                <w:sz w:val="17"/>
                <w:szCs w:val="17"/>
              </w:rPr>
              <w:t xml:space="preserve">1366</w:t>
            </w:r>
          </w:p>
        </w:tc>
        <w:tc>
          <w:tcPr>
            <w:tcW w:type="dxa" w:w="2600"/>
            <w:tcMar>
              <w:top w:type="dxa" w:w="60"/>
              <w:left w:type="dxa" w:w="80"/>
              <w:bottom w:type="dxa" w:w="60"/>
              <w:right w:type="dxa" w:w="80"/>
            </w:tcMar>
            <w:vAlign w:val="top"/>
          </w:tcPr>
          <w:p>
            <w:pPr>
              <w:spacing w:after="0"/>
            </w:pPr>
            <w:r>
              <w:rPr>
                <w:b w:val="false"/>
                <w:bCs w:val="false"/>
                <w:i w:val="false"/>
                <w:iCs w:val="false"/>
                <w:sz w:val="15"/>
                <w:szCs w:val="15"/>
              </w:rPr>
              <w:t xml:space="preserve">Kundu-text (flagged conflicted, see note)</w:t>
            </w:r>
          </w:p>
        </w:tc>
        <w:tc>
          <w:tcPr>
            <w:tcW w:type="dxa" w:w="3000"/>
            <w:tcMar>
              <w:top w:type="dxa" w:w="60"/>
              <w:left w:type="dxa" w:w="80"/>
              <w:bottom w:type="dxa" w:w="60"/>
              <w:right w:type="dxa" w:w="80"/>
            </w:tcMar>
            <w:vAlign w:val="top"/>
          </w:tcPr>
          <w:p>
            <w:pPr>
              <w:spacing w:after="0"/>
            </w:pPr>
            <w:r>
              <w:rPr>
                <w:b w:val="false"/>
                <w:bCs w:val="false"/>
                <w:i w:val="false"/>
                <w:iCs w:val="false"/>
                <w:sz w:val="15"/>
                <w:szCs w:val="15"/>
              </w:rPr>
              <w:t xml:space="preserve">Lipids</w:t>
            </w:r>
          </w:p>
        </w:tc>
        <w:tc>
          <w:tcPr>
            <w:tcW w:type="dxa" w:w="1400"/>
            <w:tcMar>
              <w:top w:type="dxa" w:w="60"/>
              <w:left w:type="dxa" w:w="80"/>
              <w:bottom w:type="dxa" w:w="60"/>
              <w:right w:type="dxa" w:w="80"/>
            </w:tcMar>
            <w:vAlign w:val="top"/>
          </w:tcPr>
          <w:p>
            <w:pPr>
              <w:spacing w:after="0"/>
            </w:pPr>
            <w:r>
              <w:rPr>
                <w:b w:val="false"/>
                <w:bCs w:val="false"/>
                <w:i w:val="false"/>
                <w:iCs w:val="false"/>
                <w:sz w:val="17"/>
                <w:szCs w:val="17"/>
              </w:rPr>
              <w:t xml:space="preserve">1354</w:t>
            </w:r>
          </w:p>
        </w:tc>
        <w:tc>
          <w:tcPr>
            <w:tcW w:type="dxa" w:w="2800"/>
            <w:tcMar>
              <w:top w:type="dxa" w:w="60"/>
              <w:left w:type="dxa" w:w="80"/>
              <w:bottom w:type="dxa" w:w="60"/>
              <w:right w:type="dxa" w:w="80"/>
            </w:tcMar>
            <w:vAlign w:val="top"/>
          </w:tcPr>
          <w:p>
            <w:pPr>
              <w:spacing w:after="0"/>
            </w:pPr>
            <w:r>
              <w:rPr>
                <w:b w:val="false"/>
                <w:bCs w:val="false"/>
                <w:i w:val="false"/>
                <w:iCs w:val="false"/>
                <w:sz w:val="15"/>
                <w:szCs w:val="15"/>
              </w:rPr>
              <w:t xml:space="preserve">1355 (KDO, Moderate)</w:t>
            </w:r>
          </w:p>
        </w:tc>
        <w:tc>
          <w:tcPr>
            <w:tcW w:type="dxa" w:w="3100"/>
            <w:shd w:fill="D5F5E3" w:val="clear"/>
            <w:tcMar>
              <w:top w:type="dxa" w:w="60"/>
              <w:left w:type="dxa" w:w="80"/>
              <w:bottom w:type="dxa" w:w="60"/>
              <w:right w:type="dxa" w:w="80"/>
            </w:tcMar>
            <w:vAlign w:val="top"/>
          </w:tcPr>
          <w:p>
            <w:pPr>
              <w:spacing w:after="0"/>
            </w:pPr>
            <w:r>
              <w:rPr>
                <w:b w:val="false"/>
                <w:bCs w:val="false"/>
                <w:i w:val="false"/>
                <w:iCs w:val="false"/>
                <w:sz w:val="15"/>
                <w:szCs w:val="15"/>
              </w:rPr>
              <w:t xml:space="preserve">Strong (literature -&gt; our powder -&gt; DFT-supported)</w:t>
            </w:r>
          </w:p>
        </w:tc>
      </w:tr>
      <w:tr>
        <w:tc>
          <w:tcPr>
            <w:tcW w:type="dxa" w:w="1200"/>
            <w:tcMar>
              <w:top w:type="dxa" w:w="60"/>
              <w:left w:type="dxa" w:w="80"/>
              <w:bottom w:type="dxa" w:w="60"/>
              <w:right w:type="dxa" w:w="80"/>
            </w:tcMar>
            <w:vAlign w:val="top"/>
          </w:tcPr>
          <w:p>
            <w:pPr>
              <w:spacing w:after="0"/>
            </w:pPr>
            <w:r>
              <w:rPr>
                <w:b w:val="false"/>
                <w:bCs w:val="false"/>
                <w:i w:val="false"/>
                <w:iCs w:val="false"/>
                <w:sz w:val="17"/>
                <w:szCs w:val="17"/>
              </w:rPr>
              <w:t xml:space="preserve">1579</w:t>
            </w:r>
          </w:p>
        </w:tc>
        <w:tc>
          <w:tcPr>
            <w:tcW w:type="dxa" w:w="2600"/>
            <w:tcMar>
              <w:top w:type="dxa" w:w="60"/>
              <w:left w:type="dxa" w:w="80"/>
              <w:bottom w:type="dxa" w:w="60"/>
              <w:right w:type="dxa" w:w="80"/>
            </w:tcMar>
            <w:vAlign w:val="top"/>
          </w:tcPr>
          <w:p>
            <w:pPr>
              <w:spacing w:after="0"/>
            </w:pPr>
            <w:r>
              <w:rPr>
                <w:b w:val="false"/>
                <w:bCs w:val="false"/>
                <w:i w:val="false"/>
                <w:iCs w:val="false"/>
                <w:sz w:val="15"/>
                <w:szCs w:val="15"/>
              </w:rPr>
              <w:t xml:space="preserve">Kundu-text (flagged conflicted, see note)</w:t>
            </w:r>
          </w:p>
        </w:tc>
        <w:tc>
          <w:tcPr>
            <w:tcW w:type="dxa" w:w="3000"/>
            <w:tcMar>
              <w:top w:type="dxa" w:w="60"/>
              <w:left w:type="dxa" w:w="80"/>
              <w:bottom w:type="dxa" w:w="60"/>
              <w:right w:type="dxa" w:w="80"/>
            </w:tcMar>
            <w:vAlign w:val="top"/>
          </w:tcPr>
          <w:p>
            <w:pPr>
              <w:spacing w:after="0"/>
            </w:pPr>
            <w:r>
              <w:rPr>
                <w:b w:val="false"/>
                <w:bCs w:val="false"/>
                <w:i w:val="false"/>
                <w:iCs w:val="false"/>
                <w:sz w:val="15"/>
                <w:szCs w:val="15"/>
              </w:rPr>
              <w:t xml:space="preserve">Graphitic carbon -- likely SERS-substrate artifact</w:t>
            </w:r>
          </w:p>
        </w:tc>
        <w:tc>
          <w:tcPr>
            <w:tcW w:type="dxa" w:w="1400"/>
            <w:tcMar>
              <w:top w:type="dxa" w:w="60"/>
              <w:left w:type="dxa" w:w="80"/>
              <w:bottom w:type="dxa" w:w="60"/>
              <w:right w:type="dxa" w:w="80"/>
            </w:tcMar>
            <w:vAlign w:val="top"/>
          </w:tcPr>
          <w:p>
            <w:pPr>
              <w:spacing w:after="0"/>
            </w:pPr>
            <w:r>
              <w:rPr>
                <w:b w:val="false"/>
                <w:bCs w:val="false"/>
                <w:i w:val="false"/>
                <w:iCs w:val="false"/>
                <w:sz w:val="17"/>
                <w:szCs w:val="17"/>
              </w:rPr>
              <w:t xml:space="preserve">1574</w:t>
            </w:r>
          </w:p>
        </w:tc>
        <w:tc>
          <w:tcPr>
            <w:tcW w:type="dxa" w:w="2800"/>
            <w:tcMar>
              <w:top w:type="dxa" w:w="60"/>
              <w:left w:type="dxa" w:w="80"/>
              <w:bottom w:type="dxa" w:w="60"/>
              <w:right w:type="dxa" w:w="80"/>
            </w:tcMar>
            <w:vAlign w:val="top"/>
          </w:tcPr>
          <w:p>
            <w:pPr>
              <w:spacing w:after="0"/>
            </w:pPr>
            <w:r>
              <w:rPr>
                <w:b w:val="false"/>
                <w:bCs w:val="false"/>
                <w:i w:val="false"/>
                <w:iCs w:val="false"/>
                <w:sz w:val="15"/>
                <w:szCs w:val="15"/>
              </w:rPr>
              <w:t xml:space="preserve">-</w:t>
            </w:r>
          </w:p>
        </w:tc>
        <w:tc>
          <w:tcPr>
            <w:tcW w:type="dxa" w:w="3100"/>
            <w:shd w:fill="FDEBD0" w:val="clear"/>
            <w:tcMar>
              <w:top w:type="dxa" w:w="60"/>
              <w:left w:type="dxa" w:w="80"/>
              <w:bottom w:type="dxa" w:w="60"/>
              <w:right w:type="dxa" w:w="80"/>
            </w:tcMar>
            <w:vAlign w:val="top"/>
          </w:tcPr>
          <w:p>
            <w:pPr>
              <w:spacing w:after="0"/>
            </w:pPr>
            <w:r>
              <w:rPr>
                <w:b w:val="false"/>
                <w:bCs w:val="false"/>
                <w:i w:val="false"/>
                <w:iCs w:val="false"/>
                <w:sz w:val="15"/>
                <w:szCs w:val="15"/>
              </w:rPr>
              <w:t xml:space="preserve">Experimental/Literature only (no DFT-supported match at this exp peak)</w:t>
            </w:r>
          </w:p>
        </w:tc>
      </w:tr>
      <w:tr>
        <w:tc>
          <w:tcPr>
            <w:tcW w:type="dxa" w:w="1200"/>
            <w:tcMar>
              <w:top w:type="dxa" w:w="60"/>
              <w:left w:type="dxa" w:w="80"/>
              <w:bottom w:type="dxa" w:w="60"/>
              <w:right w:type="dxa" w:w="80"/>
            </w:tcMar>
            <w:vAlign w:val="top"/>
          </w:tcPr>
          <w:p>
            <w:pPr>
              <w:spacing w:after="0"/>
            </w:pPr>
            <w:r>
              <w:rPr>
                <w:b w:val="false"/>
                <w:bCs w:val="false"/>
                <w:i w:val="false"/>
                <w:iCs w:val="false"/>
                <w:sz w:val="17"/>
                <w:szCs w:val="17"/>
              </w:rPr>
              <w:t xml:space="preserve">1655</w:t>
            </w:r>
          </w:p>
        </w:tc>
        <w:tc>
          <w:tcPr>
            <w:tcW w:type="dxa" w:w="2600"/>
            <w:tcMar>
              <w:top w:type="dxa" w:w="60"/>
              <w:left w:type="dxa" w:w="80"/>
              <w:bottom w:type="dxa" w:w="60"/>
              <w:right w:type="dxa" w:w="80"/>
            </w:tcMar>
            <w:vAlign w:val="top"/>
          </w:tcPr>
          <w:p>
            <w:pPr>
              <w:spacing w:after="0"/>
            </w:pPr>
            <w:r>
              <w:rPr>
                <w:b w:val="false"/>
                <w:bCs w:val="false"/>
                <w:i w:val="false"/>
                <w:iCs w:val="false"/>
                <w:sz w:val="15"/>
                <w:szCs w:val="15"/>
              </w:rPr>
              <w:t xml:space="preserve">Kundu-text (flagged conflicted, see note)</w:t>
            </w:r>
          </w:p>
        </w:tc>
        <w:tc>
          <w:tcPr>
            <w:tcW w:type="dxa" w:w="3000"/>
            <w:tcMar>
              <w:top w:type="dxa" w:w="60"/>
              <w:left w:type="dxa" w:w="80"/>
              <w:bottom w:type="dxa" w:w="60"/>
              <w:right w:type="dxa" w:w="80"/>
            </w:tcMar>
            <w:vAlign w:val="top"/>
          </w:tcPr>
          <w:p>
            <w:pPr>
              <w:spacing w:after="0"/>
            </w:pPr>
            <w:r>
              <w:rPr>
                <w:b w:val="false"/>
                <w:bCs w:val="false"/>
                <w:i w:val="false"/>
                <w:iCs w:val="false"/>
                <w:sz w:val="15"/>
                <w:szCs w:val="15"/>
              </w:rPr>
              <w:t xml:space="preserve">Lipids (C=O)</w:t>
            </w:r>
          </w:p>
        </w:tc>
        <w:tc>
          <w:tcPr>
            <w:tcW w:type="dxa" w:w="1400"/>
            <w:tcMar>
              <w:top w:type="dxa" w:w="60"/>
              <w:left w:type="dxa" w:w="80"/>
              <w:bottom w:type="dxa" w:w="60"/>
              <w:right w:type="dxa" w:w="80"/>
            </w:tcMar>
            <w:vAlign w:val="top"/>
          </w:tcPr>
          <w:p>
            <w:pPr>
              <w:spacing w:after="0"/>
            </w:pPr>
            <w:r>
              <w:rPr>
                <w:b w:val="false"/>
                <w:bCs w:val="false"/>
                <w:i w:val="false"/>
                <w:iCs w:val="false"/>
                <w:sz w:val="17"/>
                <w:szCs w:val="17"/>
              </w:rPr>
              <w:t xml:space="preserve">1659</w:t>
            </w:r>
          </w:p>
        </w:tc>
        <w:tc>
          <w:tcPr>
            <w:tcW w:type="dxa" w:w="2800"/>
            <w:tcMar>
              <w:top w:type="dxa" w:w="60"/>
              <w:left w:type="dxa" w:w="80"/>
              <w:bottom w:type="dxa" w:w="60"/>
              <w:right w:type="dxa" w:w="80"/>
            </w:tcMar>
            <w:vAlign w:val="top"/>
          </w:tcPr>
          <w:p>
            <w:pPr>
              <w:spacing w:after="0"/>
            </w:pPr>
            <w:r>
              <w:rPr>
                <w:b w:val="false"/>
                <w:bCs w:val="false"/>
                <w:i w:val="false"/>
                <w:iCs w:val="false"/>
                <w:sz w:val="15"/>
                <w:szCs w:val="15"/>
              </w:rPr>
              <w:t xml:space="preserve">1659 (KDO, High)</w:t>
            </w:r>
          </w:p>
        </w:tc>
        <w:tc>
          <w:tcPr>
            <w:tcW w:type="dxa" w:w="3100"/>
            <w:shd w:fill="D5F5E3" w:val="clear"/>
            <w:tcMar>
              <w:top w:type="dxa" w:w="60"/>
              <w:left w:type="dxa" w:w="80"/>
              <w:bottom w:type="dxa" w:w="60"/>
              <w:right w:type="dxa" w:w="80"/>
            </w:tcMar>
            <w:vAlign w:val="top"/>
          </w:tcPr>
          <w:p>
            <w:pPr>
              <w:spacing w:after="0"/>
            </w:pPr>
            <w:r>
              <w:rPr>
                <w:b w:val="false"/>
                <w:bCs w:val="false"/>
                <w:i w:val="false"/>
                <w:iCs w:val="false"/>
                <w:sz w:val="15"/>
                <w:szCs w:val="15"/>
              </w:rPr>
              <w:t xml:space="preserve">Strong (literature -&gt; our powder -&gt; DFT-supported)</w:t>
            </w:r>
          </w:p>
        </w:tc>
      </w:tr>
    </w:tbl>
    <w:sectPr>
      <w:pgSz w:w="15840" w:h="12240" w:orient="landscape"/>
      <w:pgMar w:top="600" w:right="720" w:bottom="6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b926e9901787cdf9bd4325c2e002c7e6d88f38a.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2026-08-30T01:47:54.586Z</dcterms:created>
  <dcterms:modified xsi:type="dcterms:W3CDTF">2026-08-30T01:47:54.598Z</dcterms:modified>
</cp:coreProperties>
</file>

<file path=docProps/custom.xml><?xml version="1.0" encoding="utf-8"?>
<Properties xmlns="http://schemas.openxmlformats.org/officeDocument/2006/custom-properties" xmlns:vt="http://schemas.openxmlformats.org/officeDocument/2006/docPropsVTypes"/>
</file>