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LPS Literature Search</w:t>
      </w:r>
    </w:p>
    <w:p>
      <w:pPr>
        <w:spacing w:after="240"/>
      </w:pPr>
      <w:r>
        <w:rPr>
          <w:i/>
          <w:iCs/>
          <w:color w:val="555555"/>
          <w:sz w:val="22"/>
          <w:szCs w:val="22"/>
        </w:rPr>
        <w:t xml:space="preserve">Research papers and peak tables for LPS and its five DFT fragments, verified against primary sources</w:t>
      </w:r>
    </w:p>
    <w:p>
      <w:pPr>
        <w:spacing w:after="100"/>
      </w:pPr>
      <w:r>
        <w:rPr>
          <w:b w:val="false"/>
          <w:bCs w:val="false"/>
          <w:i w:val="false"/>
          <w:iCs w:val="false"/>
          <w:sz w:val="20"/>
          <w:szCs w:val="20"/>
        </w:rPr>
        <w:t xml:space="preserve">Prepared for: Sukesh P (M24IM1007)</w:t>
      </w:r>
    </w:p>
    <w:p>
      <w:pPr>
        <w:spacing w:after="200"/>
      </w:pPr>
      <w:r>
        <w:rPr>
          <w:b w:val="false"/>
          <w:bCs w:val="false"/>
          <w:i w:val="false"/>
          <w:iCs w:val="false"/>
          <w:sz w:val="20"/>
          <w:szCs w:val="20"/>
        </w:rPr>
        <w:t xml:space="preserve">Search date: 30 August 2026</w:t>
      </w:r>
    </w:p>
    <w:p>
      <w:pPr>
        <w:spacing w:after="240"/>
      </w:pPr>
      <w:r>
        <w:rPr>
          <w:b w:val="false"/>
          <w:bCs w:val="false"/>
          <w:i/>
          <w:iCs/>
          <w:sz w:val="19"/>
          <w:szCs w:val="19"/>
        </w:rPr>
        <w:t xml:space="preserve">Method: live web search + direct retrieval of primary papers (not secondary project-document summaries). Every peak table below is extracted directly from the cited paper. Where a paper could not be opened (paywall/robots-blocked), it is listed by title and DOI only, with peak data explicitly marked as not verified.</w:t>
      </w:r>
    </w:p>
    <w:p>
      <w:pPr>
        <w:pStyle w:val="Heading1"/>
        <w:spacing w:after="150" w:before="320"/>
      </w:pPr>
      <w:r>
        <w:rPr>
          <w:b/>
          <w:bCs/>
        </w:rPr>
        <w:t xml:space="preserve">Important correction to the prior Literature Comparison table</w:t>
      </w:r>
    </w:p>
    <w:p>
      <w:pPr>
        <w:spacing w:after="100"/>
      </w:pPr>
      <w:r>
        <w:rPr>
          <w:b w:val="false"/>
          <w:bCs w:val="false"/>
          <w:i w:val="false"/>
          <w:iCs w:val="false"/>
          <w:sz w:val="20"/>
          <w:szCs w:val="20"/>
        </w:rPr>
        <w:t xml:space="preserve">Re-checking Wu, Zhao &amp; Zughaier (2021) against the actual published paper found that our earlier internal documents (and the three-way comparison table delivered previously) had its two peak tables swapped:</w:t>
      </w:r>
    </w:p>
    <w:p>
      <w:pPr>
        <w:spacing w:after="60"/>
        <w:ind w:left="320"/>
      </w:pPr>
      <w:r>
        <w:rPr>
          <w:b w:val="false"/>
          <w:bCs w:val="false"/>
          <w:sz w:val="20"/>
          <w:szCs w:val="20"/>
        </w:rPr>
        <w:t xml:space="preserve">•  Table 1 in the paper = Neisseria meningitidis LPS (550, 680, 850, 988, 1131, 1330, 1450 cm⁻¹) — our prior report had labelled this set "Enteric LPS."</w:t>
      </w:r>
    </w:p>
    <w:p>
      <w:pPr>
        <w:spacing w:after="150"/>
        <w:ind w:left="320"/>
      </w:pPr>
      <w:r>
        <w:rPr>
          <w:b w:val="false"/>
          <w:bCs w:val="false"/>
          <w:sz w:val="20"/>
          <w:szCs w:val="20"/>
        </w:rPr>
        <w:t xml:space="preserve">•  Table 2 in the paper = Enteric LPS (E. coli, Salmonella typhimurium, S. minnesota, Vibrio cholerae, Rhizobium) — our prior report had labelled this set "N. meningitidis LPS."</w:t>
      </w:r>
    </w:p>
    <w:p>
      <w:pPr>
        <w:spacing w:after="200"/>
      </w:pPr>
      <w:r>
        <w:rPr>
          <w:b w:val="false"/>
          <w:bCs w:val="false"/>
          <w:i w:val="false"/>
          <w:iCs w:val="false"/>
          <w:sz w:val="20"/>
          <w:szCs w:val="20"/>
        </w:rPr>
        <w:t xml:space="preserve">This matters because our sample is E. coli O111:B4 — the Enteric table (Table 2, corrected below) is the more directly relevant one, not the Neisseria table. The paper itself adds an important caveat, quoted directly: "The spectra of E. coli and V. cholerae are entirely different from the spectra of the Salmonella LPS and Rhizobium LPS." This means even within Table 2, individual peaks cannot be confidently attributed to E. coli specifically without the original spectra/figure — the table is a pooled list across five different enteric species, not an E. coli-specific list. This nuance was not visible from the project’s internal secondary-source documents and is reported here for the first time.</w:t>
      </w:r>
    </w:p>
    <w:p>
      <w:pPr>
        <w:pStyle w:val="Heading1"/>
        <w:spacing w:after="150" w:before="320"/>
      </w:pPr>
      <w:r>
        <w:rPr>
          <w:b/>
          <w:bCs/>
        </w:rPr>
        <w:t xml:space="preserve">Primary literature — direct LPS/endotoxin Raman &amp; SERS peak data</w:t>
      </w:r>
    </w:p>
    <w:p>
      <w:pPr>
        <w:pStyle w:val="Heading2"/>
        <w:spacing w:after="100" w:before="220"/>
      </w:pPr>
      <w:r>
        <w:rPr>
          <w:b/>
          <w:bCs/>
          <w:sz w:val="24"/>
          <w:szCs w:val="24"/>
        </w:rPr>
        <w:t xml:space="preserve">1. Wu, X.; Zhao, Y.; Zughaier, S.M. "Highly Sensitive Detection and Differentiation of Endotoxins Derived from Bacterial Pathogens by Surface-Enhanced Raman Scattering." Biosensors 2021, 11(7), 234.</w:t>
      </w:r>
    </w:p>
    <w:p>
      <w:pPr>
        <w:spacing w:after="60"/>
      </w:pPr>
      <w:hyperlink w:history="1" r:id="rIdch-rg3ujzg2nbfivpvtcq">
        <w:r>
          <w:rPr>
            <w:color w:val="1155CC"/>
            <w:sz w:val="19"/>
            <w:szCs w:val="19"/>
            <w:u w:val="single"/>
          </w:rPr>
          <w:t xml:space="preserve">DOI: 10.3390/bios11070234  |  PMC8301963</w:t>
        </w:r>
      </w:hyperlink>
    </w:p>
    <w:p>
      <w:pPr>
        <w:spacing w:after="100"/>
      </w:pPr>
      <w:r>
        <w:rPr>
          <w:b w:val="false"/>
          <w:bCs w:val="false"/>
          <w:i w:val="false"/>
          <w:iCs w:val="false"/>
          <w:sz w:val="19"/>
          <w:szCs w:val="19"/>
        </w:rPr>
        <w:t xml:space="preserve">Substrate: silver nanorods (AgNRs) by oblique angle deposition. Laser: 785 nm, 100 mW. Acquisition: 10–30 s. Range measured: 400–1800 cm⁻¹.</w:t>
      </w:r>
    </w:p>
    <w:p>
      <w:pPr>
        <w:spacing w:after="60"/>
      </w:pPr>
      <w:r>
        <w:rPr>
          <w:b/>
          <w:bCs/>
          <w:i w:val="false"/>
          <w:iCs w:val="false"/>
          <w:sz w:val="19"/>
          <w:szCs w:val="19"/>
        </w:rPr>
        <w:t xml:space="preserve">Table 1 — Neisseria meningitidis LPS (not our sample species):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Raman shift (cm⁻¹)</w:t>
            </w:r>
          </w:p>
        </w:tc>
        <w:tc>
          <w:tcPr>
            <w:tcW w:type="dxa" w:w="68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Assignment</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550</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β(CH₂) in ring</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680</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δ(C-O-C); fatty acid</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850</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ν(C-O-C); saccharides (1,4 glycosidic link)</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988</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β(CH); carbohydrates</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1131</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ν(C-C); fatty acid</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1330</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δ(CH); phospholipid</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1450</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α/β(CH₃/CH₂)</w:t>
            </w:r>
          </w:p>
        </w:tc>
      </w:tr>
    </w:tbl>
    <w:p>
      <w:pPr>
        <w:spacing w:after="60"/>
      </w:pPr>
      <w:r>
        <w:rPr>
          <w:b/>
          <w:bCs/>
          <w:i w:val="false"/>
          <w:iCs w:val="false"/>
          <w:sz w:val="19"/>
          <w:szCs w:val="19"/>
        </w:rPr>
        <w:t xml:space="preserve">Table 2 — Enteric LPS (pooled across E. coli, S. typhimurium, S. minnesota, V. cholerae, Rhizobium — the more relevant table for our sample, with the caveat above):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Raman shift (cm⁻¹)</w:t>
            </w:r>
          </w:p>
        </w:tc>
        <w:tc>
          <w:tcPr>
            <w:tcW w:type="dxa" w:w="68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Assignment</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543</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δ(C-O-C) in glycosidic ring</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552</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β(CH₂) in ring</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715</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ν(C-N)</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733</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β(C-O-C) in carbohydrates</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787</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ν(C-O) in ring</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855</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δ(C-O-C)</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981</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β(CH) in lipid</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1025</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ν(CO) in carbohydrates</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1087</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ν(C-O) in lipid</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1131</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ν(C-C) in fatty acid</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1309</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τ(CH₃/CH₂) in lipid</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1330</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δ(CH) in phospholipid</w:t>
            </w:r>
          </w:p>
        </w:tc>
      </w:tr>
    </w:tbl>
    <w:p>
      <w:pPr>
        <w:pStyle w:val="Heading2"/>
        <w:spacing w:after="100" w:before="220"/>
      </w:pPr>
      <w:r>
        <w:rPr>
          <w:b/>
          <w:bCs/>
          <w:sz w:val="24"/>
          <w:szCs w:val="24"/>
        </w:rPr>
        <w:t xml:space="preserve">2. Rusciano, G.; Capaccio, A.; Sasso, A.; et al. "A Surface-Enhanced Raman Spectroscopy-Based Biosensor for the Detection of Biological Macromolecules: The Case of the Lipopolysaccharide Endotoxin Molecules." Int. J. Mol. Sci. 2023, 24(15), 12099.</w:t>
      </w:r>
    </w:p>
    <w:p>
      <w:pPr>
        <w:spacing w:after="60"/>
      </w:pPr>
      <w:hyperlink w:history="1" r:id="rIdokv02pi_bwol5o2cyjidn">
        <w:r>
          <w:rPr>
            <w:color w:val="1155CC"/>
            <w:sz w:val="19"/>
            <w:szCs w:val="19"/>
            <w:u w:val="single"/>
          </w:rPr>
          <w:t xml:space="preserve">DOI: 10.3390/ijms241512099  |  PMC10419157</w:t>
        </w:r>
      </w:hyperlink>
    </w:p>
    <w:p>
      <w:pPr>
        <w:spacing w:after="100"/>
      </w:pPr>
      <w:r>
        <w:rPr>
          <w:b w:val="false"/>
          <w:bCs w:val="false"/>
          <w:i w:val="false"/>
          <w:iCs w:val="false"/>
          <w:sz w:val="19"/>
          <w:szCs w:val="19"/>
        </w:rPr>
        <w:t xml:space="preserve">Substrate: coral-like nanostructured silver (magnetron sputtering + ICP plasma). Capture chemistry: anti-Lipid A polyclonal antibody, physisorbed. Laser: 532 nm, 100 µW, 1 s. LOD 12 ng/mL, LOQ 41 ng/mL.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Raman shift (cm⁻¹)</w:t>
            </w:r>
          </w:p>
        </w:tc>
        <w:tc>
          <w:tcPr>
            <w:tcW w:type="dxa" w:w="68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Assignment</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640</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C-C-C out-of-plane bending</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840</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C-H bond vibration</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1001</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Phenylalanine</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1250</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C-N stretching</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1449</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CH₃ asymmetric bending</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1600</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Split band (LPS-induced)</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1659</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C=O stretching</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2880</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CH₂ symmetric stretching</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2933</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CH₃ symmetric stretching</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3058</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C-H bond stretching</w:t>
            </w:r>
          </w:p>
        </w:tc>
      </w:tr>
    </w:tbl>
    <w:p>
      <w:pPr>
        <w:spacing w:after="200"/>
      </w:pPr>
      <w:r>
        <w:rPr>
          <w:b w:val="false"/>
          <w:bCs w:val="false"/>
          <w:i/>
          <w:iCs/>
          <w:sz w:val="19"/>
          <w:szCs w:val="19"/>
        </w:rPr>
        <w:t xml:space="preserve">Confirms 1659 cm⁻¹ independently — the same band this project’s reanalysis found as its strongest High-confidence, three-layer-converged DFT-supported reference band.</w:t>
      </w:r>
    </w:p>
    <w:p>
      <w:pPr>
        <w:pStyle w:val="Heading2"/>
        <w:spacing w:after="100" w:before="220"/>
      </w:pPr>
      <w:r>
        <w:rPr>
          <w:b/>
          <w:bCs/>
          <w:sz w:val="24"/>
          <w:szCs w:val="24"/>
        </w:rPr>
        <w:t xml:space="preserve">3. Yang, D.; Xu, S.; et al. "Differentiation and classification of bacterial endotoxins based on surface enhanced Raman scattering and advanced machine learning." Nanoscale 2022, 14(24), 8806–8817.</w:t>
      </w:r>
    </w:p>
    <w:p>
      <w:pPr>
        <w:spacing w:after="60"/>
      </w:pPr>
      <w:hyperlink w:history="1" r:id="rId8v-6_gr2kmokdbeocs5qw">
        <w:r>
          <w:rPr>
            <w:color w:val="1155CC"/>
            <w:sz w:val="19"/>
            <w:szCs w:val="19"/>
            <w:u w:val="single"/>
          </w:rPr>
          <w:t xml:space="preserve">DOI: 10.1039/D2NR01277D  |  PMC9575096</w:t>
        </w:r>
      </w:hyperlink>
    </w:p>
    <w:p>
      <w:pPr>
        <w:spacing w:after="100"/>
      </w:pPr>
      <w:r>
        <w:rPr>
          <w:b w:val="false"/>
          <w:bCs w:val="false"/>
          <w:i w:val="false"/>
          <w:iCs w:val="false"/>
          <w:sz w:val="19"/>
          <w:szCs w:val="19"/>
        </w:rPr>
        <w:t xml:space="preserve">Substrate: AgNR arrays (oblique angle deposition). Laser: 785 nm, 9 mW. Reported detection level ~8.75 pg. Distinguishes LPS from LTA and peptidoglycan (PGN).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Raman shift (cm⁻¹)</w:t>
            </w:r>
          </w:p>
        </w:tc>
        <w:tc>
          <w:tcPr>
            <w:tcW w:type="dxa" w:w="68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Assignment</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735</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β(C-O-C) deformation</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794</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ν(C-O) stretching</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857</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LPS band (differentiation set, per project figures compendium; not independently re-confirmed in this fetch)</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894</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δ(C-C-H)/δ(C-O-H) — shared with chitin</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917</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δ(C-C-H)/δ(C-O-H)</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1003</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ν(C-O)/ν(C-C) stretching</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1333</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δ(C-H) deformation — shared with PGN and LTA</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1592</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ν(C-O) stretching</w:t>
            </w:r>
          </w:p>
        </w:tc>
      </w:tr>
      <w:tr>
        <w:tc>
          <w:tcPr>
            <w:tcW w:type="dxa" w:w="2200"/>
            <w:tcMar>
              <w:top w:type="dxa" w:w="60"/>
              <w:left w:type="dxa" w:w="80"/>
              <w:bottom w:type="dxa" w:w="60"/>
              <w:right w:type="dxa" w:w="80"/>
            </w:tcMar>
            <w:vAlign w:val="top"/>
          </w:tcPr>
          <w:p>
            <w:pPr>
              <w:spacing w:after="0"/>
            </w:pPr>
            <w:r>
              <w:rPr>
                <w:b w:val="false"/>
                <w:bCs w:val="false"/>
                <w:i w:val="false"/>
                <w:iCs w:val="false"/>
                <w:sz w:val="18"/>
                <w:szCs w:val="18"/>
              </w:rPr>
              <w:t xml:space="preserve">1614</w:t>
            </w:r>
          </w:p>
        </w:tc>
        <w:tc>
          <w:tcPr>
            <w:tcW w:type="dxa" w:w="6800"/>
            <w:tcMar>
              <w:top w:type="dxa" w:w="60"/>
              <w:left w:type="dxa" w:w="80"/>
              <w:bottom w:type="dxa" w:w="60"/>
              <w:right w:type="dxa" w:w="80"/>
            </w:tcMar>
            <w:vAlign w:val="top"/>
          </w:tcPr>
          <w:p>
            <w:pPr>
              <w:spacing w:after="0"/>
            </w:pPr>
            <w:r>
              <w:rPr>
                <w:b w:val="false"/>
                <w:bCs w:val="false"/>
                <w:i w:val="false"/>
                <w:iCs w:val="false"/>
                <w:sz w:val="18"/>
                <w:szCs w:val="18"/>
              </w:rPr>
              <w:t xml:space="preserve">ν(C-O)/ν(C-C) stretching</w:t>
            </w:r>
          </w:p>
        </w:tc>
      </w:tr>
    </w:tbl>
    <w:p>
      <w:pPr>
        <w:spacing w:after="200"/>
      </w:pPr>
      <w:r>
        <w:rPr>
          <w:b w:val="false"/>
          <w:bCs w:val="false"/>
          <w:i/>
          <w:iCs/>
          <w:sz w:val="18"/>
          <w:szCs w:val="18"/>
        </w:rPr>
        <w:t xml:space="preserve">Full peak table is in the paper’s Supplementary Table S6, not fully reproduced in the main text; the rows above are what the retrievable text confirms directly.</w:t>
      </w:r>
    </w:p>
    <w:p>
      <w:pPr>
        <w:pStyle w:val="Heading1"/>
        <w:spacing w:after="150" w:before="320"/>
      </w:pPr>
      <w:r>
        <w:rPr>
          <w:b/>
          <w:bCs/>
        </w:rPr>
        <w:t xml:space="preserve">Newly found papers — not previously in the project files</w:t>
      </w:r>
    </w:p>
    <w:p>
      <w:pPr>
        <w:spacing w:after="150"/>
      </w:pPr>
      <w:r>
        <w:rPr>
          <w:b w:val="false"/>
          <w:bCs w:val="false"/>
          <w:i w:val="false"/>
          <w:iCs w:val="false"/>
          <w:sz w:val="20"/>
          <w:szCs w:val="20"/>
        </w:rPr>
        <w:t xml:space="preserve">These were not found anywhere in the project workspace during the earlier evidence audit. Flagged here for review; peak-level data could not be extracted for the ones marked paywalled/blocked.</w:t>
      </w:r>
    </w:p>
    <w:p>
      <w:pPr>
        <w:pStyle w:val="Heading2"/>
        <w:spacing w:after="100" w:before="220"/>
      </w:pPr>
      <w:r>
        <w:rPr>
          <w:b/>
          <w:bCs/>
          <w:sz w:val="24"/>
          <w:szCs w:val="24"/>
        </w:rPr>
        <w:t xml:space="preserve">Sasso, A.; Capaccio, A.; Rusciano, G. "Exploring Reliable and Efficient Plasmonic Nanopatterning for Surface- and Tip-Enhanced Raman Spectroscopies." Int. J. Mol. Sci. 2023, 24(22), 16164.</w:t>
      </w:r>
    </w:p>
    <w:p>
      <w:pPr>
        <w:spacing w:after="60"/>
      </w:pPr>
      <w:hyperlink w:history="1" r:id="rIdu0wpxg4gaepw-gdc8xnwl">
        <w:r>
          <w:rPr>
            <w:color w:val="1155CC"/>
            <w:sz w:val="19"/>
            <w:szCs w:val="19"/>
            <w:u w:val="single"/>
          </w:rPr>
          <w:t xml:space="preserve">DOI: 10.3390/ijms242216164</w:t>
        </w:r>
      </w:hyperlink>
    </w:p>
    <w:p>
      <w:pPr>
        <w:spacing w:after="150"/>
      </w:pPr>
      <w:r>
        <w:rPr>
          <w:b w:val="false"/>
          <w:bCs w:val="false"/>
          <w:i w:val="false"/>
          <w:iCs w:val="false"/>
          <w:sz w:val="19"/>
          <w:szCs w:val="19"/>
        </w:rPr>
        <w:t xml:space="preserve">Follow-up from the same group as Rusciano et al. 2023 (paper #2 above), on the plasmonic substrate fabrication method itself. Directly relevant to substrate design, not peak assignment.</w:t>
      </w:r>
    </w:p>
    <w:p>
      <w:pPr>
        <w:pStyle w:val="Heading2"/>
        <w:spacing w:after="100" w:before="220"/>
      </w:pPr>
      <w:r>
        <w:rPr>
          <w:b/>
          <w:bCs/>
          <w:sz w:val="24"/>
          <w:szCs w:val="24"/>
        </w:rPr>
        <w:t xml:space="preserve">"DeepRaman: Implementing surface-enhanced Raman scattering together with cutting-edge machine learning for the differentiation and classification of bacterial endotoxins." Heliyon, 2025.</w:t>
      </w:r>
    </w:p>
    <w:p>
      <w:pPr>
        <w:spacing w:after="60"/>
      </w:pPr>
      <w:hyperlink w:history="1" r:id="rId9utdbacngwgzkhdnuucmd">
        <w:r>
          <w:rPr>
            <w:color w:val="1155CC"/>
            <w:sz w:val="19"/>
            <w:szCs w:val="19"/>
            <w:u w:val="single"/>
          </w:rPr>
          <w:t xml:space="preserve">ScienceDirect: S2405-8440(25)00930-2</w:t>
        </w:r>
      </w:hyperlink>
    </w:p>
    <w:p>
      <w:pPr>
        <w:spacing w:after="150"/>
      </w:pPr>
      <w:r>
        <w:rPr>
          <w:b w:val="false"/>
          <w:bCs w:val="false"/>
          <w:i w:val="false"/>
          <w:iCs w:val="false"/>
          <w:sz w:val="19"/>
          <w:szCs w:val="19"/>
        </w:rPr>
        <w:t xml:space="preserve">An ML-focused extension of the same endotoxin-classification line of work as Yang et al. 2022. Full text could not be retrieved (access blocked) — peak-level data not verified. Worth the student opening directly given institutional access.</w:t>
      </w:r>
    </w:p>
    <w:p>
      <w:pPr>
        <w:pStyle w:val="Heading2"/>
        <w:spacing w:after="100" w:before="220"/>
      </w:pPr>
      <w:r>
        <w:rPr>
          <w:b/>
          <w:bCs/>
          <w:sz w:val="24"/>
          <w:szCs w:val="24"/>
        </w:rPr>
        <w:t xml:space="preserve">"A Machine Learning-Enabled SERS Sensor: Multiplex Detection of Lipopolysaccharides from Foodborne Pathogenic Bacteria." ACS Appl. Mater. Interfaces, 2025.</w:t>
      </w:r>
    </w:p>
    <w:p>
      <w:pPr>
        <w:spacing w:after="60"/>
      </w:pPr>
      <w:hyperlink w:history="1" r:id="rIdhlhldtq323lzngpusryu6">
        <w:r>
          <w:rPr>
            <w:color w:val="1155CC"/>
            <w:sz w:val="19"/>
            <w:szCs w:val="19"/>
            <w:u w:val="single"/>
          </w:rPr>
          <w:t xml:space="preserve">DOI: 10.1021/acsami.5c08361</w:t>
        </w:r>
      </w:hyperlink>
    </w:p>
    <w:p>
      <w:pPr>
        <w:spacing w:after="150"/>
      </w:pPr>
      <w:r>
        <w:rPr>
          <w:b w:val="false"/>
          <w:bCs w:val="false"/>
          <w:i w:val="false"/>
          <w:iCs w:val="false"/>
          <w:sz w:val="19"/>
          <w:szCs w:val="19"/>
        </w:rPr>
        <w:t xml:space="preserve">Recent (2025), directly on multiplexed LPS SERS detection. Full text blocked (403) — could not confirm whether E. coli is among the species tested, or extract a peak table. Title/DOI only.</w:t>
      </w:r>
    </w:p>
    <w:p>
      <w:pPr>
        <w:pStyle w:val="Heading2"/>
        <w:spacing w:after="100" w:before="220"/>
      </w:pPr>
      <w:r>
        <w:rPr>
          <w:b/>
          <w:bCs/>
          <w:sz w:val="24"/>
          <w:szCs w:val="24"/>
        </w:rPr>
        <w:t xml:space="preserve">Li et al. "A Fiber-Optic Surface-Enhanced Raman Scattering (SERS) Probe for Sensitive Endotoxin Detection with Reduced Limulus Amebocyte Lysate (LAL) Consumption." Advanced Sensor Research, 2026.</w:t>
      </w:r>
    </w:p>
    <w:p>
      <w:pPr>
        <w:spacing w:after="60"/>
      </w:pPr>
      <w:hyperlink w:history="1" r:id="rIdy_fch0cm125ddmpp5booj">
        <w:r>
          <w:rPr>
            <w:color w:val="1155CC"/>
            <w:sz w:val="19"/>
            <w:szCs w:val="19"/>
            <w:u w:val="single"/>
          </w:rPr>
          <w:t xml:space="preserve">DOI: 10.1002/adsr.202500187</w:t>
        </w:r>
      </w:hyperlink>
    </w:p>
    <w:p>
      <w:pPr>
        <w:spacing w:after="200"/>
      </w:pPr>
      <w:r>
        <w:rPr>
          <w:b w:val="false"/>
          <w:bCs w:val="false"/>
          <w:i w:val="false"/>
          <w:iCs w:val="false"/>
          <w:sz w:val="19"/>
          <w:szCs w:val="19"/>
        </w:rPr>
        <w:t xml:space="preserve">Very recent (2026) — a fiber-optic SERS + LAL hybrid approach to endotoxin detection, a different sensing architecture from this project’s planar Ag/Si substrate. Not fetched in depth; flagged as a design reference for the discussion/future-work section of the thesis.</w:t>
      </w:r>
    </w:p>
    <w:p>
      <w:pPr>
        <w:pStyle w:val="Heading1"/>
        <w:spacing w:after="150" w:before="320"/>
      </w:pPr>
      <w:r>
        <w:rPr>
          <w:b/>
          <w:bCs/>
        </w:rPr>
        <w:t xml:space="preserve">Literature for the Five DFT Fragment Molecules</w:t>
      </w:r>
    </w:p>
    <w:p>
      <w:pPr>
        <w:spacing w:after="150"/>
      </w:pPr>
      <w:r>
        <w:rPr>
          <w:b w:val="false"/>
          <w:bCs w:val="false"/>
          <w:i w:val="false"/>
          <w:iCs w:val="false"/>
          <w:sz w:val="20"/>
          <w:szCs w:val="20"/>
        </w:rPr>
        <w:t xml:space="preserve">Individually searched, since the project’s DFT model treats LPS as a sum of these five fragments.</w:t>
      </w:r>
    </w:p>
    <w:p>
      <w:pPr>
        <w:pStyle w:val="Heading2"/>
        <w:spacing w:after="100" w:before="220"/>
      </w:pPr>
      <w:r>
        <w:rPr>
          <w:b/>
          <w:bCs/>
          <w:sz w:val="24"/>
          <w:szCs w:val="24"/>
        </w:rPr>
        <w:t xml:space="preserve">KDO (3-Deoxy-D-Manno-Octulosonic Acid) — no dedicated Raman/DFT literature found</w:t>
      </w:r>
    </w:p>
    <w:p>
      <w:pPr>
        <w:spacing w:after="150"/>
      </w:pPr>
      <w:r>
        <w:rPr>
          <w:b w:val="false"/>
          <w:bCs w:val="false"/>
          <w:i w:val="false"/>
          <w:iCs w:val="false"/>
          <w:sz w:val="20"/>
          <w:szCs w:val="20"/>
        </w:rPr>
        <w:t xml:space="preserve">Search returned only synthesis and biochemistry papers (KDO transferase enzymology, KDO analog synthesis for antibacterial drug discovery). No paper reporting an experimental or computed Raman spectrum of KDO in isolation was found. This is a genuine literature gap, not an oversight — the project’s DFT calculation for this fragment currently has no independent literature Raman spectrum to cross-check against.</w:t>
      </w:r>
    </w:p>
    <w:p>
      <w:pPr>
        <w:pStyle w:val="Heading2"/>
        <w:spacing w:after="100" w:before="220"/>
      </w:pPr>
      <w:r>
        <w:rPr>
          <w:b/>
          <w:bCs/>
          <w:sz w:val="24"/>
          <w:szCs w:val="24"/>
        </w:rPr>
        <w:t xml:space="preserve">D-Glucosamine — one classical paper found, not independently verified</w:t>
      </w:r>
    </w:p>
    <w:p>
      <w:pPr>
        <w:spacing w:after="100"/>
      </w:pPr>
      <w:r>
        <w:rPr>
          <w:b w:val="false"/>
          <w:bCs w:val="false"/>
          <w:i w:val="false"/>
          <w:iCs w:val="false"/>
          <w:sz w:val="19"/>
          <w:szCs w:val="19"/>
        </w:rPr>
        <w:t xml:space="preserve">"Laser raman scattering of glucosamine, N-acetylglucosamine, and glucuronic acid," Carbohydrate Research, 1974.</w:t>
      </w:r>
    </w:p>
    <w:p>
      <w:pPr>
        <w:spacing w:after="60"/>
      </w:pPr>
      <w:hyperlink w:history="1" r:id="rIdcdo0c8cyapgcbi_5csl5g">
        <w:r>
          <w:rPr>
            <w:color w:val="1155CC"/>
            <w:sz w:val="19"/>
            <w:szCs w:val="19"/>
            <w:u w:val="single"/>
          </w:rPr>
          <w:t xml:space="preserve">DOI/ScienceDirect: 0304416574901962</w:t>
        </w:r>
      </w:hyperlink>
    </w:p>
    <w:p>
      <w:pPr>
        <w:spacing w:after="150"/>
      </w:pPr>
      <w:r>
        <w:rPr>
          <w:b w:val="false"/>
          <w:bCs w:val="false"/>
          <w:i w:val="false"/>
          <w:iCs w:val="false"/>
          <w:sz w:val="19"/>
          <w:szCs w:val="19"/>
        </w:rPr>
        <w:t xml:space="preserve">This appears to be the direct literature precedent for glucosamine’s Raman spectrum, but the paper is paywalled and its content could not be fetched — peak positions are not verified here and should not be quoted until the student can access the full text (likely available via institutional access).</w:t>
      </w:r>
    </w:p>
    <w:p>
      <w:pPr>
        <w:pStyle w:val="Heading2"/>
        <w:spacing w:after="100" w:before="220"/>
      </w:pPr>
      <w:r>
        <w:rPr>
          <w:b/>
          <w:bCs/>
          <w:sz w:val="24"/>
          <w:szCs w:val="24"/>
        </w:rPr>
        <w:t xml:space="preserve">Heptose (L-Glycero-D-Manno-Heptose) — no dedicated Raman literature found</w:t>
      </w:r>
    </w:p>
    <w:p>
      <w:pPr>
        <w:spacing w:after="150"/>
      </w:pPr>
      <w:r>
        <w:rPr>
          <w:b w:val="false"/>
          <w:bCs w:val="false"/>
          <w:i w:val="false"/>
          <w:iCs w:val="false"/>
          <w:sz w:val="20"/>
          <w:szCs w:val="20"/>
        </w:rPr>
        <w:t xml:space="preserve">Search returned only biosynthesis and structural-biology papers (heptosyltransferase substrate characterization, PDB/ChEBI entries). No Raman spectroscopy paper for this sugar was found. A second literature gap, same caveat as KDO.</w:t>
      </w:r>
    </w:p>
    <w:p>
      <w:pPr>
        <w:pStyle w:val="Heading2"/>
        <w:spacing w:after="100" w:before="220"/>
      </w:pPr>
      <w:r>
        <w:rPr>
          <w:b/>
          <w:bCs/>
          <w:sz w:val="24"/>
          <w:szCs w:val="24"/>
        </w:rPr>
        <w:t xml:space="preserve">Myristic Acid — solid literature available</w:t>
      </w:r>
    </w:p>
    <w:p>
      <w:pPr>
        <w:spacing w:after="100"/>
      </w:pPr>
      <w:r>
        <w:rPr>
          <w:b w:val="false"/>
          <w:bCs w:val="false"/>
          <w:i w:val="false"/>
          <w:iCs w:val="false"/>
          <w:sz w:val="19"/>
          <w:szCs w:val="19"/>
        </w:rPr>
        <w:t xml:space="preserve">"Statistical analysis of Raman Spectra of biofuels: The case of myristic acid conformers," Journal of Molecular Structure / Vib. Spectrosc. (2025).</w:t>
      </w:r>
    </w:p>
    <w:p>
      <w:pPr>
        <w:spacing w:after="60"/>
      </w:pPr>
      <w:hyperlink w:history="1" r:id="rIdohegxb0km4y8j_qperklw">
        <w:r>
          <w:rPr>
            <w:color w:val="1155CC"/>
            <w:sz w:val="19"/>
            <w:szCs w:val="19"/>
            <w:u w:val="single"/>
          </w:rPr>
          <w:t xml:space="preserve">ScienceDirect: S1386142525004019</w:t>
        </w:r>
      </w:hyperlink>
    </w:p>
    <w:p>
      <w:pPr>
        <w:spacing w:after="100"/>
      </w:pPr>
      <w:r>
        <w:rPr>
          <w:b w:val="false"/>
          <w:bCs w:val="false"/>
          <w:i w:val="false"/>
          <w:iCs w:val="false"/>
          <w:sz w:val="19"/>
          <w:szCs w:val="19"/>
        </w:rPr>
        <w:t xml:space="preserve">Directly on myristic acid Raman spectra and conformers — the most relevant single paper for this fragment, but robots-blocked from automated fetch; peak values not extracted here.</w:t>
      </w:r>
    </w:p>
    <w:p>
      <w:pPr>
        <w:spacing w:after="100"/>
      </w:pPr>
      <w:r>
        <w:rPr>
          <w:b w:val="false"/>
          <w:bCs w:val="false"/>
          <w:i w:val="false"/>
          <w:iCs w:val="false"/>
          <w:sz w:val="19"/>
          <w:szCs w:val="19"/>
        </w:rPr>
        <w:t xml:space="preserve">Also relevant by close analogy (same fatty-acid family, DFT + polarized Raman): "Polarized Raman and Infrared Spectroscopy and ab Initio Calculation of Palmitic and Stearic Acids in the Bm and C Forms," J. Phys. Chem. A (2017).</w:t>
      </w:r>
    </w:p>
    <w:p>
      <w:pPr>
        <w:spacing w:after="60"/>
      </w:pPr>
      <w:hyperlink w:history="1" r:id="rIdy3k2qvznigt78aohy_on_">
        <w:r>
          <w:rPr>
            <w:color w:val="1155CC"/>
            <w:sz w:val="19"/>
            <w:szCs w:val="19"/>
            <w:u w:val="single"/>
          </w:rPr>
          <w:t xml:space="preserve">DOI: 10.1021/acs.jpca.7b04117</w:t>
        </w:r>
      </w:hyperlink>
    </w:p>
    <w:p>
      <w:pPr>
        <w:spacing w:after="200"/>
      </w:pPr>
      <w:r>
        <w:rPr>
          <w:b w:val="false"/>
          <w:bCs w:val="false"/>
          <w:i w:val="false"/>
          <w:iCs w:val="false"/>
          <w:sz w:val="19"/>
          <w:szCs w:val="19"/>
        </w:rPr>
        <w:t xml:space="preserve">And: "Conformational change in the C form of palmitic acid investigated by Raman spectroscopy and X-ray diffraction," J. Mol. Struct. (2016) — same saturated-fatty-acid-chain vibrational logic (CH₂/CH₃ region) directly applicable to myristic acid’s acyl chain.</w:t>
      </w:r>
    </w:p>
    <w:p>
      <w:pPr>
        <w:pStyle w:val="Heading2"/>
        <w:spacing w:after="100" w:before="220"/>
      </w:pPr>
      <w:r>
        <w:rPr>
          <w:b/>
          <w:bCs/>
          <w:sz w:val="24"/>
          <w:szCs w:val="24"/>
        </w:rPr>
        <w:t xml:space="preserve">Phosphoric Acid — solid literature available</w:t>
      </w:r>
    </w:p>
    <w:p>
      <w:pPr>
        <w:spacing w:after="100"/>
      </w:pPr>
      <w:r>
        <w:rPr>
          <w:b w:val="false"/>
          <w:bCs w:val="false"/>
          <w:i w:val="false"/>
          <w:iCs w:val="false"/>
          <w:sz w:val="19"/>
          <w:szCs w:val="19"/>
        </w:rPr>
        <w:t xml:space="preserve">"Raman- and infrared-spectroscopic investigations of dilute aqueous phosphoric acid solutions," Dalton Transactions (2010).</w:t>
      </w:r>
    </w:p>
    <w:p>
      <w:pPr>
        <w:spacing w:after="60"/>
      </w:pPr>
      <w:hyperlink w:history="1" r:id="rIddi-jqyukprreyssyhdg6y">
        <w:r>
          <w:rPr>
            <w:color w:val="1155CC"/>
            <w:sz w:val="19"/>
            <w:szCs w:val="19"/>
            <w:u w:val="single"/>
          </w:rPr>
          <w:t xml:space="preserve">DOI/PubMed: 20830396</w:t>
        </w:r>
      </w:hyperlink>
    </w:p>
    <w:p>
      <w:pPr>
        <w:spacing w:after="200"/>
      </w:pPr>
      <w:r>
        <w:rPr>
          <w:b w:val="false"/>
          <w:bCs w:val="false"/>
          <w:i w:val="false"/>
          <w:iCs w:val="false"/>
          <w:sz w:val="19"/>
          <w:szCs w:val="19"/>
        </w:rPr>
        <w:t xml:space="preserve">And: "Raman-Spectroscopic Measurements of the First Dissociation Constant of Aqueous Phosphoric Acid Solution from 5 to 301 °C" — both give phosphate/phosphoric-acid vibrational band positions (P-O stretching region) directly relevant to interpreting the project’s Phosphoric Acid DFT fragment, though for the aqueous/dissociated species rather than the solid powder form used in the DFT calculation.</w:t>
      </w:r>
    </w:p>
    <w:p>
      <w:pPr>
        <w:pStyle w:val="Heading1"/>
        <w:spacing w:after="150" w:before="320"/>
      </w:pPr>
      <w:r>
        <w:rPr>
          <w:b/>
          <w:bCs/>
        </w:rPr>
        <w:t xml:space="preserve">What This Means for the Project</w:t>
      </w:r>
    </w:p>
    <w:p>
      <w:pPr>
        <w:spacing w:after="60"/>
        <w:ind w:left="320"/>
      </w:pPr>
      <w:r>
        <w:rPr>
          <w:b w:val="false"/>
          <w:bCs w:val="false"/>
          <w:sz w:val="20"/>
          <w:szCs w:val="20"/>
        </w:rPr>
        <w:t xml:space="preserve">•  Use the corrected Table 2 (Enteric LPS, Wu et al. 2021) as the more relevant literature comparison set for our E. coli O111:B4 sample — not Table 1 (Neisseria) as the prior report’s labelling implied — while keeping the paper’s own caveat that E. coli and V. cholerae spectra are "entirely different" from Salmonella/Rhizobium even within that table.</w:t>
      </w:r>
    </w:p>
    <w:p>
      <w:pPr>
        <w:spacing w:after="60"/>
        <w:ind w:left="320"/>
      </w:pPr>
      <w:r>
        <w:rPr>
          <w:b w:val="false"/>
          <w:bCs w:val="false"/>
          <w:sz w:val="20"/>
          <w:szCs w:val="20"/>
        </w:rPr>
        <w:t xml:space="preserve">•  Rusciano et al. 2023 independently confirms 1659 cm⁻¹ as a genuine LPS-associated band (C=O stretching) — this now triangulates with the project’s own experimental peak, DFT-supported KDO mode, and the April-2026 internal literature report’s Amide I citation. This is the single best-supported band across every source checked, internal and external.</w:t>
      </w:r>
    </w:p>
    <w:p>
      <w:pPr>
        <w:spacing w:after="60"/>
        <w:ind w:left="320"/>
      </w:pPr>
      <w:r>
        <w:rPr>
          <w:b w:val="false"/>
          <w:bCs w:val="false"/>
          <w:sz w:val="20"/>
          <w:szCs w:val="20"/>
        </w:rPr>
        <w:t xml:space="preserve">•  Yang et al. 2022’s primary-source table adds several genuinely new candidate LPS bands (735, 794, 894, 917, 1592 cm⁻¹) not previously logged in any internal project document — worth checking against the experimental peak list in a future pass.</w:t>
      </w:r>
    </w:p>
    <w:p>
      <w:pPr>
        <w:spacing w:after="60"/>
        <w:ind w:left="320"/>
      </w:pPr>
      <w:r>
        <w:rPr>
          <w:b w:val="false"/>
          <w:bCs w:val="false"/>
          <w:sz w:val="20"/>
          <w:szCs w:val="20"/>
        </w:rPr>
        <w:t xml:space="preserve">•  KDO and Heptose have no literature Raman spectrum to check the DFT calculation against, in either the project’s own files or the wider published literature searched here. This should be stated plainly as a limitation, not worked around.</w:t>
      </w:r>
    </w:p>
    <w:p>
      <w:pPr>
        <w:spacing w:after="200"/>
        <w:ind w:left="320"/>
      </w:pPr>
      <w:r>
        <w:rPr>
          <w:b w:val="false"/>
          <w:bCs w:val="false"/>
          <w:sz w:val="20"/>
          <w:szCs w:val="20"/>
        </w:rPr>
        <w:t xml:space="preserve">•  Four new papers (Sasso 2023, DeepRaman 2025, ACS AMI 2025, fiber-optic LAL 2026) extend the same line of work the project already cites and are worth the student’s own institutional-access review — none could be fully verified here due to access restrictions.</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h-rg3ujzg2nbfivpvtcq" Type="http://schemas.openxmlformats.org/officeDocument/2006/relationships/hyperlink" Target="https://doi.org/10.3390/bios11070234" TargetMode="External"/><Relationship Id="rIdokv02pi_bwol5o2cyjidn" Type="http://schemas.openxmlformats.org/officeDocument/2006/relationships/hyperlink" Target="https://doi.org/10.3390/ijms241512099" TargetMode="External"/><Relationship Id="rId8v-6_gr2kmokdbeocs5qw" Type="http://schemas.openxmlformats.org/officeDocument/2006/relationships/hyperlink" Target="https://doi.org/10.1039/D2NR01277D" TargetMode="External"/><Relationship Id="rIdu0wpxg4gaepw-gdc8xnwl" Type="http://schemas.openxmlformats.org/officeDocument/2006/relationships/hyperlink" Target="https://www.mdpi.com/1422-0067/24/22/16164" TargetMode="External"/><Relationship Id="rId9utdbacngwgzkhdnuucmd" Type="http://schemas.openxmlformats.org/officeDocument/2006/relationships/hyperlink" Target="https://www.sciencedirect.com/science/article/pii/S2405844025009302" TargetMode="External"/><Relationship Id="rIdhlhldtq323lzngpusryu6" Type="http://schemas.openxmlformats.org/officeDocument/2006/relationships/hyperlink" Target="https://doi.org/10.1021/acsami.5c08361" TargetMode="External"/><Relationship Id="rIdy_fch0cm125ddmpp5booj" Type="http://schemas.openxmlformats.org/officeDocument/2006/relationships/hyperlink" Target="https://advanced.onlinelibrary.wiley.com/doi/10.1002/adsr.202500187" TargetMode="External"/><Relationship Id="rIdcdo0c8cyapgcbi_5csl5g" Type="http://schemas.openxmlformats.org/officeDocument/2006/relationships/hyperlink" Target="https://www.sciencedirect.com/science/article/abs/pii/0304416574901962" TargetMode="External"/><Relationship Id="rIdohegxb0km4y8j_qperklw" Type="http://schemas.openxmlformats.org/officeDocument/2006/relationships/hyperlink" Target="https://www.sciencedirect.com/science/article/abs/pii/S1386142525004019" TargetMode="External"/><Relationship Id="rIdy3k2qvznigt78aohy_on_" Type="http://schemas.openxmlformats.org/officeDocument/2006/relationships/hyperlink" Target="https://pubs.acs.org/doi/10.1021/acs.jpca.7b04117" TargetMode="External"/><Relationship Id="rIddi-jqyukprreyssyhdg6y" Type="http://schemas.openxmlformats.org/officeDocument/2006/relationships/hyperlink" Target="https://pubmed.ncbi.nlm.nih.gov/20830396/"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2026-08-30T02:07:54.884Z</dcterms:created>
  <dcterms:modified xsi:type="dcterms:W3CDTF">2026-08-30T02:07:54.884Z</dcterms:modified>
</cp:coreProperties>
</file>

<file path=docProps/custom.xml><?xml version="1.0" encoding="utf-8"?>
<Properties xmlns="http://schemas.openxmlformats.org/officeDocument/2006/custom-properties" xmlns:vt="http://schemas.openxmlformats.org/officeDocument/2006/docPropsVTypes"/>
</file>