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b/>
          <w:bCs/>
          <w:color w:val="0B0B0B"/>
          <w:sz w:val="40"/>
          <w:szCs w:val="40"/>
        </w:rPr>
        <w:t xml:space="preserve">N-Acetylmuramic Acid (NAM) — Complete Analysis Report</w:t>
      </w:r>
    </w:p>
    <w:p>
      <w:pPr>
        <w:spacing w:after="60"/>
        <w:jc w:val="center"/>
      </w:pPr>
      <w:r>
        <w:rPr>
          <w:color w:val="52514E"/>
          <w:sz w:val="24"/>
          <w:szCs w:val="24"/>
        </w:rPr>
        <w:t xml:space="preserve">Sample &amp; Instrument Specs · Old vs. New Powder Raman · α- vs. β-Anomer DFT · Literature · SERS Validation</w:t>
      </w:r>
    </w:p>
    <w:p>
      <w:pPr>
        <w:spacing w:after="500"/>
        <w:jc w:val="center"/>
      </w:pPr>
      <w:r>
        <w:rPr>
          <w:i/>
          <w:iCs/>
          <w:color w:val="898781"/>
          <w:sz w:val="18"/>
          <w:szCs w:val="18"/>
        </w:rPr>
        <w:t xml:space="preserve">Compiled 28 August 2026 · companion to the NAM_Master_Dataset consolidated folder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this report covers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sample, Raman instrument, and DFT compute specifications behind every number in this study.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two powder Raman datasets — the OLD April optimisation grid and the NEW May replicate set the reference spectrum is built from — and how they relate.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two DFT anomer simulations (α and β) and the rigorous statistical test of whether the α-anomer explains bands the β-anomer misses.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Powder-vs-DFT peak matching and cross-check against published literature.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full SERS story: substrate selection, powder-vs-SERS comparison, and step-by-step validation ending in a matched-blank-substrate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data-quality note on a discrepancy found in the archive, and where everything now lives.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Sample and Machine Specifications</w:t>
      </w:r>
    </w:p>
    <w:p>
      <w:pPr>
        <w:pStyle w:val="Heading2"/>
        <w:spacing w:after="120" w:before="260"/>
      </w:pPr>
      <w:r>
        <w:t xml:space="preserve">1.1 Sample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Compound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N-Acetylmuramic acid (NAM, MurNAc)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Supplier / catalogue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Sigma-Aldrich (Merck), A3007-100MG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CAS / Lot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10597-89-4 / BCCK5768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Formula / MW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C₁₁H₁₉NO₈ / 293.27 g/mol (anhydrous)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Purity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≥98% (TLC), synthetic, no purification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Anomeric configuration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NOT specified by supplier — α/β mixture (normal for a reducing sugar)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1.2 Raman instrument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System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B&amp;W Tek i-Raman Plus, BWS465-785H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Laser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785 nm, Class 3B, 0–100% in 1% steps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Power budget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495 mW safety label → 455 mW at port → 340 mW exiting probe → at-sample power unmeasured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Detector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2048-pixel TE-cooled CCD (−20 °C)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Resolution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&lt; 3.5 cm⁻¹ (manufacturer spec)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Analysis window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400–1800 cm⁻¹, 1 cm⁻¹ grid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1.3 DFT compute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Software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Gaussian 16, Revision C.01 (Windows 64-bit)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Method / basis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B3LYP-D3BJ / 6-311++G(d,p)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Phase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Gas phase, isolated molecule, no solvation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Resources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16 shared-memory processors, 48 GB RAM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β-anomer runtime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3h 42m opt + 58m freq ≈ 4h 41m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α-anomer runtime</w:t>
            </w:r>
          </w:p>
        </w:tc>
        <w:tc>
          <w:tcPr>
            <w:tcW w:type="dxa" w:w="68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2h 39m opt (27 steps) + 1h 03m freq = 3h 42m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Imaginary frequencies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 for both anomers — both are true minima</w:t>
            </w:r>
          </w:p>
        </w:tc>
      </w:tr>
    </w:tbl>
    <w:p>
      <w:pPr>
        <w:pStyle w:val="Heading1"/>
        <w:spacing w:after="160" w:before="360"/>
      </w:pPr>
      <w:r>
        <w:t xml:space="preserve">2. Powder Raman — Old (April) vs. New (May) Data</w:t>
      </w:r>
    </w:p>
    <w:p>
      <w:pPr>
        <w:spacing w:after="160"/>
      </w:pPr>
      <w:r>
        <w:t xml:space="preserve">Two powder Raman datasets exist, collected roughly five weeks apart, and they serve different purposes rather than being a simple do-over.</w:t>
      </w:r>
    </w:p>
    <w:p>
      <w:pPr>
        <w:pStyle w:val="Heading2"/>
        <w:spacing w:after="120" w:before="260"/>
      </w:pPr>
      <w:r>
        <w:t xml:space="preserve">2.1 OLD — April Optimisation Grid (98 spectra, 20–24 April)</w:t>
      </w:r>
    </w:p>
    <w:p>
      <w:pPr>
        <w:spacing w:after="160"/>
      </w:pPr>
      <w:r>
        <w:t xml:space="preserve">A systematic grid of 5 integration times (5–25 s) × 16 power levels (5–80%), one spectrum per condition. This is not a replicate set — every spectrum is a different acquisition condition, collected to find a safe, high-quality setting before committing to a measurement campaign.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1. April acquisition-optimisation grid — signal quality vs. power and integration time.</w:t>
      </w:r>
    </w:p>
    <w:p>
      <w:pPr>
        <w:pStyle w:val="Heading2"/>
        <w:spacing w:after="120" w:before="260"/>
      </w:pPr>
      <w:r>
        <w:t xml:space="preserve">2.2 NEW — May Replicate Set (104 spectra, 29–30 May)</w:t>
      </w:r>
    </w:p>
    <w:p>
      <w:pPr>
        <w:spacing w:after="160"/>
      </w:pPr>
      <w:r>
        <w:t xml:space="preserve">Nine replicate sets at the settings the April grid identified as safe and high-quality, with a fresh sample spot for every measurement. This is the dataset all downstream analysis is built from: the reference spectrum used throughout this report is the mean of 22 independent replicates (sets R2 + R4), with per-point standard deviation.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2. Reference experimental spectrum — mean of 22 replicate measurements (May), ±1 SD shaded.</w:t>
      </w:r>
    </w:p>
    <w:p>
      <w:pPr>
        <w:pStyle w:val="Heading2"/>
        <w:spacing w:after="120" w:before="260"/>
      </w:pPr>
      <w:r>
        <w:t xml:space="preserve">2.3 Damage threshold, established from both sessions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5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≤80% power, ≤25 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safe</w:t>
            </w:r>
          </w:p>
        </w:tc>
      </w:tr>
      <w:tr>
        <w:tc>
          <w:tcPr>
            <w:tcW w:type="dxa" w:w="4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70% power, 30 s</w:t>
            </w:r>
          </w:p>
        </w:tc>
        <w:tc>
          <w:tcPr>
            <w:tcW w:type="dxa" w:w="5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safe (r = 0.977)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70% power, 60 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safe (r = 0.970)</w:t>
            </w:r>
          </w:p>
        </w:tc>
      </w:tr>
      <w:tr>
        <w:tc>
          <w:tcPr>
            <w:tcW w:type="dxa" w:w="4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90% power, 30 s</w:t>
            </w:r>
          </w:p>
        </w:tc>
        <w:tc>
          <w:tcPr>
            <w:tcW w:type="dxa" w:w="5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safe (r = 0.948)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90% power, 60 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SAMPLE DESTROYED — excluded from all analysis</w:t>
            </w:r>
          </w:p>
        </w:tc>
      </w:tr>
    </w:tbl>
    <w:p>
      <w:pPr>
        <w:spacing w:after="160"/>
      </w:pPr>
      <w:r>
        <w:t xml:space="preserve">Practical takeaway: the April grid answered “what setting is safe and readable,” and the May set is the actual data used for every scientific conclusion in this report. Neither supersedes the other — they answer different questions.</w:t>
      </w:r>
    </w:p>
    <w:p>
      <w:pPr>
        <w:pStyle w:val="Heading1"/>
        <w:spacing w:after="160" w:before="360"/>
      </w:pPr>
      <w:r>
        <w:t xml:space="preserve">3. DFT Simulation — α-Anomer vs. β-Anomer</w:t>
      </w:r>
    </w:p>
    <w:p>
      <w:pPr>
        <w:spacing w:after="160"/>
      </w:pPr>
      <w:r>
        <w:t xml:space="preserve">Two independent Gaussian 16 calculations exist for NAM: the β-anomer (used as the reference model throughout the manuscript) and the α-anomer (run specifically to test whether the anomeric form explains the 11 experimental bands the β model cannot match).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3. α-anomer vs. β-anomer optimised structures.</w:t>
      </w:r>
    </w:p>
    <w:p>
      <w:pPr>
        <w:pStyle w:val="Heading2"/>
        <w:spacing w:after="120" w:before="260"/>
      </w:pPr>
      <w:r>
        <w:t xml:space="preserve">3.1 Both calculations are sound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Identical method, basis (573 basis functions), and gas-phase treatment for both anomers.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converged to a true minimum: 0 imaginary frequencies, normal termination.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111 normal modes computed for each, all with Raman activities.</w:t>
      </w:r>
    </w:p>
    <w:p>
      <w:pPr>
        <w:pStyle w:val="Heading2"/>
        <w:spacing w:after="120" w:before="260"/>
      </w:pPr>
      <w:r>
        <w:t xml:space="preserve">3.2 The honest test — and why it fails</w:t>
      </w:r>
    </w:p>
    <w:p>
      <w:pPr>
        <w:spacing w:after="160"/>
      </w:pPr>
      <w:r>
        <w:t xml:space="preserve">At first glance, the α-anomer appeared to match 5 of the 11 β-unmatched bands within ±18 cm⁻¹, including both bands (830, 956 cm⁻¹) the calculation was run to explain. This is misleading: those 11 bands are defined as the ones β failed to match, so β scores 0/11 on its own leftovers by construction — any second mode set will score above zero. The correct test is whether α improves the fit across all 41 bands more than a chemically meaningless control would.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Tolerance</w:t>
            </w:r>
          </w:p>
        </w:tc>
        <w:tc>
          <w:tcPr>
            <w:tcW w:type="dxa" w:w="1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β alone</w:t>
            </w:r>
          </w:p>
        </w:tc>
        <w:tc>
          <w:tcPr>
            <w:tcW w:type="dxa" w:w="1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α alone</w:t>
            </w:r>
          </w:p>
        </w:tc>
        <w:tc>
          <w:tcPr>
            <w:tcW w:type="dxa" w:w="2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β+α (real gain)</w:t>
            </w:r>
          </w:p>
        </w:tc>
        <w:tc>
          <w:tcPr>
            <w:tcW w:type="dxa" w:w="2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β+decoy (gain)</w:t>
            </w:r>
          </w:p>
        </w:tc>
        <w:tc>
          <w:tcPr>
            <w:tcW w:type="dxa" w:w="15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±5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23 (+7)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+7.22 ± 2.06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0.62</w:t>
            </w:r>
          </w:p>
        </w:tc>
      </w:tr>
      <w:tr>
        <w:tc>
          <w:tcPr>
            <w:tcW w:type="dxa" w:w="1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±8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29 (+6)</w:t>
            </w:r>
          </w:p>
        </w:tc>
        <w:tc>
          <w:tcPr>
            <w:tcW w:type="dxa" w:w="2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+4.94 ± 2.17</w:t>
            </w:r>
          </w:p>
        </w:tc>
        <w:tc>
          <w:tcPr>
            <w:tcW w:type="dxa" w:w="1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0.41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±10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30 (+5)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+5.02 ± 2.11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0.58</w:t>
            </w:r>
          </w:p>
        </w:tc>
      </w:tr>
      <w:tr>
        <w:tc>
          <w:tcPr>
            <w:tcW w:type="dxa" w:w="1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±18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35 (+5)</w:t>
            </w:r>
          </w:p>
        </w:tc>
        <w:tc>
          <w:tcPr>
            <w:tcW w:type="dxa" w:w="2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+4.28 ± 1.95</w:t>
            </w:r>
          </w:p>
        </w:tc>
        <w:tc>
          <w:tcPr>
            <w:tcW w:type="dxa" w:w="1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0.46</w:t>
            </w:r>
          </w:p>
        </w:tc>
      </w:tr>
    </w:tbl>
    <w:p>
      <w:pPr>
        <w:spacing w:after="160"/>
      </w:pPr>
      <w:r>
        <w:t xml:space="preserve">The control — the β modes shifted by a random offset, same count, chemically meaningless — scores just as well as the real α calculation at every tolerance tested. At no tolerance is the α improvement distinguishable from chance (p = 0.41–0.62). A ±18 cm⁻¹ tolerance with 111 modes in a 1400 cm⁻¹ window also covers 172% of the axis — wide enough that almost anything would match something.</w:t>
      </w:r>
    </w:p>
    <w:p>
      <w:pPr>
        <w:pBdr>
          <w:left w:val="single" w:color="C98A1A" w:sz="24" w:space="8"/>
        </w:pBdr>
        <w:shd w:fill="FFF4E5" w:val="clear"/>
        <w:spacing w:after="200" w:before="120"/>
      </w:pPr>
      <w:r>
        <w:rPr>
          <w:i/>
          <w:iCs/>
          <w:color w:val="6B4A0E"/>
          <w:sz w:val="20"/>
          <w:szCs w:val="20"/>
        </w:rPr>
        <w:t xml:space="preserve">Verdict: the α-anomer hypothesis is tested and rejected as an explanation for the unmatched bands. This is a real negative result, not a failed calculation.</w:t>
      </w:r>
    </w:p>
    <w:p>
      <w:pPr>
        <w:pStyle w:val="Heading2"/>
        <w:spacing w:after="120" w:before="260"/>
      </w:pPr>
      <w:r>
        <w:t xml:space="preserve">3.3 Two of the five apparent α "matches" are physically unobservable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 (cm⁻¹)</w:t>
            </w:r>
          </w:p>
        </w:tc>
        <w:tc>
          <w:tcPr>
            <w:tcW w:type="dxa" w:w="1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α mode</w:t>
            </w:r>
          </w:p>
        </w:tc>
        <w:tc>
          <w:tcPr>
            <w:tcW w:type="dxa" w:w="14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Rel. intensity</w:t>
            </w:r>
          </w:p>
        </w:tc>
        <w:tc>
          <w:tcPr>
            <w:tcW w:type="dxa" w:w="33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772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777.2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+5.2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3.39%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credible</w:t>
            </w:r>
          </w:p>
        </w:tc>
      </w:tr>
      <w:tr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830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823.9</w:t>
            </w:r>
          </w:p>
        </w:tc>
        <w:tc>
          <w:tcPr>
            <w:tcW w:type="dxa" w:w="1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−6.1</w:t>
            </w:r>
          </w:p>
        </w:tc>
        <w:tc>
          <w:tcPr>
            <w:tcW w:type="dxa" w:w="2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0.42%</w:t>
            </w:r>
          </w:p>
        </w:tc>
        <w:tc>
          <w:tcPr>
            <w:tcW w:type="dxa" w:w="3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too weak to observe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956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953.1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−2.9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2.84%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credible</w:t>
            </w:r>
          </w:p>
        </w:tc>
      </w:tr>
      <w:tr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1517</w:t>
            </w:r>
          </w:p>
        </w:tc>
        <w:tc>
          <w:tcPr>
            <w:tcW w:type="dxa" w:w="1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1514.3</w:t>
            </w:r>
          </w:p>
        </w:tc>
        <w:tc>
          <w:tcPr>
            <w:tcW w:type="dxa" w:w="1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−2.7</w:t>
            </w:r>
          </w:p>
        </w:tc>
        <w:tc>
          <w:tcPr>
            <w:tcW w:type="dxa" w:w="2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0.45%</w:t>
            </w:r>
          </w:p>
        </w:tc>
        <w:tc>
          <w:tcPr>
            <w:tcW w:type="dxa" w:w="33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too weak to observe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1785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1768.8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−16.2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1.21%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marginal (Δ too large)</w:t>
            </w:r>
          </w:p>
        </w:tc>
      </w:tr>
    </w:tbl>
    <w:p>
      <w:pPr>
        <w:spacing w:after="160"/>
      </w:pPr>
      <w:r>
        <w:t xml:space="preserve">830 cm⁻¹ — one of the two bands the α calculation specifically targeted — is a strong experimental band (high confidence) but its candidate α mode carries only 0.42% of the calculated maximum intensity: that mode could not have produced an observable Raman line. The α-anomer does not explain 830 cm⁻¹.</w:t>
      </w:r>
    </w:p>
    <w:p>
      <w:pPr>
        <w:pStyle w:val="Heading2"/>
        <w:spacing w:after="120" w:before="260"/>
      </w:pPr>
      <w:r>
        <w:t xml:space="preserve">3.4 What actually explains the unmatched bands</w:t>
      </w:r>
    </w:p>
    <w:p>
      <w:pPr>
        <w:spacing w:after="160"/>
      </w:pPr>
      <w:r>
        <w:t xml:space="preserve">Neither anomer has any calculated mode between ≈1535 and ≈1720 cm⁻¹ — a roughly 190 cm⁻¹ gap. Experiment shows four clear bands inside it (1589, 1637, 1652, 1702 cm⁻¹). This is not an anomeric effect: it is the gas-phase, isolated-molecule approximation missing intermolecular hydrogen bonding to the amide and carboxyl carbonyls, which in the solid lowers those stretching frequencies by tens of cm⁻¹ into exactly that gap. This explanation accounts for the majority of the unmatched bands and applies to both anomers equally.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4. Five-panel summary of the α-anomer test: tolerance sensitivity, decoy control, and the unobservable-mode check.</w:t>
      </w:r>
    </w:p>
    <w:p>
      <w:pPr>
        <w:pStyle w:val="Heading2"/>
        <w:spacing w:after="120" w:before="260"/>
      </w:pPr>
      <w:r>
        <w:t xml:space="preserve">3.5 β confirmed as the correct reference model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β</w:t>
            </w:r>
          </w:p>
        </w:tc>
        <w:tc>
          <w:tcPr>
            <w:tcW w:type="dxa" w:w="25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24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α − 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Electronic energy (Hartree)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−1087.570645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−1087.564954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+3.57 kcal/mol</w:t>
            </w:r>
          </w:p>
        </w:tc>
      </w:tr>
      <w:tr>
        <w:tc>
          <w:tcPr>
            <w:tcW w:type="dxa" w:w="3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 ZPE</w:t>
            </w:r>
          </w:p>
        </w:tc>
        <w:tc>
          <w:tcPr>
            <w:tcW w:type="dxa" w:w="2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−1087.252763</w:t>
            </w:r>
          </w:p>
        </w:tc>
        <w:tc>
          <w:tcPr>
            <w:tcW w:type="dxa" w:w="25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−1087.246711</w:t>
            </w:r>
          </w:p>
        </w:tc>
        <w:tc>
          <w:tcPr>
            <w:tcW w:type="dxa" w:w="2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+3.80 kcal/mol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Gibbs free energy, 298.15 K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−1087.304371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−1087.299425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+3.10 kcal/mol</w:t>
            </w:r>
          </w:p>
        </w:tc>
      </w:tr>
    </w:tbl>
    <w:p>
      <w:pPr>
        <w:spacing w:after="160"/>
      </w:pPr>
      <w:r>
        <w:t xml:space="preserve">β is more thermodynamically stable in the gas phase and fits the experimental spectrum marginally better on its own (30 vs. 31 bands matched, but MAE 5.73 vs. 6.42 cm⁻¹). The manuscript's use of β as the reference model is justified on both counts — not merely assumed. Caveat: these are single conformers, not conformationally averaged, so the free-energy gap is indicative, not a rigorous anomeric equilibrium constant.</w:t>
      </w:r>
    </w:p>
    <w:p>
      <w:pPr>
        <w:pBdr>
          <w:left w:val="single" w:color="C98A1A" w:sz="24" w:space="8"/>
        </w:pBdr>
        <w:shd w:fill="FFF4E5" w:val="clear"/>
        <w:spacing w:after="200" w:before="120"/>
      </w:pPr>
      <w:r>
        <w:rPr>
          <w:i/>
          <w:iCs/>
          <w:color w:val="6B4A0E"/>
          <w:sz w:val="20"/>
          <w:szCs w:val="20"/>
        </w:rPr>
        <w:t xml:space="preserve">Data-quality note: two exp-vs-DFT comparison tables exist in the source archive and disagree — Table1_experiment_vs_DFT.csv (30/41 matched, used by the manuscript) vs. Experimental_vs_DFT_comparison.csv (33/41 matched, stale, differs by 1–2 cm⁻¹ on ≥12 rows). The manuscript is internally consistent; the stale file should be regenerated or removed so it doesn't contradict the paper if checked independently.</w:t>
      </w:r>
    </w:p>
    <w:p>
      <w:pPr>
        <w:pStyle w:val="Heading1"/>
        <w:spacing w:after="160" w:before="360"/>
      </w:pPr>
      <w:r>
        <w:t xml:space="preserve">4. Powder Experimental Raman vs. DFT (β-Anomer)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5. Experimental powder Raman overlaid on the β-anomer DFT simulation.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6. Peak-by-peak matches, ranked by closest agreement.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7. The 731 cm⁻¹ band in detail — assigned to out-of-plane carboxylic-acid O–H deformation (47.9% of displacement, only 0.5% pyranose-ring character), arguing against a muramic-acid origin for the bacterial 730 cm⁻¹ SERS marker band.</w:t>
      </w:r>
    </w:p>
    <w:p>
      <w:pPr>
        <w:pStyle w:val="Heading1"/>
        <w:spacing w:after="160" w:before="360"/>
      </w:pPr>
      <w:r>
        <w:t xml:space="preserve">5. Comparison with Published Literature</w:t>
      </w:r>
    </w:p>
    <w:p>
      <w:pPr>
        <w:spacing w:after="160"/>
      </w:pPr>
      <w:r>
        <w:t xml:space="preserve">Of two literature PDFs checked against the sample, only Kouach-Alix et al. (1994), J. Mol. Struct. 327, corresponds to NAM (crystalline, pure α-anomer); the other was excluded as not matching this compound. Its Table 7 Raman column was extracted with position-aware parsing (pdfplumber word coordinates, not flat text) to avoid column-shift errors from blank cells, and font-substitution artifacts in the B1/B2/B3 header labels were normalized before parsing.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636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8. Experimental peaks matched to literature Raman bands (±20 cm⁻¹), Kouach-Alix et al. 1994.</w:t>
      </w:r>
    </w:p>
    <w:p>
      <w:pPr>
        <w:spacing w:after="160"/>
      </w:pPr>
      <w:r>
        <w:t xml:space="preserve">Most bands find a literature counterpart within ±20 cm⁻¹; residual offsets are attributable to the literature sample being a pure crystalline α-anomer versus the present powder's α/β mixture.</w:t>
      </w:r>
    </w:p>
    <w:p>
      <w:pPr>
        <w:pStyle w:val="Heading1"/>
        <w:spacing w:after="160" w:before="360"/>
      </w:pPr>
      <w:r>
        <w:t xml:space="preserve">6. SERS vs. Powder Raman</w:t>
      </w:r>
    </w:p>
    <w:p>
      <w:pPr>
        <w:spacing w:after="160"/>
      </w:pPr>
      <w:r>
        <w:t xml:space="preserve">NAM SERS spectra (43 usable) were collected on a 2-minute HF/AgNO₃-etched Ag/Si substrate, selected via R6G calibration (mean SNR ≈343 at 2 min vs. ≈188 at 10 min vs. ≈38 at 5 min). The dominant SERS feature, ≈517 cm⁻¹ and roughly 4× any other peak, was confirmed — via a bare-Si reference — to be the silicon phonon line, not a NAM vibration, and excluded from all NAM peak lists.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9. Powder, DFT, and SERS mean spectra overlaid (Si line masked).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499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10. Candidate SERS peaks matched to powder bands (pre-validation).</w:t>
      </w:r>
    </w:p>
    <w:p>
      <w:pPr>
        <w:pStyle w:val="Heading1"/>
        <w:spacing w:after="160" w:before="360"/>
      </w:pPr>
      <w:r>
        <w:t xml:space="preserve">7. SERS Signal Validation</w:t>
      </w:r>
    </w:p>
    <w:p>
      <w:pPr>
        <w:pStyle w:val="Heading2"/>
        <w:spacing w:after="120" w:before="260"/>
      </w:pPr>
      <w:r>
        <w:t xml:space="preserve">7.1 Processing-stage transparency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11. Raw → baseline fit → corrected &amp; smoothed, for one representative SERS spectrum — confirming every reported result is post-processing, never raw.</w:t>
      </w:r>
    </w:p>
    <w:p>
      <w:pPr>
        <w:pStyle w:val="Heading2"/>
        <w:spacing w:after="120" w:before="260"/>
      </w:pPr>
      <w:r>
        <w:t xml:space="preserve">7.2 Single-spectrum reproducibility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12. Six individual SERS spectra, illustrating typical single-spectrum noise character.</w:t>
      </w:r>
    </w:p>
    <w:p>
      <w:pPr>
        <w:pStyle w:val="Heading2"/>
        <w:spacing w:after="120" w:before="260"/>
      </w:pPr>
      <w:r>
        <w:t xml:space="preserve">7.3 Blank-substrate comparison — mismatched etch (initial control)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13. NAM SERS vs. 5-min/10-min-etched blanks — the closest control available at the time.</w:t>
      </w:r>
    </w:p>
    <w:p>
      <w:pPr>
        <w:pStyle w:val="Heading2"/>
        <w:spacing w:after="120" w:before="260"/>
      </w:pPr>
      <w:r>
        <w:t xml:space="preserve">7.4 Blank-substrate comparison — true matched etch (decisive control)</w:t>
      </w:r>
    </w:p>
    <w:p>
      <w:pPr>
        <w:spacing w:after="160"/>
      </w:pPr>
      <w:r>
        <w:t xml:space="preserve">A true matched blank was later located: 80 bare-Si spectra from two substrate pieces etched with the identical 2-minute recipe used for NAM, no sample present. Comparing directly against the 43 with-NAM spectra, using one consistent reproducibility rule for both: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14. Per-peak comparison: fraction of spectra showing each candidate peak, with NAM vs. matched blank alone.</w:t>
      </w:r>
    </w:p>
    <w:p>
      <w:pPr>
        <w:spacing w:after="160"/>
      </w:pPr>
      <w:r>
        <w:t xml:space="preserve">Two peaks — 1004 and 1127 cm⁻¹ — appear substantially more often in the blank (35.0%, 37.5%) than with NAM (11.6%, 2.3%) and are excluded as substrate artifacts. The two contamination-risk peaks (1381, 1573 cm⁻¹, near carbon D/G-band and citrate/nitrate regions) stay clean in both datasets. One peak, 643 cm⁻¹, shows a clear net-positive pattern (+16.8% vs. blank) — the single best-supported NAM SERS candidate.</w:t>
      </w:r>
    </w:p>
    <w:p>
      <w:pPr>
        <w:pStyle w:val="Heading1"/>
        <w:spacing w:after="160" w:before="360"/>
      </w:pPr>
      <w:r>
        <w:t xml:space="preserve">8. Final Validated SERS Assessment</w:t>
      </w:r>
    </w:p>
    <w:p>
      <w:pPr>
        <w:spacing w:after="80" w:before="20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15. Powder vs. SERS, annotated with the final outcome (× = excluded substrate artifact, ★ = best NAM candidate).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858"/>
          <w:sz w:val="18"/>
          <w:szCs w:val="18"/>
        </w:rPr>
        <w:t xml:space="preserve">Figure 16. Final per-peak status for all 29 original SERS candidates.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600"/>
            <w:shd w:fill="2A78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Peaks / Notes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Excluded — substrate artifact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1004, 1127 cm⁻¹</w:t>
            </w:r>
          </w:p>
        </w:tc>
      </w:tr>
      <w:tr>
        <w:tc>
          <w:tcPr>
            <w:tcW w:type="dxa" w:w="3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Best-supported NAM candidate</w:t>
            </w:r>
          </w:p>
        </w:tc>
        <w:tc>
          <w:tcPr>
            <w:tcW w:type="dxa" w:w="1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643 cm⁻¹ (net +16.8% vs. matched blank)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Unconfirmed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26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B0B0B"/>
                <w:sz w:val="18"/>
                <w:szCs w:val="18"/>
              </w:rPr>
              <w:t xml:space="preserve">Low single-spectrum reproducibility on both sides</w:t>
            </w:r>
          </w:p>
        </w:tc>
      </w:tr>
    </w:tbl>
    <w:p>
      <w:pPr>
        <w:pStyle w:val="Heading1"/>
        <w:spacing w:after="160" w:before="360"/>
      </w:pPr>
      <w:r>
        <w:t xml:space="preserve">9. Where Everything Now Lives</w:t>
      </w:r>
    </w:p>
    <w:p>
      <w:pPr>
        <w:spacing w:after="160"/>
      </w:pPr>
      <w:r>
        <w:t xml:space="preserve">Every dataset referenced in this report — previously spread across four separate folders — has been consolidated into one folder, NAM_Master_Dataset, alongside the originals (nothing was deleted). It is organized as 19 numbered subfolders covering, in order: the old (April) and new (May) powder Raman data plus photostability, blanks and excluded runs; the processed powder results; the α-anomer and β-anomer DFT calculations and their comparison; the SERS R6G calibration, NAM measurements, matched and mismatched blank substrates, and bare-Si reference; and finally the analysis figures, this report, the manuscript, and the original analysis notebook. A full README with machine specs, folder-by-folder contents, and every data-quality caveat above lives at the top of that folder.</w:t>
      </w:r>
    </w:p>
    <w:p>
      <w:pPr>
        <w:pStyle w:val="Heading1"/>
        <w:spacing w:after="160" w:before="360"/>
      </w:pPr>
      <w:r>
        <w:t xml:space="preserve">10. Summary of Conclusions and Caveats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Powder Raman (May reference set) agrees closely with the β-anomer DFT simulation and independently with Kouach-Alix et al. (1994).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α-anomer DFT hypothesis for the unmatched bands is rejected with a proper statistical control; the residual gap is better explained by the gas-phase approximation missing solid-state hydrogen bonding.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SERS's only unambiguous feature is the 517 cm⁻¹ Si phonon line. Of 29 candidate NAM SERS peaks, 2 are excluded as substrate artifacts, 1 (643 cm⁻¹) is the best-supported genuine candidate, and 26 remain unconfirmed rather than proven or disproven.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data-quality issues are flagged for cleanup: a stale, disagreeing exp-vs-DFT comparison CSV in the original archive, and a mislabeled SERS subfolder name (“1m-etcheddata-” for what is actually the 2-minute-etch NAM dataset).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Outstanding work: powder glass blanks at the actual measurement condition (70%/25s/5acc), a same-spot before/after SERS blank, a SERS concentration series, and a surface-selection-rule intensity check.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b67c04329ba56b169ff0fc196ec21761f36851.png"/><Relationship Id="rId8" Type="http://schemas.openxmlformats.org/officeDocument/2006/relationships/image" Target="media/a7af330f7e078d6089c10c2ff518cdc4ebd66f3a.png"/><Relationship Id="rId9" Type="http://schemas.openxmlformats.org/officeDocument/2006/relationships/image" Target="media/3e544c3a3051e344f119b3d18bf439296e150659.png"/><Relationship Id="rId10" Type="http://schemas.openxmlformats.org/officeDocument/2006/relationships/image" Target="media/e8aee1dfba492eaa9f0f370bb984b75479c1514e.png"/><Relationship Id="rId11" Type="http://schemas.openxmlformats.org/officeDocument/2006/relationships/image" Target="media/b86e8c5f20babd7c4e094274a06f28c387fcba06.png"/><Relationship Id="rId12" Type="http://schemas.openxmlformats.org/officeDocument/2006/relationships/image" Target="media/7eae1280f3b717f66d3bc3951968fcc5c11ec9f3.png"/><Relationship Id="rId13" Type="http://schemas.openxmlformats.org/officeDocument/2006/relationships/image" Target="media/37a6ec8c901c20441b2a576282f2fdd3c24fe87c.png"/><Relationship Id="rId14" Type="http://schemas.openxmlformats.org/officeDocument/2006/relationships/image" Target="media/3c4a5a26873e4a94c5e8e6d2d1897a0dff5173f8.png"/><Relationship Id="rId15" Type="http://schemas.openxmlformats.org/officeDocument/2006/relationships/image" Target="media/a6b6b624fde8a5d89b8e978a905f5218ad8c4953.png"/><Relationship Id="rId16" Type="http://schemas.openxmlformats.org/officeDocument/2006/relationships/image" Target="media/6ed2a7fcb5b0932d753d5ec793608d6d9d421918.png"/><Relationship Id="rId17" Type="http://schemas.openxmlformats.org/officeDocument/2006/relationships/image" Target="media/435b7bf5998135285c18c485ff878e9aeed8bc4c.png"/><Relationship Id="rId18" Type="http://schemas.openxmlformats.org/officeDocument/2006/relationships/image" Target="media/1031dfdb20cdb07dc879759492279dbd3a43d94a.png"/><Relationship Id="rId19" Type="http://schemas.openxmlformats.org/officeDocument/2006/relationships/image" Target="media/21f1ea283deb102b9cfb81c1b6c2d83c4e6b381b.png"/><Relationship Id="rId20" Type="http://schemas.openxmlformats.org/officeDocument/2006/relationships/image" Target="media/925b3f898935cac77ade0cc55a0b5a0a1db88f9e.png"/><Relationship Id="rId21" Type="http://schemas.openxmlformats.org/officeDocument/2006/relationships/image" Target="media/3ecb25b0480212230c56d541adf4d289b9e086bc.png"/><Relationship Id="rId22" Type="http://schemas.openxmlformats.org/officeDocument/2006/relationships/image" Target="media/afa9b99d8916a72f9d9591ae13e95a03cae539e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2026-08-28T15:19:29.812Z</dcterms:created>
  <dcterms:modified xsi:type="dcterms:W3CDTF">2026-08-28T15:19:29.833Z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