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00"/>
        <w:jc w:val="center"/>
      </w:pPr>
      <w:r>
        <w:rPr>
          <w:b/>
          <w:bCs/>
          <w:sz w:val="40"/>
          <w:szCs w:val="40"/>
        </w:rPr>
        <w:t xml:space="preserve">Lipoteichoic Acid (LTA)</w:t>
      </w:r>
    </w:p>
    <w:p>
      <w:pPr>
        <w:spacing w:after="400"/>
        <w:jc w:val="center"/>
      </w:pPr>
      <w:r>
        <w:rPr>
          <w:b/>
          <w:bCs/>
          <w:sz w:val="28"/>
          <w:szCs w:val="28"/>
        </w:rPr>
        <w:t xml:space="preserve">Experimental Raman, Fragment-Level DFT, Literature and SERS Evidence Assessment</w:t>
      </w:r>
    </w:p>
    <w:p>
      <w:pPr>
        <w:spacing w:after="120"/>
        <w:jc w:val="center"/>
      </w:pPr>
      <w:r>
        <w:rPr>
          <w:sz w:val="22"/>
          <w:szCs w:val="22"/>
        </w:rPr>
        <w:t xml:space="preserve">30 August 2026</w:t>
      </w:r>
    </w:p>
    <w:p>
      <w:pPr>
        <w:spacing w:before="400"/>
        <w:jc w:val="center"/>
      </w:pPr>
      <w:r>
        <w:rPr>
          <w:i/>
          <w:iCs/>
          <w:color w:val="595959"/>
          <w:sz w:val="20"/>
          <w:szCs w:val="20"/>
        </w:rPr>
        <w:t xml:space="preserve">All figures, tables and numerical values in this report are derived directly from project data files or computed programmatically from them. No DFT mode, literature value, or SERS assignment has been invented. Every claim is explicitly labeled as experimentally observed, DFT-supported, literature-supported, SERS-observed, or blank-validated — these are not treated as interchangeable.</w:t>
      </w:r>
    </w:p>
    <w:p>
      <w:r>
        <w:br w:type="page"/>
      </w:r>
    </w:p>
    <w:p>
      <w:pPr>
        <w:pStyle w:val="Heading1"/>
        <w:spacing w:after="160" w:before="360"/>
      </w:pPr>
      <w:r>
        <w:t xml:space="preserve">Executive Summary</w:t>
      </w:r>
    </w:p>
    <w:p>
      <w:pPr>
        <w:spacing w:after="120"/>
      </w:pPr>
      <w:r>
        <w:t xml:space="preserve">This report assembles all verified Lipoteichoic Acid (LTA) Raman evidence currently available in the project — experimental powder Raman, fragment-level DFT calculations, literature comparison, and candidate SERS data with blank-substrate control — into a single evidence chain: DFT → powder Raman → literature → SERS → blank validation.</w:t>
      </w:r>
    </w:p>
    <w:p>
      <w:pPr>
        <w:spacing w:after="120"/>
      </w:pPr>
      <w:r>
        <w:rPr>
          <w:b/>
          <w:bCs/>
        </w:rPr>
        <w:t xml:space="preserve">Headline result:</w:t>
      </w:r>
    </w:p>
    <w:p>
      <w:pPr>
        <w:pBdr>
          <w:top w:val="single" w:color="EAF6EC" w:sz="2"/>
          <w:bottom w:val="single" w:color="EAF6EC" w:sz="2"/>
          <w:left w:val="single" w:color="1B7837" w:sz="24" w:space="8"/>
          <w:right w:val="single" w:color="EAF6EC" w:sz="2"/>
        </w:pBdr>
        <w:shd w:fill="EAF6EC" w:val="clear"/>
        <w:spacing w:after="200" w:before="120"/>
        <w:ind w:left="200"/>
      </w:pPr>
      <w:r>
        <w:t xml:space="preserve">The strongest current LTA reference band is 1093.2 cm⁻¹. It is reproducibly observed in the powder Raman experiment (position std dev 1.95 cm⁻¹ across 12 spots), is consistent with the available fragment-level DFT calculation (GlcNAc fragment, Δ = 12.7 cm⁻¹), and lies within the literature-reported phosphodiester PO₂⁻ stretching region (1080–1095 cm⁻¹). A validated LTA-specific SERS signal has not yet been established for this or any other band.</w:t>
      </w:r>
    </w:p>
    <w:p>
      <w:pPr>
        <w:spacing w:after="120"/>
      </w:pPr>
      <w:r>
        <w:t xml:space="preserve">Of the 7 experimental powder Raman peaks, 5 have a DFT fragment feature within ±15 cm⁻¹ (MAE 7.2 cm⁻¹, RMSE 8.0 cm⁻¹); 2 do not and are reported as unmatched, not forced. Fifteen candidate SERS spectra and 27 matched blank spectra are available; 6 of 15 detected SERS-candidate peaks coincide with the blank (substrate features) and 9 do not, but none of the 9 has undergone the pixel-level validation needed to call it an LTA signal. The one prior positive SERS claim from this dataset was already retracted by the project as a single-pixel artifact. No band currently achieves a three-way CONFIRMED status; the closest three-way overlap (1602 cm⁻¹) is explained by the blank substrate, not by LTA.</w:t>
      </w:r>
    </w:p>
    <w:p>
      <w:r>
        <w:br w:type="page"/>
      </w:r>
    </w:p>
    <w:p>
      <w:pPr>
        <w:pStyle w:val="Heading1"/>
        <w:spacing w:after="160" w:before="360"/>
      </w:pPr>
      <w:r>
        <w:t xml:space="preserve">1. Objective</w:t>
      </w:r>
    </w:p>
    <w:p>
      <w:pPr>
        <w:spacing w:after="120"/>
      </w:pPr>
      <w:r>
        <w:t xml:space="preserve">The objective of this work is to establish which LTA Raman bands are experimentally observable and reproducible, to determine how well those bands are supported by fragment-level DFT calculation and by existing literature, and to determine whether any of these bands can currently be detected using the project's SERS substrate once a blank-substrate control is applied. The report is deliberately conservative: a band is only described using the strongest label its evidence actually supports.</w:t>
      </w:r>
    </w:p>
    <w:p>
      <w:r>
        <w:br w:type="page"/>
      </w:r>
    </w:p>
    <w:p>
      <w:pPr>
        <w:pStyle w:val="Heading1"/>
        <w:spacing w:after="160" w:before="360"/>
      </w:pPr>
      <w:r>
        <w:t xml:space="preserve">2. Experimental Powder Raman</w:t>
      </w:r>
    </w:p>
    <w:p>
      <w:pPr>
        <w:spacing w:after="120"/>
      </w:pPr>
      <w:r>
        <w:t xml:space="preserve">Experimental conditions (from the raw data files): 784.92 nm laser, power level 20, 20 s integration time, 2 averages per spot, 12 measurement spots, acquired 2026-02-09 (20-04/20sec20power-variable location LTA/). Each spot spectrum was baseline-corrected (ALS), smoothed (Savitzky-Golay), and area-normalized; the 12 spectra were then averaged.</w:t>
      </w:r>
    </w:p>
    <w:p>
      <w:pPr>
        <w:spacing w:after="120" w:before="120"/>
        <w:jc w:val="center"/>
      </w:pPr>
      <w:r>
        <w:drawing>
          <wp:inline distT="0" distB="0" distL="0" distR="0">
            <wp:extent cx="59055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200400"/>
                    </a:xfrm>
                    <a:prstGeom prst="rect">
                      <a:avLst/>
                    </a:prstGeom>
                  </pic:spPr>
                </pic:pic>
              </a:graphicData>
            </a:graphic>
          </wp:inline>
        </w:drawing>
      </w:r>
    </w:p>
    <w:p>
      <w:pPr>
        <w:spacing w:after="240"/>
        <w:jc w:val="center"/>
      </w:pPr>
      <w:r>
        <w:rPr>
          <w:i/>
          <w:iCs/>
          <w:sz w:val="18"/>
          <w:szCs w:val="18"/>
        </w:rPr>
        <w:t xml:space="preserve">Figure 1. LTA powder Raman: all 12 individual spot spectra (light gray) and the averaged spectrum (black), with the 7 characteristic peaks marked.</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300"/>
        <w:gridCol w:w="1700"/>
        <w:gridCol w:w="1500"/>
        <w:gridCol w:w="2940"/>
      </w:tblGrid>
      <w:tr>
        <w:trPr>
          <w:tblHeader/>
        </w:trPr>
        <w:tc>
          <w:tcPr>
            <w:tcW w:type="dxa" w:w="1500"/>
            <w:shd w:fill="1F4E5F" w:val="clear"/>
            <w:tcMar>
              <w:top w:type="dxa" w:w="60"/>
              <w:left w:type="dxa" w:w="100"/>
              <w:bottom w:type="dxa" w:w="60"/>
              <w:right w:type="dxa" w:w="100"/>
            </w:tcMar>
          </w:tcPr>
          <w:p>
            <w:pPr>
              <w:jc w:val="left"/>
            </w:pPr>
            <w:r>
              <w:rPr>
                <w:b/>
                <w:bCs/>
                <w:color w:val="FFFFFF"/>
                <w:sz w:val="18"/>
                <w:szCs w:val="18"/>
              </w:rPr>
              <w:t xml:space="preserve">Experimental peak (cm⁻¹)</w:t>
            </w:r>
          </w:p>
        </w:tc>
        <w:tc>
          <w:tcPr>
            <w:tcW w:type="dxa" w:w="1500"/>
            <w:shd w:fill="1F4E5F" w:val="clear"/>
            <w:tcMar>
              <w:top w:type="dxa" w:w="60"/>
              <w:left w:type="dxa" w:w="100"/>
              <w:bottom w:type="dxa" w:w="60"/>
              <w:right w:type="dxa" w:w="100"/>
            </w:tcMar>
          </w:tcPr>
          <w:p>
            <w:pPr>
              <w:jc w:val="left"/>
            </w:pPr>
            <w:r>
              <w:rPr>
                <w:b/>
                <w:bCs/>
                <w:color w:val="FFFFFF"/>
                <w:sz w:val="18"/>
                <w:szCs w:val="18"/>
              </w:rPr>
              <w:t xml:space="preserve">Mean position (cm⁻¹)</w:t>
            </w:r>
          </w:p>
        </w:tc>
        <w:tc>
          <w:tcPr>
            <w:tcW w:type="dxa" w:w="1300"/>
            <w:shd w:fill="1F4E5F" w:val="clear"/>
            <w:tcMar>
              <w:top w:type="dxa" w:w="60"/>
              <w:left w:type="dxa" w:w="100"/>
              <w:bottom w:type="dxa" w:w="60"/>
              <w:right w:type="dxa" w:w="100"/>
            </w:tcMar>
          </w:tcPr>
          <w:p>
            <w:pPr>
              <w:jc w:val="left"/>
            </w:pPr>
            <w:r>
              <w:rPr>
                <w:b/>
                <w:bCs/>
                <w:color w:val="FFFFFF"/>
                <w:sz w:val="18"/>
                <w:szCs w:val="18"/>
              </w:rPr>
              <w:t xml:space="preserve">SD (cm⁻¹)</w:t>
            </w:r>
          </w:p>
        </w:tc>
        <w:tc>
          <w:tcPr>
            <w:tcW w:type="dxa" w:w="1700"/>
            <w:shd w:fill="1F4E5F" w:val="clear"/>
            <w:tcMar>
              <w:top w:type="dxa" w:w="60"/>
              <w:left w:type="dxa" w:w="100"/>
              <w:bottom w:type="dxa" w:w="60"/>
              <w:right w:type="dxa" w:w="100"/>
            </w:tcMar>
          </w:tcPr>
          <w:p>
            <w:pPr>
              <w:jc w:val="left"/>
            </w:pPr>
            <w:r>
              <w:rPr>
                <w:b/>
                <w:bCs/>
                <w:color w:val="FFFFFF"/>
                <w:sz w:val="18"/>
                <w:szCs w:val="18"/>
              </w:rPr>
              <w:t xml:space="preserve">Detection frequency</w:t>
            </w:r>
          </w:p>
        </w:tc>
        <w:tc>
          <w:tcPr>
            <w:tcW w:type="dxa" w:w="1500"/>
            <w:shd w:fill="1F4E5F" w:val="clear"/>
            <w:tcMar>
              <w:top w:type="dxa" w:w="60"/>
              <w:left w:type="dxa" w:w="100"/>
              <w:bottom w:type="dxa" w:w="60"/>
              <w:right w:type="dxa" w:w="100"/>
            </w:tcMar>
          </w:tcPr>
          <w:p>
            <w:pPr>
              <w:jc w:val="left"/>
            </w:pPr>
            <w:r>
              <w:rPr>
                <w:b/>
                <w:bCs/>
                <w:color w:val="FFFFFF"/>
                <w:sz w:val="18"/>
                <w:szCs w:val="18"/>
              </w:rPr>
              <w:t xml:space="preserve">Intensity CV</w:t>
            </w:r>
          </w:p>
        </w:tc>
        <w:tc>
          <w:tcPr>
            <w:tcW w:type="dxa" w:w="2940"/>
            <w:shd w:fill="1F4E5F" w:val="clear"/>
            <w:tcMar>
              <w:top w:type="dxa" w:w="60"/>
              <w:left w:type="dxa" w:w="100"/>
              <w:bottom w:type="dxa" w:w="60"/>
              <w:right w:type="dxa" w:w="100"/>
            </w:tcMar>
          </w:tcPr>
          <w:p>
            <w:pPr>
              <w:jc w:val="left"/>
            </w:pPr>
            <w:r>
              <w:rPr>
                <w:b/>
                <w:bCs/>
                <w:color w:val="FFFFFF"/>
                <w:sz w:val="18"/>
                <w:szCs w:val="18"/>
              </w:rPr>
              <w:t xml:space="preserve">Interpretation</w:t>
            </w:r>
          </w:p>
        </w:tc>
      </w:tr>
      <w:tr>
        <w:tc>
          <w:tcPr>
            <w:tcW w:type="dxa" w:w="1500"/>
            <w:tcMar>
              <w:top w:type="dxa" w:w="60"/>
              <w:left w:type="dxa" w:w="100"/>
              <w:bottom w:type="dxa" w:w="60"/>
              <w:right w:type="dxa" w:w="100"/>
            </w:tcMar>
          </w:tcPr>
          <w:p>
            <w:pPr>
              <w:jc w:val="left"/>
            </w:pPr>
            <w:r>
              <w:rPr>
                <w:b w:val="false"/>
                <w:bCs w:val="false"/>
                <w:sz w:val="18"/>
                <w:szCs w:val="18"/>
              </w:rPr>
              <w:t xml:space="preserve">620.1</w:t>
            </w:r>
          </w:p>
        </w:tc>
        <w:tc>
          <w:tcPr>
            <w:tcW w:type="dxa" w:w="1500"/>
            <w:tcMar>
              <w:top w:type="dxa" w:w="60"/>
              <w:left w:type="dxa" w:w="100"/>
              <w:bottom w:type="dxa" w:w="60"/>
              <w:right w:type="dxa" w:w="100"/>
            </w:tcMar>
          </w:tcPr>
          <w:p>
            <w:pPr>
              <w:jc w:val="left"/>
            </w:pPr>
            <w:r>
              <w:rPr>
                <w:b w:val="false"/>
                <w:bCs w:val="false"/>
                <w:sz w:val="18"/>
                <w:szCs w:val="18"/>
              </w:rPr>
              <w:t xml:space="preserve">620.1</w:t>
            </w:r>
          </w:p>
        </w:tc>
        <w:tc>
          <w:tcPr>
            <w:tcW w:type="dxa" w:w="1300"/>
            <w:tcMar>
              <w:top w:type="dxa" w:w="60"/>
              <w:left w:type="dxa" w:w="100"/>
              <w:bottom w:type="dxa" w:w="60"/>
              <w:right w:type="dxa" w:w="100"/>
            </w:tcMar>
          </w:tcPr>
          <w:p>
            <w:pPr>
              <w:jc w:val="left"/>
            </w:pPr>
            <w:r>
              <w:rPr>
                <w:b w:val="false"/>
                <w:bCs w:val="false"/>
                <w:sz w:val="18"/>
                <w:szCs w:val="18"/>
              </w:rPr>
              <w:t xml:space="preserve">0.83</w:t>
            </w:r>
          </w:p>
        </w:tc>
        <w:tc>
          <w:tcPr>
            <w:tcW w:type="dxa" w:w="1700"/>
            <w:tcMar>
              <w:top w:type="dxa" w:w="60"/>
              <w:left w:type="dxa" w:w="100"/>
              <w:bottom w:type="dxa" w:w="60"/>
              <w:right w:type="dxa" w:w="100"/>
            </w:tcMar>
          </w:tcPr>
          <w:p>
            <w:pPr>
              <w:jc w:val="left"/>
            </w:pPr>
            <w:r>
              <w:rPr>
                <w:b w:val="false"/>
                <w:bCs w:val="false"/>
                <w:sz w:val="18"/>
                <w:szCs w:val="18"/>
              </w:rPr>
              <w:t xml:space="preserve">12/12</w:t>
            </w:r>
          </w:p>
        </w:tc>
        <w:tc>
          <w:tcPr>
            <w:tcW w:type="dxa" w:w="1500"/>
            <w:tcMar>
              <w:top w:type="dxa" w:w="60"/>
              <w:left w:type="dxa" w:w="100"/>
              <w:bottom w:type="dxa" w:w="60"/>
              <w:right w:type="dxa" w:w="100"/>
            </w:tcMar>
          </w:tcPr>
          <w:p>
            <w:pPr>
              <w:jc w:val="left"/>
            </w:pPr>
            <w:r>
              <w:rPr>
                <w:b w:val="false"/>
                <w:bCs w:val="false"/>
                <w:sz w:val="18"/>
                <w:szCs w:val="18"/>
              </w:rPr>
              <w:t xml:space="preserve">10.68%</w:t>
            </w:r>
          </w:p>
        </w:tc>
        <w:tc>
          <w:tcPr>
            <w:tcW w:type="dxa" w:w="2940"/>
            <w:tcMar>
              <w:top w:type="dxa" w:w="60"/>
              <w:left w:type="dxa" w:w="100"/>
              <w:bottom w:type="dxa" w:w="60"/>
              <w:right w:type="dxa" w:w="100"/>
            </w:tcMar>
          </w:tcPr>
          <w:p>
            <w:pPr>
              <w:jc w:val="left"/>
            </w:pPr>
            <w:r>
              <w:rPr>
                <w:b w:val="false"/>
                <w:bCs w:val="false"/>
                <w:sz w:val="18"/>
                <w:szCs w:val="18"/>
              </w:rPr>
              <w:t xml:space="preserve">Reproducible position; intensity stable</w:t>
            </w:r>
          </w:p>
        </w:tc>
      </w:tr>
      <w:tr>
        <w:tc>
          <w:tcPr>
            <w:tcW w:type="dxa" w:w="1500"/>
            <w:shd w:fill="F2F2F2" w:val="clear"/>
            <w:tcMar>
              <w:top w:type="dxa" w:w="60"/>
              <w:left w:type="dxa" w:w="100"/>
              <w:bottom w:type="dxa" w:w="60"/>
              <w:right w:type="dxa" w:w="100"/>
            </w:tcMar>
          </w:tcPr>
          <w:p>
            <w:pPr>
              <w:jc w:val="left"/>
            </w:pPr>
            <w:r>
              <w:rPr>
                <w:b w:val="false"/>
                <w:bCs w:val="false"/>
                <w:sz w:val="18"/>
                <w:szCs w:val="18"/>
              </w:rPr>
              <w:t xml:space="preserve">794.5</w:t>
            </w:r>
          </w:p>
        </w:tc>
        <w:tc>
          <w:tcPr>
            <w:tcW w:type="dxa" w:w="1500"/>
            <w:shd w:fill="F2F2F2" w:val="clear"/>
            <w:tcMar>
              <w:top w:type="dxa" w:w="60"/>
              <w:left w:type="dxa" w:w="100"/>
              <w:bottom w:type="dxa" w:w="60"/>
              <w:right w:type="dxa" w:w="100"/>
            </w:tcMar>
          </w:tcPr>
          <w:p>
            <w:pPr>
              <w:jc w:val="left"/>
            </w:pPr>
            <w:r>
              <w:rPr>
                <w:b w:val="false"/>
                <w:bCs w:val="false"/>
                <w:sz w:val="18"/>
                <w:szCs w:val="18"/>
              </w:rPr>
              <w:t xml:space="preserve">794.5</w:t>
            </w:r>
          </w:p>
        </w:tc>
        <w:tc>
          <w:tcPr>
            <w:tcW w:type="dxa" w:w="1300"/>
            <w:shd w:fill="F2F2F2" w:val="clear"/>
            <w:tcMar>
              <w:top w:type="dxa" w:w="60"/>
              <w:left w:type="dxa" w:w="100"/>
              <w:bottom w:type="dxa" w:w="60"/>
              <w:right w:type="dxa" w:w="100"/>
            </w:tcMar>
          </w:tcPr>
          <w:p>
            <w:pPr>
              <w:jc w:val="left"/>
            </w:pPr>
            <w:r>
              <w:rPr>
                <w:b w:val="false"/>
                <w:bCs w:val="false"/>
                <w:sz w:val="18"/>
                <w:szCs w:val="18"/>
              </w:rPr>
              <w:t xml:space="preserve">0.94</w:t>
            </w:r>
          </w:p>
        </w:tc>
        <w:tc>
          <w:tcPr>
            <w:tcW w:type="dxa" w:w="1700"/>
            <w:shd w:fill="F2F2F2" w:val="clear"/>
            <w:tcMar>
              <w:top w:type="dxa" w:w="60"/>
              <w:left w:type="dxa" w:w="100"/>
              <w:bottom w:type="dxa" w:w="60"/>
              <w:right w:type="dxa" w:w="100"/>
            </w:tcMar>
          </w:tcPr>
          <w:p>
            <w:pPr>
              <w:jc w:val="left"/>
            </w:pPr>
            <w:r>
              <w:rPr>
                <w:b w:val="false"/>
                <w:bCs w:val="false"/>
                <w:sz w:val="18"/>
                <w:szCs w:val="18"/>
              </w:rPr>
              <w:t xml:space="preserve">12/12</w:t>
            </w:r>
          </w:p>
        </w:tc>
        <w:tc>
          <w:tcPr>
            <w:tcW w:type="dxa" w:w="1500"/>
            <w:shd w:fill="F2F2F2" w:val="clear"/>
            <w:tcMar>
              <w:top w:type="dxa" w:w="60"/>
              <w:left w:type="dxa" w:w="100"/>
              <w:bottom w:type="dxa" w:w="60"/>
              <w:right w:type="dxa" w:w="100"/>
            </w:tcMar>
          </w:tcPr>
          <w:p>
            <w:pPr>
              <w:jc w:val="left"/>
            </w:pPr>
            <w:r>
              <w:rPr>
                <w:b w:val="false"/>
                <w:bCs w:val="false"/>
                <w:sz w:val="18"/>
                <w:szCs w:val="18"/>
              </w:rPr>
              <w:t xml:space="preserve">7.79%</w:t>
            </w:r>
          </w:p>
        </w:tc>
        <w:tc>
          <w:tcPr>
            <w:tcW w:type="dxa" w:w="2940"/>
            <w:shd w:fill="F2F2F2" w:val="clear"/>
            <w:tcMar>
              <w:top w:type="dxa" w:w="60"/>
              <w:left w:type="dxa" w:w="100"/>
              <w:bottom w:type="dxa" w:w="60"/>
              <w:right w:type="dxa" w:w="100"/>
            </w:tcMar>
          </w:tcPr>
          <w:p>
            <w:pPr>
              <w:jc w:val="left"/>
            </w:pPr>
            <w:r>
              <w:rPr>
                <w:b w:val="false"/>
                <w:bCs w:val="false"/>
                <w:sz w:val="18"/>
                <w:szCs w:val="18"/>
              </w:rPr>
              <w:t xml:space="preserve">Reproducible position; intensity stable</w:t>
            </w:r>
          </w:p>
        </w:tc>
      </w:tr>
      <w:tr>
        <w:tc>
          <w:tcPr>
            <w:tcW w:type="dxa" w:w="1500"/>
            <w:tcMar>
              <w:top w:type="dxa" w:w="60"/>
              <w:left w:type="dxa" w:w="100"/>
              <w:bottom w:type="dxa" w:w="60"/>
              <w:right w:type="dxa" w:w="100"/>
            </w:tcMar>
          </w:tcPr>
          <w:p>
            <w:pPr>
              <w:jc w:val="left"/>
            </w:pPr>
            <w:r>
              <w:rPr>
                <w:b w:val="false"/>
                <w:bCs w:val="false"/>
                <w:sz w:val="18"/>
                <w:szCs w:val="18"/>
              </w:rPr>
              <w:t xml:space="preserve">999.9</w:t>
            </w:r>
          </w:p>
        </w:tc>
        <w:tc>
          <w:tcPr>
            <w:tcW w:type="dxa" w:w="1500"/>
            <w:tcMar>
              <w:top w:type="dxa" w:w="60"/>
              <w:left w:type="dxa" w:w="100"/>
              <w:bottom w:type="dxa" w:w="60"/>
              <w:right w:type="dxa" w:w="100"/>
            </w:tcMar>
          </w:tcPr>
          <w:p>
            <w:pPr>
              <w:jc w:val="left"/>
            </w:pPr>
            <w:r>
              <w:rPr>
                <w:b w:val="false"/>
                <w:bCs w:val="false"/>
                <w:sz w:val="18"/>
                <w:szCs w:val="18"/>
              </w:rPr>
              <w:t xml:space="preserve">999.9</w:t>
            </w:r>
          </w:p>
        </w:tc>
        <w:tc>
          <w:tcPr>
            <w:tcW w:type="dxa" w:w="1300"/>
            <w:tcMar>
              <w:top w:type="dxa" w:w="60"/>
              <w:left w:type="dxa" w:w="100"/>
              <w:bottom w:type="dxa" w:w="60"/>
              <w:right w:type="dxa" w:w="100"/>
            </w:tcMar>
          </w:tcPr>
          <w:p>
            <w:pPr>
              <w:jc w:val="left"/>
            </w:pPr>
            <w:r>
              <w:rPr>
                <w:b w:val="false"/>
                <w:bCs w:val="false"/>
                <w:sz w:val="18"/>
                <w:szCs w:val="18"/>
              </w:rPr>
              <w:t xml:space="preserve">0.45</w:t>
            </w:r>
          </w:p>
        </w:tc>
        <w:tc>
          <w:tcPr>
            <w:tcW w:type="dxa" w:w="1700"/>
            <w:tcMar>
              <w:top w:type="dxa" w:w="60"/>
              <w:left w:type="dxa" w:w="100"/>
              <w:bottom w:type="dxa" w:w="60"/>
              <w:right w:type="dxa" w:w="100"/>
            </w:tcMar>
          </w:tcPr>
          <w:p>
            <w:pPr>
              <w:jc w:val="left"/>
            </w:pPr>
            <w:r>
              <w:rPr>
                <w:b w:val="false"/>
                <w:bCs w:val="false"/>
                <w:sz w:val="18"/>
                <w:szCs w:val="18"/>
              </w:rPr>
              <w:t xml:space="preserve">12/12</w:t>
            </w:r>
          </w:p>
        </w:tc>
        <w:tc>
          <w:tcPr>
            <w:tcW w:type="dxa" w:w="1500"/>
            <w:tcMar>
              <w:top w:type="dxa" w:w="60"/>
              <w:left w:type="dxa" w:w="100"/>
              <w:bottom w:type="dxa" w:w="60"/>
              <w:right w:type="dxa" w:w="100"/>
            </w:tcMar>
          </w:tcPr>
          <w:p>
            <w:pPr>
              <w:jc w:val="left"/>
            </w:pPr>
            <w:r>
              <w:rPr>
                <w:b w:val="false"/>
                <w:bCs w:val="false"/>
                <w:sz w:val="18"/>
                <w:szCs w:val="18"/>
              </w:rPr>
              <w:t xml:space="preserve">19.88%</w:t>
            </w:r>
          </w:p>
        </w:tc>
        <w:tc>
          <w:tcPr>
            <w:tcW w:type="dxa" w:w="2940"/>
            <w:tcMar>
              <w:top w:type="dxa" w:w="60"/>
              <w:left w:type="dxa" w:w="100"/>
              <w:bottom w:type="dxa" w:w="60"/>
              <w:right w:type="dxa" w:w="100"/>
            </w:tcMar>
          </w:tcPr>
          <w:p>
            <w:pPr>
              <w:jc w:val="left"/>
            </w:pPr>
            <w:r>
              <w:rPr>
                <w:b w:val="false"/>
                <w:bCs w:val="false"/>
                <w:sz w:val="18"/>
                <w:szCs w:val="18"/>
              </w:rPr>
              <w:t xml:space="preserve">Most reproducible position; intensity variable</w:t>
            </w:r>
          </w:p>
        </w:tc>
      </w:tr>
      <w:tr>
        <w:tc>
          <w:tcPr>
            <w:tcW w:type="dxa" w:w="1500"/>
            <w:shd w:fill="F2F2F2" w:val="clear"/>
            <w:tcMar>
              <w:top w:type="dxa" w:w="60"/>
              <w:left w:type="dxa" w:w="100"/>
              <w:bottom w:type="dxa" w:w="60"/>
              <w:right w:type="dxa" w:w="100"/>
            </w:tcMar>
          </w:tcPr>
          <w:p>
            <w:pPr>
              <w:jc w:val="left"/>
            </w:pPr>
            <w:r>
              <w:rPr>
                <w:b w:val="false"/>
                <w:bCs w:val="false"/>
                <w:sz w:val="18"/>
                <w:szCs w:val="18"/>
              </w:rPr>
              <w:t xml:space="preserve">1093.2</w:t>
            </w:r>
          </w:p>
        </w:tc>
        <w:tc>
          <w:tcPr>
            <w:tcW w:type="dxa" w:w="1500"/>
            <w:shd w:fill="F2F2F2" w:val="clear"/>
            <w:tcMar>
              <w:top w:type="dxa" w:w="60"/>
              <w:left w:type="dxa" w:w="100"/>
              <w:bottom w:type="dxa" w:w="60"/>
              <w:right w:type="dxa" w:w="100"/>
            </w:tcMar>
          </w:tcPr>
          <w:p>
            <w:pPr>
              <w:jc w:val="left"/>
            </w:pPr>
            <w:r>
              <w:rPr>
                <w:b w:val="false"/>
                <w:bCs w:val="false"/>
                <w:sz w:val="18"/>
                <w:szCs w:val="18"/>
              </w:rPr>
              <w:t xml:space="preserve">1093.2</w:t>
            </w:r>
          </w:p>
        </w:tc>
        <w:tc>
          <w:tcPr>
            <w:tcW w:type="dxa" w:w="1300"/>
            <w:shd w:fill="F2F2F2" w:val="clear"/>
            <w:tcMar>
              <w:top w:type="dxa" w:w="60"/>
              <w:left w:type="dxa" w:w="100"/>
              <w:bottom w:type="dxa" w:w="60"/>
              <w:right w:type="dxa" w:w="100"/>
            </w:tcMar>
          </w:tcPr>
          <w:p>
            <w:pPr>
              <w:jc w:val="left"/>
            </w:pPr>
            <w:r>
              <w:rPr>
                <w:b w:val="false"/>
                <w:bCs w:val="false"/>
                <w:sz w:val="18"/>
                <w:szCs w:val="18"/>
              </w:rPr>
              <w:t xml:space="preserve">1.95</w:t>
            </w:r>
          </w:p>
        </w:tc>
        <w:tc>
          <w:tcPr>
            <w:tcW w:type="dxa" w:w="1700"/>
            <w:shd w:fill="F2F2F2" w:val="clear"/>
            <w:tcMar>
              <w:top w:type="dxa" w:w="60"/>
              <w:left w:type="dxa" w:w="100"/>
              <w:bottom w:type="dxa" w:w="60"/>
              <w:right w:type="dxa" w:w="100"/>
            </w:tcMar>
          </w:tcPr>
          <w:p>
            <w:pPr>
              <w:jc w:val="left"/>
            </w:pPr>
            <w:r>
              <w:rPr>
                <w:b w:val="false"/>
                <w:bCs w:val="false"/>
                <w:sz w:val="18"/>
                <w:szCs w:val="18"/>
              </w:rPr>
              <w:t xml:space="preserve">11/12</w:t>
            </w:r>
          </w:p>
        </w:tc>
        <w:tc>
          <w:tcPr>
            <w:tcW w:type="dxa" w:w="1500"/>
            <w:shd w:fill="F2F2F2" w:val="clear"/>
            <w:tcMar>
              <w:top w:type="dxa" w:w="60"/>
              <w:left w:type="dxa" w:w="100"/>
              <w:bottom w:type="dxa" w:w="60"/>
              <w:right w:type="dxa" w:w="100"/>
            </w:tcMar>
          </w:tcPr>
          <w:p>
            <w:pPr>
              <w:jc w:val="left"/>
            </w:pPr>
            <w:r>
              <w:rPr>
                <w:b w:val="false"/>
                <w:bCs w:val="false"/>
                <w:sz w:val="18"/>
                <w:szCs w:val="18"/>
              </w:rPr>
              <w:t xml:space="preserve">37.52%</w:t>
            </w:r>
          </w:p>
        </w:tc>
        <w:tc>
          <w:tcPr>
            <w:tcW w:type="dxa" w:w="2940"/>
            <w:shd w:fill="F2F2F2" w:val="clear"/>
            <w:tcMar>
              <w:top w:type="dxa" w:w="60"/>
              <w:left w:type="dxa" w:w="100"/>
              <w:bottom w:type="dxa" w:w="60"/>
              <w:right w:type="dxa" w:w="100"/>
            </w:tcMar>
          </w:tcPr>
          <w:p>
            <w:pPr>
              <w:jc w:val="left"/>
            </w:pPr>
            <w:r>
              <w:rPr>
                <w:b w:val="false"/>
                <w:bCs w:val="false"/>
                <w:sz w:val="18"/>
                <w:szCs w:val="18"/>
              </w:rPr>
              <w:t xml:space="preserve">Reproducible position; intensity highly variable</w:t>
            </w:r>
          </w:p>
        </w:tc>
      </w:tr>
      <w:tr>
        <w:tc>
          <w:tcPr>
            <w:tcW w:type="dxa" w:w="1500"/>
            <w:tcMar>
              <w:top w:type="dxa" w:w="60"/>
              <w:left w:type="dxa" w:w="100"/>
              <w:bottom w:type="dxa" w:w="60"/>
              <w:right w:type="dxa" w:w="100"/>
            </w:tcMar>
          </w:tcPr>
          <w:p>
            <w:pPr>
              <w:jc w:val="left"/>
            </w:pPr>
            <w:r>
              <w:rPr>
                <w:b w:val="false"/>
                <w:bCs w:val="false"/>
                <w:sz w:val="18"/>
                <w:szCs w:val="18"/>
              </w:rPr>
              <w:t xml:space="preserve">1184.6</w:t>
            </w:r>
          </w:p>
        </w:tc>
        <w:tc>
          <w:tcPr>
            <w:tcW w:type="dxa" w:w="1500"/>
            <w:tcMar>
              <w:top w:type="dxa" w:w="60"/>
              <w:left w:type="dxa" w:w="100"/>
              <w:bottom w:type="dxa" w:w="60"/>
              <w:right w:type="dxa" w:w="100"/>
            </w:tcMar>
          </w:tcPr>
          <w:p>
            <w:pPr>
              <w:jc w:val="left"/>
            </w:pPr>
            <w:r>
              <w:rPr>
                <w:b w:val="false"/>
                <w:bCs w:val="false"/>
                <w:sz w:val="18"/>
                <w:szCs w:val="18"/>
              </w:rPr>
              <w:t xml:space="preserve">1184.6</w:t>
            </w:r>
          </w:p>
        </w:tc>
        <w:tc>
          <w:tcPr>
            <w:tcW w:type="dxa" w:w="1300"/>
            <w:tcMar>
              <w:top w:type="dxa" w:w="60"/>
              <w:left w:type="dxa" w:w="100"/>
              <w:bottom w:type="dxa" w:w="60"/>
              <w:right w:type="dxa" w:w="100"/>
            </w:tcMar>
          </w:tcPr>
          <w:p>
            <w:pPr>
              <w:jc w:val="left"/>
            </w:pPr>
            <w:r>
              <w:rPr>
                <w:b w:val="false"/>
                <w:bCs w:val="false"/>
                <w:sz w:val="18"/>
                <w:szCs w:val="18"/>
              </w:rPr>
              <w:t xml:space="preserve">1.72</w:t>
            </w:r>
          </w:p>
        </w:tc>
        <w:tc>
          <w:tcPr>
            <w:tcW w:type="dxa" w:w="1700"/>
            <w:tcMar>
              <w:top w:type="dxa" w:w="60"/>
              <w:left w:type="dxa" w:w="100"/>
              <w:bottom w:type="dxa" w:w="60"/>
              <w:right w:type="dxa" w:w="100"/>
            </w:tcMar>
          </w:tcPr>
          <w:p>
            <w:pPr>
              <w:jc w:val="left"/>
            </w:pPr>
            <w:r>
              <w:rPr>
                <w:b w:val="false"/>
                <w:bCs w:val="false"/>
                <w:sz w:val="18"/>
                <w:szCs w:val="18"/>
              </w:rPr>
              <w:t xml:space="preserve">11/12</w:t>
            </w:r>
          </w:p>
        </w:tc>
        <w:tc>
          <w:tcPr>
            <w:tcW w:type="dxa" w:w="1500"/>
            <w:tcMar>
              <w:top w:type="dxa" w:w="60"/>
              <w:left w:type="dxa" w:w="100"/>
              <w:bottom w:type="dxa" w:w="60"/>
              <w:right w:type="dxa" w:w="100"/>
            </w:tcMar>
          </w:tcPr>
          <w:p>
            <w:pPr>
              <w:jc w:val="left"/>
            </w:pPr>
            <w:r>
              <w:rPr>
                <w:b w:val="false"/>
                <w:bCs w:val="false"/>
                <w:sz w:val="18"/>
                <w:szCs w:val="18"/>
              </w:rPr>
              <w:t xml:space="preserve">13.20%</w:t>
            </w:r>
          </w:p>
        </w:tc>
        <w:tc>
          <w:tcPr>
            <w:tcW w:type="dxa" w:w="2940"/>
            <w:tcMar>
              <w:top w:type="dxa" w:w="60"/>
              <w:left w:type="dxa" w:w="100"/>
              <w:bottom w:type="dxa" w:w="60"/>
              <w:right w:type="dxa" w:w="100"/>
            </w:tcMar>
          </w:tcPr>
          <w:p>
            <w:pPr>
              <w:jc w:val="left"/>
            </w:pPr>
            <w:r>
              <w:rPr>
                <w:b w:val="false"/>
                <w:bCs w:val="false"/>
                <w:sz w:val="18"/>
                <w:szCs w:val="18"/>
              </w:rPr>
              <w:t xml:space="preserve">Reproducible position; intensity moderately variable</w:t>
            </w:r>
          </w:p>
        </w:tc>
      </w:tr>
      <w:tr>
        <w:tc>
          <w:tcPr>
            <w:tcW w:type="dxa" w:w="1500"/>
            <w:shd w:fill="F2F2F2" w:val="clear"/>
            <w:tcMar>
              <w:top w:type="dxa" w:w="60"/>
              <w:left w:type="dxa" w:w="100"/>
              <w:bottom w:type="dxa" w:w="60"/>
              <w:right w:type="dxa" w:w="100"/>
            </w:tcMar>
          </w:tcPr>
          <w:p>
            <w:pPr>
              <w:jc w:val="left"/>
            </w:pPr>
            <w:r>
              <w:rPr>
                <w:b w:val="false"/>
                <w:bCs w:val="false"/>
                <w:sz w:val="18"/>
                <w:szCs w:val="18"/>
              </w:rPr>
              <w:t xml:space="preserve">1602.4</w:t>
            </w:r>
          </w:p>
        </w:tc>
        <w:tc>
          <w:tcPr>
            <w:tcW w:type="dxa" w:w="1500"/>
            <w:shd w:fill="F2F2F2" w:val="clear"/>
            <w:tcMar>
              <w:top w:type="dxa" w:w="60"/>
              <w:left w:type="dxa" w:w="100"/>
              <w:bottom w:type="dxa" w:w="60"/>
              <w:right w:type="dxa" w:w="100"/>
            </w:tcMar>
          </w:tcPr>
          <w:p>
            <w:pPr>
              <w:jc w:val="left"/>
            </w:pPr>
            <w:r>
              <w:rPr>
                <w:b w:val="false"/>
                <w:bCs w:val="false"/>
                <w:sz w:val="18"/>
                <w:szCs w:val="18"/>
              </w:rPr>
              <w:t xml:space="preserve">1602.4</w:t>
            </w:r>
          </w:p>
        </w:tc>
        <w:tc>
          <w:tcPr>
            <w:tcW w:type="dxa" w:w="1300"/>
            <w:shd w:fill="F2F2F2" w:val="clear"/>
            <w:tcMar>
              <w:top w:type="dxa" w:w="60"/>
              <w:left w:type="dxa" w:w="100"/>
              <w:bottom w:type="dxa" w:w="60"/>
              <w:right w:type="dxa" w:w="100"/>
            </w:tcMar>
          </w:tcPr>
          <w:p>
            <w:pPr>
              <w:jc w:val="left"/>
            </w:pPr>
            <w:r>
              <w:rPr>
                <w:b w:val="false"/>
                <w:bCs w:val="false"/>
                <w:sz w:val="18"/>
                <w:szCs w:val="18"/>
              </w:rPr>
              <w:t xml:space="preserve">0.61</w:t>
            </w:r>
          </w:p>
        </w:tc>
        <w:tc>
          <w:tcPr>
            <w:tcW w:type="dxa" w:w="1700"/>
            <w:shd w:fill="F2F2F2" w:val="clear"/>
            <w:tcMar>
              <w:top w:type="dxa" w:w="60"/>
              <w:left w:type="dxa" w:w="100"/>
              <w:bottom w:type="dxa" w:w="60"/>
              <w:right w:type="dxa" w:w="100"/>
            </w:tcMar>
          </w:tcPr>
          <w:p>
            <w:pPr>
              <w:jc w:val="left"/>
            </w:pPr>
            <w:r>
              <w:rPr>
                <w:b w:val="false"/>
                <w:bCs w:val="false"/>
                <w:sz w:val="18"/>
                <w:szCs w:val="18"/>
              </w:rPr>
              <w:t xml:space="preserve">12/12</w:t>
            </w:r>
          </w:p>
        </w:tc>
        <w:tc>
          <w:tcPr>
            <w:tcW w:type="dxa" w:w="1500"/>
            <w:shd w:fill="F2F2F2" w:val="clear"/>
            <w:tcMar>
              <w:top w:type="dxa" w:w="60"/>
              <w:left w:type="dxa" w:w="100"/>
              <w:bottom w:type="dxa" w:w="60"/>
              <w:right w:type="dxa" w:w="100"/>
            </w:tcMar>
          </w:tcPr>
          <w:p>
            <w:pPr>
              <w:jc w:val="left"/>
            </w:pPr>
            <w:r>
              <w:rPr>
                <w:b w:val="false"/>
                <w:bCs w:val="false"/>
                <w:sz w:val="18"/>
                <w:szCs w:val="18"/>
              </w:rPr>
              <w:t xml:space="preserve">13.24%</w:t>
            </w:r>
          </w:p>
        </w:tc>
        <w:tc>
          <w:tcPr>
            <w:tcW w:type="dxa" w:w="2940"/>
            <w:shd w:fill="F2F2F2" w:val="clear"/>
            <w:tcMar>
              <w:top w:type="dxa" w:w="60"/>
              <w:left w:type="dxa" w:w="100"/>
              <w:bottom w:type="dxa" w:w="60"/>
              <w:right w:type="dxa" w:w="100"/>
            </w:tcMar>
          </w:tcPr>
          <w:p>
            <w:pPr>
              <w:jc w:val="left"/>
            </w:pPr>
            <w:r>
              <w:rPr>
                <w:b w:val="false"/>
                <w:bCs w:val="false"/>
                <w:sz w:val="18"/>
                <w:szCs w:val="18"/>
              </w:rPr>
              <w:t xml:space="preserve">Reproducible position; intensity moderately variable</w:t>
            </w:r>
          </w:p>
        </w:tc>
      </w:tr>
      <w:tr>
        <w:tc>
          <w:tcPr>
            <w:tcW w:type="dxa" w:w="1500"/>
            <w:tcMar>
              <w:top w:type="dxa" w:w="60"/>
              <w:left w:type="dxa" w:w="100"/>
              <w:bottom w:type="dxa" w:w="60"/>
              <w:right w:type="dxa" w:w="100"/>
            </w:tcMar>
          </w:tcPr>
          <w:p>
            <w:pPr>
              <w:jc w:val="left"/>
            </w:pPr>
            <w:r>
              <w:rPr>
                <w:b w:val="false"/>
                <w:bCs w:val="false"/>
                <w:sz w:val="18"/>
                <w:szCs w:val="18"/>
              </w:rPr>
              <w:t xml:space="preserve">1784.2</w:t>
            </w:r>
          </w:p>
        </w:tc>
        <w:tc>
          <w:tcPr>
            <w:tcW w:type="dxa" w:w="1500"/>
            <w:tcMar>
              <w:top w:type="dxa" w:w="60"/>
              <w:left w:type="dxa" w:w="100"/>
              <w:bottom w:type="dxa" w:w="60"/>
              <w:right w:type="dxa" w:w="100"/>
            </w:tcMar>
          </w:tcPr>
          <w:p>
            <w:pPr>
              <w:jc w:val="left"/>
            </w:pPr>
            <w:r>
              <w:rPr>
                <w:b w:val="false"/>
                <w:bCs w:val="false"/>
                <w:sz w:val="18"/>
                <w:szCs w:val="18"/>
              </w:rPr>
              <w:t xml:space="preserve">1784.2</w:t>
            </w:r>
          </w:p>
        </w:tc>
        <w:tc>
          <w:tcPr>
            <w:tcW w:type="dxa" w:w="1300"/>
            <w:tcMar>
              <w:top w:type="dxa" w:w="60"/>
              <w:left w:type="dxa" w:w="100"/>
              <w:bottom w:type="dxa" w:w="60"/>
              <w:right w:type="dxa" w:w="100"/>
            </w:tcMar>
          </w:tcPr>
          <w:p>
            <w:pPr>
              <w:jc w:val="left"/>
            </w:pPr>
            <w:r>
              <w:rPr>
                <w:b w:val="false"/>
                <w:bCs w:val="false"/>
                <w:sz w:val="18"/>
                <w:szCs w:val="18"/>
              </w:rPr>
              <w:t xml:space="preserve">0.00</w:t>
            </w:r>
          </w:p>
        </w:tc>
        <w:tc>
          <w:tcPr>
            <w:tcW w:type="dxa" w:w="1700"/>
            <w:tcMar>
              <w:top w:type="dxa" w:w="60"/>
              <w:left w:type="dxa" w:w="100"/>
              <w:bottom w:type="dxa" w:w="60"/>
              <w:right w:type="dxa" w:w="100"/>
            </w:tcMar>
          </w:tcPr>
          <w:p>
            <w:pPr>
              <w:jc w:val="left"/>
            </w:pPr>
            <w:r>
              <w:rPr>
                <w:b w:val="false"/>
                <w:bCs w:val="false"/>
                <w:sz w:val="18"/>
                <w:szCs w:val="18"/>
              </w:rPr>
              <w:t xml:space="preserve">6/12</w:t>
            </w:r>
          </w:p>
        </w:tc>
        <w:tc>
          <w:tcPr>
            <w:tcW w:type="dxa" w:w="1500"/>
            <w:tcMar>
              <w:top w:type="dxa" w:w="60"/>
              <w:left w:type="dxa" w:w="100"/>
              <w:bottom w:type="dxa" w:w="60"/>
              <w:right w:type="dxa" w:w="100"/>
            </w:tcMar>
          </w:tcPr>
          <w:p>
            <w:pPr>
              <w:jc w:val="left"/>
            </w:pPr>
            <w:r>
              <w:rPr>
                <w:b w:val="false"/>
                <w:bCs w:val="false"/>
                <w:sz w:val="18"/>
                <w:szCs w:val="18"/>
              </w:rPr>
              <w:t xml:space="preserve">14.86%</w:t>
            </w:r>
          </w:p>
        </w:tc>
        <w:tc>
          <w:tcPr>
            <w:tcW w:type="dxa" w:w="2940"/>
            <w:tcMar>
              <w:top w:type="dxa" w:w="60"/>
              <w:left w:type="dxa" w:w="100"/>
              <w:bottom w:type="dxa" w:w="60"/>
              <w:right w:type="dxa" w:w="100"/>
            </w:tcMar>
          </w:tcPr>
          <w:p>
            <w:pPr>
              <w:jc w:val="left"/>
            </w:pPr>
            <w:r>
              <w:rPr>
                <w:b w:val="false"/>
                <w:bCs w:val="false"/>
                <w:sz w:val="18"/>
                <w:szCs w:val="18"/>
              </w:rPr>
              <w:t xml:space="preserve">Weakest band — detected in only half the spots</w:t>
            </w:r>
          </w:p>
        </w:tc>
      </w:tr>
    </w:tbl>
    <w:p>
      <w:pPr>
        <w:spacing w:after="120"/>
      </w:pPr>
      <w:r>
        <w:t xml:space="preserve">Peak positions are highly reproducible across all 7 bands (standard deviation ≤ 1.95 cm⁻¹). Intensity reproducibility is weaker: three of the seven peaks (999.9, 1093.2, 1784.2 cm⁻¹) exceed 15% coefficient of variation, and 1784.2 cm⁻¹ was detected in only 6 of the 12 spots — the least reproducible band overall. Position agreement should be trusted more than intensity agreement throughout the rest of this report.</w:t>
      </w:r>
    </w:p>
    <w:p>
      <w:r>
        <w:br w:type="page"/>
      </w:r>
    </w:p>
    <w:p>
      <w:pPr>
        <w:pStyle w:val="Heading1"/>
        <w:spacing w:after="160" w:before="360"/>
      </w:pPr>
      <w:r>
        <w:t xml:space="preserve">3. DFT Simulation</w:t>
      </w:r>
    </w:p>
    <w:p>
      <w:pPr>
        <w:spacing w:after="120"/>
      </w:pPr>
      <w:r>
        <w:t xml:space="preserve">Three LTA-related building blocks were successfully calculated at the B3LYP/6-31G(d) level (Gaussian 09, ×0.96 scaling factor): glycerol-phosphate, D-alanine, and N-acetyl-D-glucosamine (GlcNAc). These are isolated chemical fragments of LTA, not the intact molecule.</w:t>
      </w:r>
    </w:p>
    <w:p>
      <w:pPr>
        <w:pBdr>
          <w:left w:val="single" w:color="C0504D" w:sz="18" w:space="8"/>
        </w:pBdr>
        <w:spacing w:after="200" w:before="120"/>
        <w:ind w:left="200"/>
      </w:pPr>
      <w:r>
        <w:rPr>
          <w:i/>
          <w:iCs/>
        </w:rPr>
        <w:t xml:space="preserve">The intact, phosphodiester-linked, lipid-anchored LTA polymer was NOT successfully modeled. A whole-molecule Gaussian calculation was attempted (20-04/molecules/LTA Final/LTA.LOG) but terminated with an error before reaching the frequency/Raman-activity stage — no usable output was produced. All DFT comparisons in this report are therefore fragment-level only.</w:t>
      </w:r>
    </w:p>
    <w:p>
      <w:pPr>
        <w:spacing w:after="120"/>
      </w:pPr>
      <w:r>
        <w:t xml:space="preserve">Each fragment's output file was checked for point spacing: all three (444–500 points, uniform 8–9 cm⁻¹ step) are interpolated, broadened curves, not discrete lists of calculated vibrational modes — a genuine frequency calculation produces one entry per normal mode at irregular, molecule-specific positions. No mode number or symmetry label is reported anywhere in this document because none exists in the available output.</w:t>
      </w:r>
    </w:p>
    <w:p>
      <w:pPr>
        <w:pBdr>
          <w:top w:val="single" w:color="EAF6EC" w:sz="2"/>
          <w:bottom w:val="single" w:color="EAF6EC" w:sz="2"/>
          <w:left w:val="single" w:color="1B7837" w:sz="24" w:space="8"/>
          <w:right w:val="single" w:color="EAF6EC" w:sz="2"/>
        </w:pBdr>
        <w:shd w:fill="EAF6EC" w:val="clear"/>
        <w:spacing w:after="200" w:before="120"/>
        <w:ind w:left="200"/>
      </w:pPr>
      <w:r>
        <w:t xml:space="preserve">Because of both limitations above, the DFT analysis in this report is a fragment-level qualitative consistency check only. It is not, and is not presented as, a complete DFT model of intact LTA.</w:t>
      </w:r>
    </w:p>
    <w:p>
      <w:r>
        <w:br w:type="page"/>
      </w:r>
    </w:p>
    <w:p>
      <w:pPr>
        <w:pStyle w:val="Heading1"/>
        <w:spacing w:after="160" w:before="360"/>
      </w:pPr>
      <w:r>
        <w:t xml:space="preserve">4. Experimental vs. DFT Comparison</w:t>
      </w:r>
    </w:p>
    <w:p>
      <w:pPr>
        <w:spacing w:after="120"/>
      </w:pPr>
      <w:r>
        <w:t xml:space="preserve">DFT candidate peak positions were extracted as local maxima of the three broadened fragment curves, scaled ×0.96, restricted to 200–1900 cm⁻¹ (75 candidates total). Each of the 7 experimental peaks was matched to its nearest DFT candidate using a fixed ±15 cm⁻¹ criterion, set before matching was performed.</w:t>
      </w:r>
    </w:p>
    <w:p>
      <w:pPr>
        <w:spacing w:after="120" w:before="120"/>
        <w:jc w:val="center"/>
      </w:pPr>
      <w:r>
        <w:drawing>
          <wp:inline distT="0" distB="0" distL="0" distR="0">
            <wp:extent cx="5905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019425"/>
                    </a:xfrm>
                    <a:prstGeom prst="rect">
                      <a:avLst/>
                    </a:prstGeom>
                  </pic:spPr>
                </pic:pic>
              </a:graphicData>
            </a:graphic>
          </wp:inline>
        </w:drawing>
      </w:r>
    </w:p>
    <w:p>
      <w:pPr>
        <w:spacing w:after="240"/>
        <w:jc w:val="center"/>
      </w:pPr>
      <w:r>
        <w:rPr>
          <w:i/>
          <w:iCs/>
          <w:sz w:val="18"/>
          <w:szCs w:val="18"/>
        </w:rPr>
        <w:t xml:space="preserve">Figure 2. Experimental LTA powder Raman vs. fragment-level DFT curves; only the 5 DFT-supported bands are marked.</w:t>
      </w:r>
    </w:p>
    <w:p>
      <w:pPr>
        <w:spacing w:after="120" w:before="120"/>
        <w:jc w:val="center"/>
      </w:pPr>
      <w:r>
        <w:drawing>
          <wp:inline distT="0" distB="0" distL="0" distR="0">
            <wp:extent cx="4381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4381500"/>
                    </a:xfrm>
                    <a:prstGeom prst="rect">
                      <a:avLst/>
                    </a:prstGeom>
                  </pic:spPr>
                </pic:pic>
              </a:graphicData>
            </a:graphic>
          </wp:inline>
        </w:drawing>
      </w:r>
    </w:p>
    <w:p>
      <w:pPr>
        <w:spacing w:after="240"/>
        <w:jc w:val="center"/>
      </w:pPr>
      <w:r>
        <w:rPr>
          <w:i/>
          <w:iCs/>
          <w:sz w:val="18"/>
          <w:szCs w:val="18"/>
        </w:rPr>
        <w:t xml:space="preserve">Figure 3. Experimental vs. DFT peak-position agreement, with a y = x reference line and ±15 cm⁻¹ tolerance band. Matched (filled) and unmatched (open) bands are distinguished.</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431"/>
        <w:gridCol w:w="2004"/>
        <w:gridCol w:w="1145"/>
        <w:gridCol w:w="2290"/>
        <w:gridCol w:w="2328"/>
        <w:gridCol w:w="1242"/>
      </w:tblGrid>
      <w:tr>
        <w:trPr>
          <w:tblHeader/>
        </w:trPr>
        <w:tc>
          <w:tcPr>
            <w:tcW w:type="dxa" w:w="1431"/>
            <w:shd w:fill="1F4E5F" w:val="clear"/>
            <w:tcMar>
              <w:top w:type="dxa" w:w="60"/>
              <w:left w:type="dxa" w:w="100"/>
              <w:bottom w:type="dxa" w:w="60"/>
              <w:right w:type="dxa" w:w="100"/>
            </w:tcMar>
          </w:tcPr>
          <w:p>
            <w:pPr>
              <w:jc w:val="left"/>
            </w:pPr>
            <w:r>
              <w:rPr>
                <w:b/>
                <w:bCs/>
                <w:color w:val="FFFFFF"/>
                <w:sz w:val="18"/>
                <w:szCs w:val="18"/>
              </w:rPr>
              <w:t xml:space="preserve">Experimental peak (cm⁻¹)</w:t>
            </w:r>
          </w:p>
        </w:tc>
        <w:tc>
          <w:tcPr>
            <w:tcW w:type="dxa" w:w="2004"/>
            <w:shd w:fill="1F4E5F" w:val="clear"/>
            <w:tcMar>
              <w:top w:type="dxa" w:w="60"/>
              <w:left w:type="dxa" w:w="100"/>
              <w:bottom w:type="dxa" w:w="60"/>
              <w:right w:type="dxa" w:w="100"/>
            </w:tcMar>
          </w:tcPr>
          <w:p>
            <w:pPr>
              <w:jc w:val="left"/>
            </w:pPr>
            <w:r>
              <w:rPr>
                <w:b/>
                <w:bCs/>
                <w:color w:val="FFFFFF"/>
                <w:sz w:val="18"/>
                <w:szCs w:val="18"/>
              </w:rPr>
              <w:t xml:space="preserve">Closest DFT feature (cm⁻¹)</w:t>
            </w:r>
          </w:p>
        </w:tc>
        <w:tc>
          <w:tcPr>
            <w:tcW w:type="dxa" w:w="1145"/>
            <w:shd w:fill="1F4E5F" w:val="clear"/>
            <w:tcMar>
              <w:top w:type="dxa" w:w="60"/>
              <w:left w:type="dxa" w:w="100"/>
              <w:bottom w:type="dxa" w:w="60"/>
              <w:right w:type="dxa" w:w="100"/>
            </w:tcMar>
          </w:tcPr>
          <w:p>
            <w:pPr>
              <w:jc w:val="left"/>
            </w:pPr>
            <w:r>
              <w:rPr>
                <w:b/>
                <w:bCs/>
                <w:color w:val="FFFFFF"/>
                <w:sz w:val="18"/>
                <w:szCs w:val="18"/>
              </w:rPr>
              <w:t xml:space="preserve">Δ (cm⁻¹)</w:t>
            </w:r>
          </w:p>
        </w:tc>
        <w:tc>
          <w:tcPr>
            <w:tcW w:type="dxa" w:w="2290"/>
            <w:shd w:fill="1F4E5F" w:val="clear"/>
            <w:tcMar>
              <w:top w:type="dxa" w:w="60"/>
              <w:left w:type="dxa" w:w="100"/>
              <w:bottom w:type="dxa" w:w="60"/>
              <w:right w:type="dxa" w:w="100"/>
            </w:tcMar>
          </w:tcPr>
          <w:p>
            <w:pPr>
              <w:jc w:val="left"/>
            </w:pPr>
            <w:r>
              <w:rPr>
                <w:b/>
                <w:bCs/>
                <w:color w:val="FFFFFF"/>
                <w:sz w:val="18"/>
                <w:szCs w:val="18"/>
              </w:rPr>
              <w:t xml:space="preserve">DFT fragment</w:t>
            </w:r>
          </w:p>
        </w:tc>
        <w:tc>
          <w:tcPr>
            <w:tcW w:type="dxa" w:w="2328"/>
            <w:shd w:fill="1F4E5F" w:val="clear"/>
            <w:tcMar>
              <w:top w:type="dxa" w:w="60"/>
              <w:left w:type="dxa" w:w="100"/>
              <w:bottom w:type="dxa" w:w="60"/>
              <w:right w:type="dxa" w:w="100"/>
            </w:tcMar>
          </w:tcPr>
          <w:p>
            <w:pPr>
              <w:jc w:val="left"/>
            </w:pPr>
            <w:r>
              <w:rPr>
                <w:b/>
                <w:bCs/>
                <w:color w:val="FFFFFF"/>
                <w:sz w:val="18"/>
                <w:szCs w:val="18"/>
              </w:rPr>
              <w:t xml:space="preserve">Assignment / interpretation</w:t>
            </w:r>
          </w:p>
        </w:tc>
        <w:tc>
          <w:tcPr>
            <w:tcW w:type="dxa" w:w="1242"/>
            <w:shd w:fill="1F4E5F" w:val="clear"/>
            <w:tcMar>
              <w:top w:type="dxa" w:w="60"/>
              <w:left w:type="dxa" w:w="100"/>
              <w:bottom w:type="dxa" w:w="60"/>
              <w:right w:type="dxa" w:w="100"/>
            </w:tcMar>
          </w:tcPr>
          <w:p>
            <w:pPr>
              <w:jc w:val="left"/>
            </w:pPr>
            <w:r>
              <w:rPr>
                <w:b/>
                <w:bCs/>
                <w:color w:val="FFFFFF"/>
                <w:sz w:val="18"/>
                <w:szCs w:val="18"/>
              </w:rPr>
              <w:t xml:space="preserve">Confidence</w:t>
            </w:r>
          </w:p>
        </w:tc>
      </w:tr>
      <w:tr>
        <w:tc>
          <w:tcPr>
            <w:tcW w:type="dxa" w:w="1431"/>
            <w:tcMar>
              <w:top w:type="dxa" w:w="60"/>
              <w:left w:type="dxa" w:w="100"/>
              <w:bottom w:type="dxa" w:w="60"/>
              <w:right w:type="dxa" w:w="100"/>
            </w:tcMar>
          </w:tcPr>
          <w:p>
            <w:pPr>
              <w:jc w:val="left"/>
            </w:pPr>
            <w:r>
              <w:rPr>
                <w:b w:val="false"/>
                <w:bCs w:val="false"/>
                <w:sz w:val="18"/>
                <w:szCs w:val="18"/>
              </w:rPr>
              <w:t xml:space="preserve">620.1</w:t>
            </w:r>
          </w:p>
        </w:tc>
        <w:tc>
          <w:tcPr>
            <w:tcW w:type="dxa" w:w="2004"/>
            <w:tcMar>
              <w:top w:type="dxa" w:w="60"/>
              <w:left w:type="dxa" w:w="100"/>
              <w:bottom w:type="dxa" w:w="60"/>
              <w:right w:type="dxa" w:w="100"/>
            </w:tcMar>
          </w:tcPr>
          <w:p>
            <w:pPr>
              <w:jc w:val="left"/>
            </w:pPr>
            <w:r>
              <w:rPr>
                <w:b w:val="false"/>
                <w:bCs w:val="false"/>
                <w:sz w:val="18"/>
                <w:szCs w:val="18"/>
              </w:rPr>
              <w:t xml:space="preserve">625.9</w:t>
            </w:r>
          </w:p>
        </w:tc>
        <w:tc>
          <w:tcPr>
            <w:tcW w:type="dxa" w:w="1145"/>
            <w:tcMar>
              <w:top w:type="dxa" w:w="60"/>
              <w:left w:type="dxa" w:w="100"/>
              <w:bottom w:type="dxa" w:w="60"/>
              <w:right w:type="dxa" w:w="100"/>
            </w:tcMar>
          </w:tcPr>
          <w:p>
            <w:pPr>
              <w:jc w:val="left"/>
            </w:pPr>
            <w:r>
              <w:rPr>
                <w:b w:val="false"/>
                <w:bCs w:val="false"/>
                <w:sz w:val="18"/>
                <w:szCs w:val="18"/>
              </w:rPr>
              <w:t xml:space="preserve">5.8</w:t>
            </w:r>
          </w:p>
        </w:tc>
        <w:tc>
          <w:tcPr>
            <w:tcW w:type="dxa" w:w="2290"/>
            <w:tcMar>
              <w:top w:type="dxa" w:w="60"/>
              <w:left w:type="dxa" w:w="100"/>
              <w:bottom w:type="dxa" w:w="60"/>
              <w:right w:type="dxa" w:w="100"/>
            </w:tcMar>
          </w:tcPr>
          <w:p>
            <w:pPr>
              <w:jc w:val="left"/>
            </w:pPr>
            <w:r>
              <w:rPr>
                <w:b w:val="false"/>
                <w:bCs w:val="false"/>
                <w:sz w:val="18"/>
                <w:szCs w:val="18"/>
              </w:rPr>
              <w:t xml:space="preserve">Glycerol-phosphate</w:t>
            </w:r>
          </w:p>
        </w:tc>
        <w:tc>
          <w:tcPr>
            <w:tcW w:type="dxa" w:w="2328"/>
            <w:tcMar>
              <w:top w:type="dxa" w:w="60"/>
              <w:left w:type="dxa" w:w="100"/>
              <w:bottom w:type="dxa" w:w="60"/>
              <w:right w:type="dxa" w:w="100"/>
            </w:tcMar>
          </w:tcPr>
          <w:p>
            <w:pPr>
              <w:jc w:val="left"/>
            </w:pPr>
            <w:r>
              <w:rPr>
                <w:b w:val="false"/>
                <w:bCs w:val="false"/>
                <w:sz w:val="18"/>
                <w:szCs w:val="18"/>
              </w:rPr>
              <w:t xml:space="preserve">Qualitative positional consistency with fragment</w:t>
            </w:r>
          </w:p>
        </w:tc>
        <w:tc>
          <w:tcPr>
            <w:tcW w:type="dxa" w:w="1242"/>
            <w:tcMar>
              <w:top w:type="dxa" w:w="60"/>
              <w:left w:type="dxa" w:w="100"/>
              <w:bottom w:type="dxa" w:w="60"/>
              <w:right w:type="dxa" w:w="100"/>
            </w:tcMar>
          </w:tcPr>
          <w:p>
            <w:pPr>
              <w:jc w:val="left"/>
            </w:pPr>
            <w:r>
              <w:rPr>
                <w:b w:val="false"/>
                <w:bCs w:val="false"/>
                <w:sz w:val="18"/>
                <w:szCs w:val="18"/>
              </w:rPr>
              <w:t xml:space="preserve">Low–Moderate</w:t>
            </w:r>
          </w:p>
        </w:tc>
      </w:tr>
      <w:tr>
        <w:tc>
          <w:tcPr>
            <w:tcW w:type="dxa" w:w="1431"/>
            <w:shd w:fill="F2F2F2" w:val="clear"/>
            <w:tcMar>
              <w:top w:type="dxa" w:w="60"/>
              <w:left w:type="dxa" w:w="100"/>
              <w:bottom w:type="dxa" w:w="60"/>
              <w:right w:type="dxa" w:w="100"/>
            </w:tcMar>
          </w:tcPr>
          <w:p>
            <w:pPr>
              <w:jc w:val="left"/>
            </w:pPr>
            <w:r>
              <w:rPr>
                <w:b w:val="false"/>
                <w:bCs w:val="false"/>
                <w:sz w:val="18"/>
                <w:szCs w:val="18"/>
              </w:rPr>
              <w:t xml:space="preserve">794.5</w:t>
            </w:r>
          </w:p>
        </w:tc>
        <w:tc>
          <w:tcPr>
            <w:tcW w:type="dxa" w:w="2004"/>
            <w:shd w:fill="F2F2F2" w:val="clear"/>
            <w:tcMar>
              <w:top w:type="dxa" w:w="60"/>
              <w:left w:type="dxa" w:w="100"/>
              <w:bottom w:type="dxa" w:w="60"/>
              <w:right w:type="dxa" w:w="100"/>
            </w:tcMar>
          </w:tcPr>
          <w:p>
            <w:pPr>
              <w:jc w:val="left"/>
            </w:pPr>
            <w:r>
              <w:rPr>
                <w:b w:val="false"/>
                <w:bCs w:val="false"/>
                <w:sz w:val="18"/>
                <w:szCs w:val="18"/>
              </w:rPr>
              <w:t xml:space="preserve">— (no match ≤15 cm⁻¹)</w:t>
            </w:r>
          </w:p>
        </w:tc>
        <w:tc>
          <w:tcPr>
            <w:tcW w:type="dxa" w:w="1145"/>
            <w:shd w:fill="F2F2F2" w:val="clear"/>
            <w:tcMar>
              <w:top w:type="dxa" w:w="60"/>
              <w:left w:type="dxa" w:w="100"/>
              <w:bottom w:type="dxa" w:w="60"/>
              <w:right w:type="dxa" w:w="100"/>
            </w:tcMar>
          </w:tcPr>
          <w:p>
            <w:pPr>
              <w:jc w:val="left"/>
            </w:pPr>
            <w:r>
              <w:rPr>
                <w:b w:val="false"/>
                <w:bCs w:val="false"/>
                <w:sz w:val="18"/>
                <w:szCs w:val="18"/>
              </w:rPr>
              <w:t xml:space="preserve">—</w:t>
            </w:r>
          </w:p>
        </w:tc>
        <w:tc>
          <w:tcPr>
            <w:tcW w:type="dxa" w:w="2290"/>
            <w:shd w:fill="F2F2F2" w:val="clear"/>
            <w:tcMar>
              <w:top w:type="dxa" w:w="60"/>
              <w:left w:type="dxa" w:w="100"/>
              <w:bottom w:type="dxa" w:w="60"/>
              <w:right w:type="dxa" w:w="100"/>
            </w:tcMar>
          </w:tcPr>
          <w:p>
            <w:pPr>
              <w:jc w:val="left"/>
            </w:pPr>
            <w:r>
              <w:rPr>
                <w:b w:val="false"/>
                <w:bCs w:val="false"/>
                <w:sz w:val="18"/>
                <w:szCs w:val="18"/>
              </w:rPr>
              <w:t xml:space="preserve">Glycerol-phosphate</w:t>
            </w:r>
          </w:p>
        </w:tc>
        <w:tc>
          <w:tcPr>
            <w:tcW w:type="dxa" w:w="2328"/>
            <w:shd w:fill="F2F2F2" w:val="clear"/>
            <w:tcMar>
              <w:top w:type="dxa" w:w="60"/>
              <w:left w:type="dxa" w:w="100"/>
              <w:bottom w:type="dxa" w:w="60"/>
              <w:right w:type="dxa" w:w="100"/>
            </w:tcMar>
          </w:tcPr>
          <w:p>
            <w:pPr>
              <w:jc w:val="left"/>
            </w:pPr>
            <w:r>
              <w:rPr>
                <w:b w:val="false"/>
                <w:bCs w:val="false"/>
                <w:sz w:val="18"/>
                <w:szCs w:val="18"/>
              </w:rPr>
              <w:t xml:space="preserve">Not determinable — no DFT candidate within tolerance</w:t>
            </w:r>
          </w:p>
        </w:tc>
        <w:tc>
          <w:tcPr>
            <w:tcW w:type="dxa" w:w="1242"/>
            <w:shd w:fill="F2F2F2" w:val="clear"/>
            <w:tcMar>
              <w:top w:type="dxa" w:w="60"/>
              <w:left w:type="dxa" w:w="100"/>
              <w:bottom w:type="dxa" w:w="60"/>
              <w:right w:type="dxa" w:w="100"/>
            </w:tcMar>
          </w:tcPr>
          <w:p>
            <w:pPr>
              <w:jc w:val="left"/>
            </w:pPr>
            <w:r>
              <w:rPr>
                <w:b w:val="false"/>
                <w:bCs w:val="false"/>
                <w:sz w:val="18"/>
                <w:szCs w:val="18"/>
              </w:rPr>
              <w:t xml:space="preserve">Unconfirmed</w:t>
            </w:r>
          </w:p>
        </w:tc>
      </w:tr>
      <w:tr>
        <w:tc>
          <w:tcPr>
            <w:tcW w:type="dxa" w:w="1431"/>
            <w:tcMar>
              <w:top w:type="dxa" w:w="60"/>
              <w:left w:type="dxa" w:w="100"/>
              <w:bottom w:type="dxa" w:w="60"/>
              <w:right w:type="dxa" w:w="100"/>
            </w:tcMar>
          </w:tcPr>
          <w:p>
            <w:pPr>
              <w:jc w:val="left"/>
            </w:pPr>
            <w:r>
              <w:rPr>
                <w:b w:val="false"/>
                <w:bCs w:val="false"/>
                <w:sz w:val="18"/>
                <w:szCs w:val="18"/>
              </w:rPr>
              <w:t xml:space="preserve">999.9</w:t>
            </w:r>
          </w:p>
        </w:tc>
        <w:tc>
          <w:tcPr>
            <w:tcW w:type="dxa" w:w="2004"/>
            <w:tcMar>
              <w:top w:type="dxa" w:w="60"/>
              <w:left w:type="dxa" w:w="100"/>
              <w:bottom w:type="dxa" w:w="60"/>
              <w:right w:type="dxa" w:w="100"/>
            </w:tcMar>
          </w:tcPr>
          <w:p>
            <w:pPr>
              <w:jc w:val="left"/>
            </w:pPr>
            <w:r>
              <w:rPr>
                <w:b w:val="false"/>
                <w:bCs w:val="false"/>
                <w:sz w:val="18"/>
                <w:szCs w:val="18"/>
              </w:rPr>
              <w:t xml:space="preserve">990.7</w:t>
            </w:r>
          </w:p>
        </w:tc>
        <w:tc>
          <w:tcPr>
            <w:tcW w:type="dxa" w:w="1145"/>
            <w:tcMar>
              <w:top w:type="dxa" w:w="60"/>
              <w:left w:type="dxa" w:w="100"/>
              <w:bottom w:type="dxa" w:w="60"/>
              <w:right w:type="dxa" w:w="100"/>
            </w:tcMar>
          </w:tcPr>
          <w:p>
            <w:pPr>
              <w:jc w:val="left"/>
            </w:pPr>
            <w:r>
              <w:rPr>
                <w:b w:val="false"/>
                <w:bCs w:val="false"/>
                <w:sz w:val="18"/>
                <w:szCs w:val="18"/>
              </w:rPr>
              <w:t xml:space="preserve">9.2</w:t>
            </w:r>
          </w:p>
        </w:tc>
        <w:tc>
          <w:tcPr>
            <w:tcW w:type="dxa" w:w="2290"/>
            <w:tcMar>
              <w:top w:type="dxa" w:w="60"/>
              <w:left w:type="dxa" w:w="100"/>
              <w:bottom w:type="dxa" w:w="60"/>
              <w:right w:type="dxa" w:w="100"/>
            </w:tcMar>
          </w:tcPr>
          <w:p>
            <w:pPr>
              <w:jc w:val="left"/>
            </w:pPr>
            <w:r>
              <w:rPr>
                <w:b w:val="false"/>
                <w:bCs w:val="false"/>
                <w:sz w:val="18"/>
                <w:szCs w:val="18"/>
              </w:rPr>
              <w:t xml:space="preserve">D-Alanine</w:t>
            </w:r>
          </w:p>
        </w:tc>
        <w:tc>
          <w:tcPr>
            <w:tcW w:type="dxa" w:w="2328"/>
            <w:tcMar>
              <w:top w:type="dxa" w:w="60"/>
              <w:left w:type="dxa" w:w="100"/>
              <w:bottom w:type="dxa" w:w="60"/>
              <w:right w:type="dxa" w:w="100"/>
            </w:tcMar>
          </w:tcPr>
          <w:p>
            <w:pPr>
              <w:jc w:val="left"/>
            </w:pPr>
            <w:r>
              <w:rPr>
                <w:b w:val="false"/>
                <w:bCs w:val="false"/>
                <w:sz w:val="18"/>
                <w:szCs w:val="18"/>
              </w:rPr>
              <w:t xml:space="preserve">Qualitative positional consistency with fragment</w:t>
            </w:r>
          </w:p>
        </w:tc>
        <w:tc>
          <w:tcPr>
            <w:tcW w:type="dxa" w:w="1242"/>
            <w:tcMar>
              <w:top w:type="dxa" w:w="60"/>
              <w:left w:type="dxa" w:w="100"/>
              <w:bottom w:type="dxa" w:w="60"/>
              <w:right w:type="dxa" w:w="100"/>
            </w:tcMar>
          </w:tcPr>
          <w:p>
            <w:pPr>
              <w:jc w:val="left"/>
            </w:pPr>
            <w:r>
              <w:rPr>
                <w:b w:val="false"/>
                <w:bCs w:val="false"/>
                <w:sz w:val="18"/>
                <w:szCs w:val="18"/>
              </w:rPr>
              <w:t xml:space="preserve">Low–Moderate</w:t>
            </w:r>
          </w:p>
        </w:tc>
      </w:tr>
      <w:tr>
        <w:tc>
          <w:tcPr>
            <w:tcW w:type="dxa" w:w="1431"/>
            <w:shd w:fill="F2F2F2" w:val="clear"/>
            <w:tcMar>
              <w:top w:type="dxa" w:w="60"/>
              <w:left w:type="dxa" w:w="100"/>
              <w:bottom w:type="dxa" w:w="60"/>
              <w:right w:type="dxa" w:w="100"/>
            </w:tcMar>
          </w:tcPr>
          <w:p>
            <w:pPr>
              <w:jc w:val="left"/>
            </w:pPr>
            <w:r>
              <w:rPr>
                <w:b w:val="false"/>
                <w:bCs w:val="false"/>
                <w:sz w:val="18"/>
                <w:szCs w:val="18"/>
              </w:rPr>
              <w:t xml:space="preserve">1093.2</w:t>
            </w:r>
          </w:p>
        </w:tc>
        <w:tc>
          <w:tcPr>
            <w:tcW w:type="dxa" w:w="2004"/>
            <w:shd w:fill="F2F2F2" w:val="clear"/>
            <w:tcMar>
              <w:top w:type="dxa" w:w="60"/>
              <w:left w:type="dxa" w:w="100"/>
              <w:bottom w:type="dxa" w:w="60"/>
              <w:right w:type="dxa" w:w="100"/>
            </w:tcMar>
          </w:tcPr>
          <w:p>
            <w:pPr>
              <w:jc w:val="left"/>
            </w:pPr>
            <w:r>
              <w:rPr>
                <w:b w:val="false"/>
                <w:bCs w:val="false"/>
                <w:sz w:val="18"/>
                <w:szCs w:val="18"/>
              </w:rPr>
              <w:t xml:space="preserve">1105.9</w:t>
            </w:r>
          </w:p>
        </w:tc>
        <w:tc>
          <w:tcPr>
            <w:tcW w:type="dxa" w:w="1145"/>
            <w:shd w:fill="F2F2F2" w:val="clear"/>
            <w:tcMar>
              <w:top w:type="dxa" w:w="60"/>
              <w:left w:type="dxa" w:w="100"/>
              <w:bottom w:type="dxa" w:w="60"/>
              <w:right w:type="dxa" w:w="100"/>
            </w:tcMar>
          </w:tcPr>
          <w:p>
            <w:pPr>
              <w:jc w:val="left"/>
            </w:pPr>
            <w:r>
              <w:rPr>
                <w:b w:val="false"/>
                <w:bCs w:val="false"/>
                <w:sz w:val="18"/>
                <w:szCs w:val="18"/>
              </w:rPr>
              <w:t xml:space="preserve">12.7</w:t>
            </w:r>
          </w:p>
        </w:tc>
        <w:tc>
          <w:tcPr>
            <w:tcW w:type="dxa" w:w="2290"/>
            <w:shd w:fill="F2F2F2" w:val="clear"/>
            <w:tcMar>
              <w:top w:type="dxa" w:w="60"/>
              <w:left w:type="dxa" w:w="100"/>
              <w:bottom w:type="dxa" w:w="60"/>
              <w:right w:type="dxa" w:w="100"/>
            </w:tcMar>
          </w:tcPr>
          <w:p>
            <w:pPr>
              <w:jc w:val="left"/>
            </w:pPr>
            <w:r>
              <w:rPr>
                <w:b w:val="false"/>
                <w:bCs w:val="false"/>
                <w:sz w:val="18"/>
                <w:szCs w:val="18"/>
              </w:rPr>
              <w:t xml:space="preserve">GlcNAc (N-acetyl-D-glucosamine)</w:t>
            </w:r>
          </w:p>
        </w:tc>
        <w:tc>
          <w:tcPr>
            <w:tcW w:type="dxa" w:w="2328"/>
            <w:shd w:fill="F2F2F2" w:val="clear"/>
            <w:tcMar>
              <w:top w:type="dxa" w:w="60"/>
              <w:left w:type="dxa" w:w="100"/>
              <w:bottom w:type="dxa" w:w="60"/>
              <w:right w:type="dxa" w:w="100"/>
            </w:tcMar>
          </w:tcPr>
          <w:p>
            <w:pPr>
              <w:jc w:val="left"/>
            </w:pPr>
            <w:r>
              <w:rPr>
                <w:b w:val="false"/>
                <w:bCs w:val="false"/>
                <w:sz w:val="18"/>
                <w:szCs w:val="18"/>
              </w:rPr>
              <w:t xml:space="preserve">Qualitative positional consistency with fragment</w:t>
            </w:r>
          </w:p>
        </w:tc>
        <w:tc>
          <w:tcPr>
            <w:tcW w:type="dxa" w:w="1242"/>
            <w:shd w:fill="F2F2F2" w:val="clear"/>
            <w:tcMar>
              <w:top w:type="dxa" w:w="60"/>
              <w:left w:type="dxa" w:w="100"/>
              <w:bottom w:type="dxa" w:w="60"/>
              <w:right w:type="dxa" w:w="100"/>
            </w:tcMar>
          </w:tcPr>
          <w:p>
            <w:pPr>
              <w:jc w:val="left"/>
            </w:pPr>
            <w:r>
              <w:rPr>
                <w:b w:val="false"/>
                <w:bCs w:val="false"/>
                <w:sz w:val="18"/>
                <w:szCs w:val="18"/>
              </w:rPr>
              <w:t xml:space="preserve">Low–Moderate</w:t>
            </w:r>
          </w:p>
        </w:tc>
      </w:tr>
      <w:tr>
        <w:tc>
          <w:tcPr>
            <w:tcW w:type="dxa" w:w="1431"/>
            <w:tcMar>
              <w:top w:type="dxa" w:w="60"/>
              <w:left w:type="dxa" w:w="100"/>
              <w:bottom w:type="dxa" w:w="60"/>
              <w:right w:type="dxa" w:w="100"/>
            </w:tcMar>
          </w:tcPr>
          <w:p>
            <w:pPr>
              <w:jc w:val="left"/>
            </w:pPr>
            <w:r>
              <w:rPr>
                <w:b w:val="false"/>
                <w:bCs w:val="false"/>
                <w:sz w:val="18"/>
                <w:szCs w:val="18"/>
              </w:rPr>
              <w:t xml:space="preserve">1184.6</w:t>
            </w:r>
          </w:p>
        </w:tc>
        <w:tc>
          <w:tcPr>
            <w:tcW w:type="dxa" w:w="2004"/>
            <w:tcMar>
              <w:top w:type="dxa" w:w="60"/>
              <w:left w:type="dxa" w:w="100"/>
              <w:bottom w:type="dxa" w:w="60"/>
              <w:right w:type="dxa" w:w="100"/>
            </w:tcMar>
          </w:tcPr>
          <w:p>
            <w:pPr>
              <w:jc w:val="left"/>
            </w:pPr>
            <w:r>
              <w:rPr>
                <w:b w:val="false"/>
                <w:bCs w:val="false"/>
                <w:sz w:val="18"/>
                <w:szCs w:val="18"/>
              </w:rPr>
              <w:t xml:space="preserve">1178.9</w:t>
            </w:r>
          </w:p>
        </w:tc>
        <w:tc>
          <w:tcPr>
            <w:tcW w:type="dxa" w:w="1145"/>
            <w:tcMar>
              <w:top w:type="dxa" w:w="60"/>
              <w:left w:type="dxa" w:w="100"/>
              <w:bottom w:type="dxa" w:w="60"/>
              <w:right w:type="dxa" w:w="100"/>
            </w:tcMar>
          </w:tcPr>
          <w:p>
            <w:pPr>
              <w:jc w:val="left"/>
            </w:pPr>
            <w:r>
              <w:rPr>
                <w:b w:val="false"/>
                <w:bCs w:val="false"/>
                <w:sz w:val="18"/>
                <w:szCs w:val="18"/>
              </w:rPr>
              <w:t xml:space="preserve">5.7</w:t>
            </w:r>
          </w:p>
        </w:tc>
        <w:tc>
          <w:tcPr>
            <w:tcW w:type="dxa" w:w="2290"/>
            <w:tcMar>
              <w:top w:type="dxa" w:w="60"/>
              <w:left w:type="dxa" w:w="100"/>
              <w:bottom w:type="dxa" w:w="60"/>
              <w:right w:type="dxa" w:w="100"/>
            </w:tcMar>
          </w:tcPr>
          <w:p>
            <w:pPr>
              <w:jc w:val="left"/>
            </w:pPr>
            <w:r>
              <w:rPr>
                <w:b w:val="false"/>
                <w:bCs w:val="false"/>
                <w:sz w:val="18"/>
                <w:szCs w:val="18"/>
              </w:rPr>
              <w:t xml:space="preserve">Glycerol-phosphate</w:t>
            </w:r>
          </w:p>
        </w:tc>
        <w:tc>
          <w:tcPr>
            <w:tcW w:type="dxa" w:w="2328"/>
            <w:tcMar>
              <w:top w:type="dxa" w:w="60"/>
              <w:left w:type="dxa" w:w="100"/>
              <w:bottom w:type="dxa" w:w="60"/>
              <w:right w:type="dxa" w:w="100"/>
            </w:tcMar>
          </w:tcPr>
          <w:p>
            <w:pPr>
              <w:jc w:val="left"/>
            </w:pPr>
            <w:r>
              <w:rPr>
                <w:b w:val="false"/>
                <w:bCs w:val="false"/>
                <w:sz w:val="18"/>
                <w:szCs w:val="18"/>
              </w:rPr>
              <w:t xml:space="preserve">Qualitative positional consistency with fragment</w:t>
            </w:r>
          </w:p>
        </w:tc>
        <w:tc>
          <w:tcPr>
            <w:tcW w:type="dxa" w:w="1242"/>
            <w:tcMar>
              <w:top w:type="dxa" w:w="60"/>
              <w:left w:type="dxa" w:w="100"/>
              <w:bottom w:type="dxa" w:w="60"/>
              <w:right w:type="dxa" w:w="100"/>
            </w:tcMar>
          </w:tcPr>
          <w:p>
            <w:pPr>
              <w:jc w:val="left"/>
            </w:pPr>
            <w:r>
              <w:rPr>
                <w:b w:val="false"/>
                <w:bCs w:val="false"/>
                <w:sz w:val="18"/>
                <w:szCs w:val="18"/>
              </w:rPr>
              <w:t xml:space="preserve">Low–Moderate</w:t>
            </w:r>
          </w:p>
        </w:tc>
      </w:tr>
      <w:tr>
        <w:tc>
          <w:tcPr>
            <w:tcW w:type="dxa" w:w="1431"/>
            <w:shd w:fill="F2F2F2" w:val="clear"/>
            <w:tcMar>
              <w:top w:type="dxa" w:w="60"/>
              <w:left w:type="dxa" w:w="100"/>
              <w:bottom w:type="dxa" w:w="60"/>
              <w:right w:type="dxa" w:w="100"/>
            </w:tcMar>
          </w:tcPr>
          <w:p>
            <w:pPr>
              <w:jc w:val="left"/>
            </w:pPr>
            <w:r>
              <w:rPr>
                <w:b w:val="false"/>
                <w:bCs w:val="false"/>
                <w:sz w:val="18"/>
                <w:szCs w:val="18"/>
              </w:rPr>
              <w:t xml:space="preserve">1602.4</w:t>
            </w:r>
          </w:p>
        </w:tc>
        <w:tc>
          <w:tcPr>
            <w:tcW w:type="dxa" w:w="2004"/>
            <w:shd w:fill="F2F2F2" w:val="clear"/>
            <w:tcMar>
              <w:top w:type="dxa" w:w="60"/>
              <w:left w:type="dxa" w:w="100"/>
              <w:bottom w:type="dxa" w:w="60"/>
              <w:right w:type="dxa" w:w="100"/>
            </w:tcMar>
          </w:tcPr>
          <w:p>
            <w:pPr>
              <w:jc w:val="left"/>
            </w:pPr>
            <w:r>
              <w:rPr>
                <w:b w:val="false"/>
                <w:bCs w:val="false"/>
                <w:sz w:val="18"/>
                <w:szCs w:val="18"/>
              </w:rPr>
              <w:t xml:space="preserve">1605.1</w:t>
            </w:r>
          </w:p>
        </w:tc>
        <w:tc>
          <w:tcPr>
            <w:tcW w:type="dxa" w:w="1145"/>
            <w:shd w:fill="F2F2F2" w:val="clear"/>
            <w:tcMar>
              <w:top w:type="dxa" w:w="60"/>
              <w:left w:type="dxa" w:w="100"/>
              <w:bottom w:type="dxa" w:w="60"/>
              <w:right w:type="dxa" w:w="100"/>
            </w:tcMar>
          </w:tcPr>
          <w:p>
            <w:pPr>
              <w:jc w:val="left"/>
            </w:pPr>
            <w:r>
              <w:rPr>
                <w:b w:val="false"/>
                <w:bCs w:val="false"/>
                <w:sz w:val="18"/>
                <w:szCs w:val="18"/>
              </w:rPr>
              <w:t xml:space="preserve">2.7</w:t>
            </w:r>
          </w:p>
        </w:tc>
        <w:tc>
          <w:tcPr>
            <w:tcW w:type="dxa" w:w="2290"/>
            <w:shd w:fill="F2F2F2" w:val="clear"/>
            <w:tcMar>
              <w:top w:type="dxa" w:w="60"/>
              <w:left w:type="dxa" w:w="100"/>
              <w:bottom w:type="dxa" w:w="60"/>
              <w:right w:type="dxa" w:w="100"/>
            </w:tcMar>
          </w:tcPr>
          <w:p>
            <w:pPr>
              <w:jc w:val="left"/>
            </w:pPr>
            <w:r>
              <w:rPr>
                <w:b w:val="false"/>
                <w:bCs w:val="false"/>
                <w:sz w:val="18"/>
                <w:szCs w:val="18"/>
              </w:rPr>
              <w:t xml:space="preserve">GlcNAc (N-acetyl-D-glucosamine)</w:t>
            </w:r>
          </w:p>
        </w:tc>
        <w:tc>
          <w:tcPr>
            <w:tcW w:type="dxa" w:w="2328"/>
            <w:shd w:fill="F2F2F2" w:val="clear"/>
            <w:tcMar>
              <w:top w:type="dxa" w:w="60"/>
              <w:left w:type="dxa" w:w="100"/>
              <w:bottom w:type="dxa" w:w="60"/>
              <w:right w:type="dxa" w:w="100"/>
            </w:tcMar>
          </w:tcPr>
          <w:p>
            <w:pPr>
              <w:jc w:val="left"/>
            </w:pPr>
            <w:r>
              <w:rPr>
                <w:b w:val="false"/>
                <w:bCs w:val="false"/>
                <w:sz w:val="18"/>
                <w:szCs w:val="18"/>
              </w:rPr>
              <w:t xml:space="preserve">Qualitative positional consistency with fragment</w:t>
            </w:r>
          </w:p>
        </w:tc>
        <w:tc>
          <w:tcPr>
            <w:tcW w:type="dxa" w:w="1242"/>
            <w:shd w:fill="F2F2F2" w:val="clear"/>
            <w:tcMar>
              <w:top w:type="dxa" w:w="60"/>
              <w:left w:type="dxa" w:w="100"/>
              <w:bottom w:type="dxa" w:w="60"/>
              <w:right w:type="dxa" w:w="100"/>
            </w:tcMar>
          </w:tcPr>
          <w:p>
            <w:pPr>
              <w:jc w:val="left"/>
            </w:pPr>
            <w:r>
              <w:rPr>
                <w:b w:val="false"/>
                <w:bCs w:val="false"/>
                <w:sz w:val="18"/>
                <w:szCs w:val="18"/>
              </w:rPr>
              <w:t xml:space="preserve">Low–Moderate</w:t>
            </w:r>
          </w:p>
        </w:tc>
      </w:tr>
      <w:tr>
        <w:tc>
          <w:tcPr>
            <w:tcW w:type="dxa" w:w="1431"/>
            <w:tcMar>
              <w:top w:type="dxa" w:w="60"/>
              <w:left w:type="dxa" w:w="100"/>
              <w:bottom w:type="dxa" w:w="60"/>
              <w:right w:type="dxa" w:w="100"/>
            </w:tcMar>
          </w:tcPr>
          <w:p>
            <w:pPr>
              <w:jc w:val="left"/>
            </w:pPr>
            <w:r>
              <w:rPr>
                <w:b w:val="false"/>
                <w:bCs w:val="false"/>
                <w:sz w:val="18"/>
                <w:szCs w:val="18"/>
              </w:rPr>
              <w:t xml:space="preserve">1784.2</w:t>
            </w:r>
          </w:p>
        </w:tc>
        <w:tc>
          <w:tcPr>
            <w:tcW w:type="dxa" w:w="2004"/>
            <w:tcMar>
              <w:top w:type="dxa" w:w="60"/>
              <w:left w:type="dxa" w:w="100"/>
              <w:bottom w:type="dxa" w:w="60"/>
              <w:right w:type="dxa" w:w="100"/>
            </w:tcMar>
          </w:tcPr>
          <w:p>
            <w:pPr>
              <w:jc w:val="left"/>
            </w:pPr>
            <w:r>
              <w:rPr>
                <w:b w:val="false"/>
                <w:bCs w:val="false"/>
                <w:sz w:val="18"/>
                <w:szCs w:val="18"/>
              </w:rPr>
              <w:t xml:space="preserve">— (no match ≤15 cm⁻¹)</w:t>
            </w:r>
          </w:p>
        </w:tc>
        <w:tc>
          <w:tcPr>
            <w:tcW w:type="dxa" w:w="1145"/>
            <w:tcMar>
              <w:top w:type="dxa" w:w="60"/>
              <w:left w:type="dxa" w:w="100"/>
              <w:bottom w:type="dxa" w:w="60"/>
              <w:right w:type="dxa" w:w="100"/>
            </w:tcMar>
          </w:tcPr>
          <w:p>
            <w:pPr>
              <w:jc w:val="left"/>
            </w:pPr>
            <w:r>
              <w:rPr>
                <w:b w:val="false"/>
                <w:bCs w:val="false"/>
                <w:sz w:val="18"/>
                <w:szCs w:val="18"/>
              </w:rPr>
              <w:t xml:space="preserve">—</w:t>
            </w:r>
          </w:p>
        </w:tc>
        <w:tc>
          <w:tcPr>
            <w:tcW w:type="dxa" w:w="2290"/>
            <w:tcMar>
              <w:top w:type="dxa" w:w="60"/>
              <w:left w:type="dxa" w:w="100"/>
              <w:bottom w:type="dxa" w:w="60"/>
              <w:right w:type="dxa" w:w="100"/>
            </w:tcMar>
          </w:tcPr>
          <w:p>
            <w:pPr>
              <w:jc w:val="left"/>
            </w:pPr>
            <w:r>
              <w:rPr>
                <w:b w:val="false"/>
                <w:bCs w:val="false"/>
                <w:sz w:val="18"/>
                <w:szCs w:val="18"/>
              </w:rPr>
              <w:t xml:space="preserve">D-Alanine</w:t>
            </w:r>
          </w:p>
        </w:tc>
        <w:tc>
          <w:tcPr>
            <w:tcW w:type="dxa" w:w="2328"/>
            <w:tcMar>
              <w:top w:type="dxa" w:w="60"/>
              <w:left w:type="dxa" w:w="100"/>
              <w:bottom w:type="dxa" w:w="60"/>
              <w:right w:type="dxa" w:w="100"/>
            </w:tcMar>
          </w:tcPr>
          <w:p>
            <w:pPr>
              <w:jc w:val="left"/>
            </w:pPr>
            <w:r>
              <w:rPr>
                <w:b w:val="false"/>
                <w:bCs w:val="false"/>
                <w:sz w:val="18"/>
                <w:szCs w:val="18"/>
              </w:rPr>
              <w:t xml:space="preserve">Not determinable — no DFT candidate within tolerance</w:t>
            </w:r>
          </w:p>
        </w:tc>
        <w:tc>
          <w:tcPr>
            <w:tcW w:type="dxa" w:w="1242"/>
            <w:tcMar>
              <w:top w:type="dxa" w:w="60"/>
              <w:left w:type="dxa" w:w="100"/>
              <w:bottom w:type="dxa" w:w="60"/>
              <w:right w:type="dxa" w:w="100"/>
            </w:tcMar>
          </w:tcPr>
          <w:p>
            <w:pPr>
              <w:jc w:val="left"/>
            </w:pPr>
            <w:r>
              <w:rPr>
                <w:b w:val="false"/>
                <w:bCs w:val="false"/>
                <w:sz w:val="18"/>
                <w:szCs w:val="18"/>
              </w:rPr>
              <w:t xml:space="preserve">Unconfirmed</w:t>
            </w:r>
          </w:p>
        </w:tc>
      </w:tr>
    </w:tbl>
    <w:p>
      <w:pPr>
        <w:spacing w:after="120"/>
      </w:pPr>
      <w:r>
        <w:rPr>
          <w:b/>
          <w:bCs/>
        </w:rPr>
        <w:t xml:space="preserve">Result: 5/7 matched within ±15 cm⁻¹. MAE = 7.2 cm⁻¹, RMSE = 8 cm⁻¹ (matched bands only). One-to-one check: 0 duplicate DFT assignments.</w:t>
      </w:r>
    </w:p>
    <w:p>
      <w:pPr>
        <w:pBdr>
          <w:left w:val="single" w:color="C0504D" w:sz="18" w:space="8"/>
        </w:pBdr>
        <w:spacing w:after="200" w:before="120"/>
        <w:ind w:left="200"/>
      </w:pPr>
      <w:r>
        <w:rPr>
          <w:i/>
          <w:iCs/>
        </w:rPr>
        <w:t xml:space="preserve">794.5 and 1784.2 cm⁻¹ are reported as unmatched. No DFT candidate has been substituted for either, and the five matches are not presented as proof of the intact LTA structure — they indicate qualitative consistency with LTA's known chemical building blocks only.</w:t>
      </w:r>
    </w:p>
    <w:p>
      <w:r>
        <w:br w:type="page"/>
      </w:r>
    </w:p>
    <w:p>
      <w:pPr>
        <w:pStyle w:val="Heading1"/>
        <w:spacing w:after="160" w:before="360"/>
      </w:pPr>
      <w:r>
        <w:t xml:space="preserve">5. Literature Comparison</w:t>
      </w:r>
    </w:p>
    <w:p>
      <w:pPr>
        <w:spacing w:after="120"/>
      </w:pPr>
      <w:r>
        <w:t xml:space="preserve">Literature bands are drawn from the evidence-tier table already compiled in the project's reference document (Experiment_Plan_LTA.docx).</w:t>
      </w:r>
    </w:p>
    <w:p>
      <w:pPr>
        <w:spacing w:after="120" w:before="120"/>
        <w:jc w:val="center"/>
      </w:pPr>
      <w:r>
        <w:drawing>
          <wp:inline distT="0" distB="0" distL="0" distR="0">
            <wp:extent cx="5905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019425"/>
                    </a:xfrm>
                    <a:prstGeom prst="rect">
                      <a:avLst/>
                    </a:prstGeom>
                  </pic:spPr>
                </pic:pic>
              </a:graphicData>
            </a:graphic>
          </wp:inline>
        </w:drawing>
      </w:r>
    </w:p>
    <w:p>
      <w:pPr>
        <w:spacing w:after="240"/>
        <w:jc w:val="center"/>
      </w:pPr>
      <w:r>
        <w:rPr>
          <w:i/>
          <w:iCs/>
          <w:sz w:val="18"/>
          <w:szCs w:val="18"/>
        </w:rPr>
        <w:t xml:space="preserve">Figure 4. Experimental LTA powder Raman vs. literature-reported bands; the 1080–1095 cm⁻¹ phosphodiester PO₂⁻ region is highlighted together with the experimental 1093.2 cm⁻¹ band.</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600"/>
        <w:gridCol w:w="2900"/>
        <w:gridCol w:w="1440"/>
      </w:tblGrid>
      <w:tr>
        <w:trPr>
          <w:tblHeader/>
        </w:trPr>
        <w:tc>
          <w:tcPr>
            <w:tcW w:type="dxa" w:w="2800"/>
            <w:shd w:fill="1F4E5F" w:val="clear"/>
            <w:tcMar>
              <w:top w:type="dxa" w:w="60"/>
              <w:left w:type="dxa" w:w="100"/>
              <w:bottom w:type="dxa" w:w="60"/>
              <w:right w:type="dxa" w:w="100"/>
            </w:tcMar>
          </w:tcPr>
          <w:p>
            <w:pPr>
              <w:jc w:val="left"/>
            </w:pPr>
            <w:r>
              <w:rPr>
                <w:b/>
                <w:bCs/>
                <w:color w:val="FFFFFF"/>
                <w:sz w:val="18"/>
                <w:szCs w:val="18"/>
              </w:rPr>
              <w:t xml:space="preserve">Experimental LTA peak (cm⁻¹)</w:t>
            </w:r>
          </w:p>
        </w:tc>
        <w:tc>
          <w:tcPr>
            <w:tcW w:type="dxa" w:w="1700"/>
            <w:shd w:fill="1F4E5F" w:val="clear"/>
            <w:tcMar>
              <w:top w:type="dxa" w:w="60"/>
              <w:left w:type="dxa" w:w="100"/>
              <w:bottom w:type="dxa" w:w="60"/>
              <w:right w:type="dxa" w:w="100"/>
            </w:tcMar>
          </w:tcPr>
          <w:p>
            <w:pPr>
              <w:jc w:val="left"/>
            </w:pPr>
            <w:r>
              <w:rPr>
                <w:b/>
                <w:bCs/>
                <w:color w:val="FFFFFF"/>
                <w:sz w:val="18"/>
                <w:szCs w:val="18"/>
              </w:rPr>
              <w:t xml:space="preserve">Literature region (cm⁻¹)</w:t>
            </w:r>
          </w:p>
        </w:tc>
        <w:tc>
          <w:tcPr>
            <w:tcW w:type="dxa" w:w="1600"/>
            <w:shd w:fill="1F4E5F" w:val="clear"/>
            <w:tcMar>
              <w:top w:type="dxa" w:w="60"/>
              <w:left w:type="dxa" w:w="100"/>
              <w:bottom w:type="dxa" w:w="60"/>
              <w:right w:type="dxa" w:w="100"/>
            </w:tcMar>
          </w:tcPr>
          <w:p>
            <w:pPr>
              <w:jc w:val="left"/>
            </w:pPr>
            <w:r>
              <w:rPr>
                <w:b/>
                <w:bCs/>
                <w:color w:val="FFFFFF"/>
                <w:sz w:val="18"/>
                <w:szCs w:val="18"/>
              </w:rPr>
              <w:t xml:space="preserve">Difference (cm⁻¹)</w:t>
            </w:r>
          </w:p>
        </w:tc>
        <w:tc>
          <w:tcPr>
            <w:tcW w:type="dxa" w:w="2900"/>
            <w:shd w:fill="1F4E5F" w:val="clear"/>
            <w:tcMar>
              <w:top w:type="dxa" w:w="60"/>
              <w:left w:type="dxa" w:w="100"/>
              <w:bottom w:type="dxa" w:w="60"/>
              <w:right w:type="dxa" w:w="100"/>
            </w:tcMar>
          </w:tcPr>
          <w:p>
            <w:pPr>
              <w:jc w:val="left"/>
            </w:pPr>
            <w:r>
              <w:rPr>
                <w:b/>
                <w:bCs/>
                <w:color w:val="FFFFFF"/>
                <w:sz w:val="18"/>
                <w:szCs w:val="18"/>
              </w:rPr>
              <w:t xml:space="preserve">Literature assignment</w:t>
            </w:r>
          </w:p>
        </w:tc>
        <w:tc>
          <w:tcPr>
            <w:tcW w:type="dxa" w:w="1440"/>
            <w:shd w:fill="1F4E5F" w:val="clear"/>
            <w:tcMar>
              <w:top w:type="dxa" w:w="60"/>
              <w:left w:type="dxa" w:w="100"/>
              <w:bottom w:type="dxa" w:w="60"/>
              <w:right w:type="dxa" w:w="100"/>
            </w:tcMar>
          </w:tcPr>
          <w:p>
            <w:pPr>
              <w:jc w:val="left"/>
            </w:pPr>
            <w:r>
              <w:rPr>
                <w:b/>
                <w:bCs/>
                <w:color w:val="FFFFFF"/>
                <w:sz w:val="18"/>
                <w:szCs w:val="18"/>
              </w:rPr>
              <w:t xml:space="preserve">Evidence level</w:t>
            </w:r>
          </w:p>
        </w:tc>
      </w:tr>
      <w:tr>
        <w:tc>
          <w:tcPr>
            <w:tcW w:type="dxa" w:w="2800"/>
            <w:tcMar>
              <w:top w:type="dxa" w:w="60"/>
              <w:left w:type="dxa" w:w="100"/>
              <w:bottom w:type="dxa" w:w="60"/>
              <w:right w:type="dxa" w:w="100"/>
            </w:tcMar>
          </w:tcPr>
          <w:p>
            <w:pPr>
              <w:jc w:val="left"/>
            </w:pPr>
            <w:r>
              <w:rPr>
                <w:b w:val="false"/>
                <w:bCs w:val="false"/>
                <w:sz w:val="18"/>
                <w:szCs w:val="18"/>
              </w:rPr>
              <w:t xml:space="preserve">1093.2</w:t>
            </w:r>
          </w:p>
        </w:tc>
        <w:tc>
          <w:tcPr>
            <w:tcW w:type="dxa" w:w="1700"/>
            <w:tcMar>
              <w:top w:type="dxa" w:w="60"/>
              <w:left w:type="dxa" w:w="100"/>
              <w:bottom w:type="dxa" w:w="60"/>
              <w:right w:type="dxa" w:w="100"/>
            </w:tcMar>
          </w:tcPr>
          <w:p>
            <w:pPr>
              <w:jc w:val="left"/>
            </w:pPr>
            <w:r>
              <w:rPr>
                <w:b w:val="false"/>
                <w:bCs w:val="false"/>
                <w:sz w:val="18"/>
                <w:szCs w:val="18"/>
              </w:rPr>
              <w:t xml:space="preserve">1080-1095</w:t>
            </w:r>
          </w:p>
        </w:tc>
        <w:tc>
          <w:tcPr>
            <w:tcW w:type="dxa" w:w="1600"/>
            <w:tcMar>
              <w:top w:type="dxa" w:w="60"/>
              <w:left w:type="dxa" w:w="100"/>
              <w:bottom w:type="dxa" w:w="60"/>
              <w:right w:type="dxa" w:w="100"/>
            </w:tcMar>
          </w:tcPr>
          <w:p>
            <w:pPr>
              <w:jc w:val="left"/>
            </w:pPr>
            <w:r>
              <w:rPr>
                <w:b w:val="false"/>
                <w:bCs w:val="false"/>
                <w:sz w:val="18"/>
                <w:szCs w:val="18"/>
              </w:rPr>
              <w:t xml:space="preserve">5.7</w:t>
            </w:r>
          </w:p>
        </w:tc>
        <w:tc>
          <w:tcPr>
            <w:tcW w:type="dxa" w:w="2900"/>
            <w:tcMar>
              <w:top w:type="dxa" w:w="60"/>
              <w:left w:type="dxa" w:w="100"/>
              <w:bottom w:type="dxa" w:w="60"/>
              <w:right w:type="dxa" w:w="100"/>
            </w:tcMar>
          </w:tcPr>
          <w:p>
            <w:pPr>
              <w:jc w:val="left"/>
            </w:pPr>
            <w:r>
              <w:rPr>
                <w:b w:val="false"/>
                <w:bCs w:val="false"/>
                <w:sz w:val="18"/>
                <w:szCs w:val="18"/>
              </w:rPr>
              <w:t xml:space="preserve">PO2- symmetric stretch (phosphodiester backbone)</w:t>
            </w:r>
          </w:p>
        </w:tc>
        <w:tc>
          <w:tcPr>
            <w:tcW w:type="dxa" w:w="1440"/>
            <w:tcMar>
              <w:top w:type="dxa" w:w="60"/>
              <w:left w:type="dxa" w:w="100"/>
              <w:bottom w:type="dxa" w:w="60"/>
              <w:right w:type="dxa" w:w="100"/>
            </w:tcMar>
          </w:tcPr>
          <w:p>
            <w:pPr>
              <w:jc w:val="left"/>
            </w:pPr>
            <w:r>
              <w:rPr>
                <w:b w:val="false"/>
                <w:bCs w:val="false"/>
                <w:sz w:val="18"/>
                <w:szCs w:val="18"/>
              </w:rPr>
              <w:t xml:space="preserve">LIT-CONFIRMED</w:t>
            </w:r>
          </w:p>
        </w:tc>
      </w:tr>
      <w:tr>
        <w:tc>
          <w:tcPr>
            <w:tcW w:type="dxa" w:w="2800"/>
            <w:shd w:fill="F2F2F2" w:val="clear"/>
            <w:tcMar>
              <w:top w:type="dxa" w:w="60"/>
              <w:left w:type="dxa" w:w="100"/>
              <w:bottom w:type="dxa" w:w="60"/>
              <w:right w:type="dxa" w:w="100"/>
            </w:tcMar>
          </w:tcPr>
          <w:p>
            <w:pPr>
              <w:jc w:val="left"/>
            </w:pPr>
            <w:r>
              <w:rPr>
                <w:b w:val="false"/>
                <w:bCs w:val="false"/>
                <w:sz w:val="18"/>
                <w:szCs w:val="18"/>
              </w:rPr>
              <w:t xml:space="preserve">— (no experimental peak within tolerance)</w:t>
            </w:r>
          </w:p>
        </w:tc>
        <w:tc>
          <w:tcPr>
            <w:tcW w:type="dxa" w:w="1700"/>
            <w:shd w:fill="F2F2F2" w:val="clear"/>
            <w:tcMar>
              <w:top w:type="dxa" w:w="60"/>
              <w:left w:type="dxa" w:w="100"/>
              <w:bottom w:type="dxa" w:w="60"/>
              <w:right w:type="dxa" w:w="100"/>
            </w:tcMar>
          </w:tcPr>
          <w:p>
            <w:pPr>
              <w:jc w:val="left"/>
            </w:pPr>
            <w:r>
              <w:rPr>
                <w:b w:val="false"/>
                <w:bCs w:val="false"/>
                <w:sz w:val="18"/>
                <w:szCs w:val="18"/>
              </w:rPr>
              <w:t xml:space="preserve">1225-1250</w:t>
            </w:r>
          </w:p>
        </w:tc>
        <w:tc>
          <w:tcPr>
            <w:tcW w:type="dxa" w:w="1600"/>
            <w:shd w:fill="F2F2F2" w:val="clear"/>
            <w:tcMar>
              <w:top w:type="dxa" w:w="60"/>
              <w:left w:type="dxa" w:w="100"/>
              <w:bottom w:type="dxa" w:w="60"/>
              <w:right w:type="dxa" w:w="100"/>
            </w:tcMar>
          </w:tcPr>
          <w:p>
            <w:pPr>
              <w:jc w:val="left"/>
            </w:pPr>
            <w:r>
              <w:rPr>
                <w:b w:val="false"/>
                <w:bCs w:val="false"/>
                <w:sz w:val="18"/>
                <w:szCs w:val="18"/>
              </w:rPr>
              <w:t xml:space="preserve">—</w:t>
            </w:r>
          </w:p>
        </w:tc>
        <w:tc>
          <w:tcPr>
            <w:tcW w:type="dxa" w:w="2900"/>
            <w:shd w:fill="F2F2F2" w:val="clear"/>
            <w:tcMar>
              <w:top w:type="dxa" w:w="60"/>
              <w:left w:type="dxa" w:w="100"/>
              <w:bottom w:type="dxa" w:w="60"/>
              <w:right w:type="dxa" w:w="100"/>
            </w:tcMar>
          </w:tcPr>
          <w:p>
            <w:pPr>
              <w:jc w:val="left"/>
            </w:pPr>
            <w:r>
              <w:rPr>
                <w:b w:val="false"/>
                <w:bCs w:val="false"/>
                <w:sz w:val="18"/>
                <w:szCs w:val="18"/>
              </w:rPr>
              <w:t xml:space="preserve">(as stated in source document)</w:t>
            </w:r>
          </w:p>
        </w:tc>
        <w:tc>
          <w:tcPr>
            <w:tcW w:type="dxa" w:w="1440"/>
            <w:shd w:fill="F2F2F2" w:val="clear"/>
            <w:tcMar>
              <w:top w:type="dxa" w:w="60"/>
              <w:left w:type="dxa" w:w="100"/>
              <w:bottom w:type="dxa" w:w="60"/>
              <w:right w:type="dxa" w:w="100"/>
            </w:tcMar>
          </w:tcPr>
          <w:p>
            <w:pPr>
              <w:jc w:val="left"/>
            </w:pPr>
            <w:r>
              <w:rPr>
                <w:b w:val="false"/>
                <w:bCs w:val="false"/>
                <w:sz w:val="18"/>
                <w:szCs w:val="18"/>
              </w:rPr>
              <w:t xml:space="preserve">PREDICTION</w:t>
            </w:r>
          </w:p>
        </w:tc>
      </w:tr>
      <w:tr>
        <w:tc>
          <w:tcPr>
            <w:tcW w:type="dxa" w:w="2800"/>
            <w:tcMar>
              <w:top w:type="dxa" w:w="60"/>
              <w:left w:type="dxa" w:w="100"/>
              <w:bottom w:type="dxa" w:w="60"/>
              <w:right w:type="dxa" w:w="100"/>
            </w:tcMar>
          </w:tcPr>
          <w:p>
            <w:pPr>
              <w:jc w:val="left"/>
            </w:pPr>
            <w:r>
              <w:rPr>
                <w:b w:val="false"/>
                <w:bCs w:val="false"/>
                <w:sz w:val="18"/>
                <w:szCs w:val="18"/>
              </w:rPr>
              <w:t xml:space="preserve">— (no experimental peak within tolerance)</w:t>
            </w:r>
          </w:p>
        </w:tc>
        <w:tc>
          <w:tcPr>
            <w:tcW w:type="dxa" w:w="1700"/>
            <w:tcMar>
              <w:top w:type="dxa" w:w="60"/>
              <w:left w:type="dxa" w:w="100"/>
              <w:bottom w:type="dxa" w:w="60"/>
              <w:right w:type="dxa" w:w="100"/>
            </w:tcMar>
          </w:tcPr>
          <w:p>
            <w:pPr>
              <w:jc w:val="left"/>
            </w:pPr>
            <w:r>
              <w:rPr>
                <w:b w:val="false"/>
                <w:bCs w:val="false"/>
                <w:sz w:val="18"/>
                <w:szCs w:val="18"/>
              </w:rPr>
              <w:t xml:space="preserve">1450</w:t>
            </w:r>
          </w:p>
        </w:tc>
        <w:tc>
          <w:tcPr>
            <w:tcW w:type="dxa" w:w="1600"/>
            <w:tcMar>
              <w:top w:type="dxa" w:w="60"/>
              <w:left w:type="dxa" w:w="100"/>
              <w:bottom w:type="dxa" w:w="60"/>
              <w:right w:type="dxa" w:w="100"/>
            </w:tcMar>
          </w:tcPr>
          <w:p>
            <w:pPr>
              <w:jc w:val="left"/>
            </w:pPr>
            <w:r>
              <w:rPr>
                <w:b w:val="false"/>
                <w:bCs w:val="false"/>
                <w:sz w:val="18"/>
                <w:szCs w:val="18"/>
              </w:rPr>
              <w:t xml:space="preserve">—</w:t>
            </w:r>
          </w:p>
        </w:tc>
        <w:tc>
          <w:tcPr>
            <w:tcW w:type="dxa" w:w="2900"/>
            <w:tcMar>
              <w:top w:type="dxa" w:w="60"/>
              <w:left w:type="dxa" w:w="100"/>
              <w:bottom w:type="dxa" w:w="60"/>
              <w:right w:type="dxa" w:w="100"/>
            </w:tcMar>
          </w:tcPr>
          <w:p>
            <w:pPr>
              <w:jc w:val="left"/>
            </w:pPr>
            <w:r>
              <w:rPr>
                <w:b w:val="false"/>
                <w:bCs w:val="false"/>
                <w:sz w:val="18"/>
                <w:szCs w:val="18"/>
              </w:rPr>
              <w:t xml:space="preserve">(as stated in source document)</w:t>
            </w:r>
          </w:p>
        </w:tc>
        <w:tc>
          <w:tcPr>
            <w:tcW w:type="dxa" w:w="1440"/>
            <w:tcMar>
              <w:top w:type="dxa" w:w="60"/>
              <w:left w:type="dxa" w:w="100"/>
              <w:bottom w:type="dxa" w:w="60"/>
              <w:right w:type="dxa" w:w="100"/>
            </w:tcMar>
          </w:tcPr>
          <w:p>
            <w:pPr>
              <w:jc w:val="left"/>
            </w:pPr>
            <w:r>
              <w:rPr>
                <w:b w:val="false"/>
                <w:bCs w:val="false"/>
                <w:sz w:val="18"/>
                <w:szCs w:val="18"/>
              </w:rPr>
              <w:t xml:space="preserve">LIT-MENTIONED</w:t>
            </w:r>
          </w:p>
        </w:tc>
      </w:tr>
      <w:tr>
        <w:tc>
          <w:tcPr>
            <w:tcW w:type="dxa" w:w="2800"/>
            <w:shd w:fill="F2F2F2" w:val="clear"/>
            <w:tcMar>
              <w:top w:type="dxa" w:w="60"/>
              <w:left w:type="dxa" w:w="100"/>
              <w:bottom w:type="dxa" w:w="60"/>
              <w:right w:type="dxa" w:w="100"/>
            </w:tcMar>
          </w:tcPr>
          <w:p>
            <w:pPr>
              <w:jc w:val="left"/>
            </w:pPr>
            <w:r>
              <w:rPr>
                <w:b w:val="false"/>
                <w:bCs w:val="false"/>
                <w:sz w:val="18"/>
                <w:szCs w:val="18"/>
              </w:rPr>
              <w:t xml:space="preserve">— (no experimental peak within tolerance)</w:t>
            </w:r>
          </w:p>
        </w:tc>
        <w:tc>
          <w:tcPr>
            <w:tcW w:type="dxa" w:w="1700"/>
            <w:shd w:fill="F2F2F2" w:val="clear"/>
            <w:tcMar>
              <w:top w:type="dxa" w:w="60"/>
              <w:left w:type="dxa" w:w="100"/>
              <w:bottom w:type="dxa" w:w="60"/>
              <w:right w:type="dxa" w:w="100"/>
            </w:tcMar>
          </w:tcPr>
          <w:p>
            <w:pPr>
              <w:jc w:val="left"/>
            </w:pPr>
            <w:r>
              <w:rPr>
                <w:b w:val="false"/>
                <w:bCs w:val="false"/>
                <w:sz w:val="18"/>
                <w:szCs w:val="18"/>
              </w:rPr>
              <w:t xml:space="preserve">1131</w:t>
            </w:r>
          </w:p>
        </w:tc>
        <w:tc>
          <w:tcPr>
            <w:tcW w:type="dxa" w:w="1600"/>
            <w:shd w:fill="F2F2F2" w:val="clear"/>
            <w:tcMar>
              <w:top w:type="dxa" w:w="60"/>
              <w:left w:type="dxa" w:w="100"/>
              <w:bottom w:type="dxa" w:w="60"/>
              <w:right w:type="dxa" w:w="100"/>
            </w:tcMar>
          </w:tcPr>
          <w:p>
            <w:pPr>
              <w:jc w:val="left"/>
            </w:pPr>
            <w:r>
              <w:rPr>
                <w:b w:val="false"/>
                <w:bCs w:val="false"/>
                <w:sz w:val="18"/>
                <w:szCs w:val="18"/>
              </w:rPr>
              <w:t xml:space="preserve">—</w:t>
            </w:r>
          </w:p>
        </w:tc>
        <w:tc>
          <w:tcPr>
            <w:tcW w:type="dxa" w:w="2900"/>
            <w:shd w:fill="F2F2F2" w:val="clear"/>
            <w:tcMar>
              <w:top w:type="dxa" w:w="60"/>
              <w:left w:type="dxa" w:w="100"/>
              <w:bottom w:type="dxa" w:w="60"/>
              <w:right w:type="dxa" w:w="100"/>
            </w:tcMar>
          </w:tcPr>
          <w:p>
            <w:pPr>
              <w:jc w:val="left"/>
            </w:pPr>
            <w:r>
              <w:rPr>
                <w:b w:val="false"/>
                <w:bCs w:val="false"/>
                <w:sz w:val="18"/>
                <w:szCs w:val="18"/>
              </w:rPr>
              <w:t xml:space="preserve">(as stated in source document)</w:t>
            </w:r>
          </w:p>
        </w:tc>
        <w:tc>
          <w:tcPr>
            <w:tcW w:type="dxa" w:w="1440"/>
            <w:shd w:fill="F2F2F2" w:val="clear"/>
            <w:tcMar>
              <w:top w:type="dxa" w:w="60"/>
              <w:left w:type="dxa" w:w="100"/>
              <w:bottom w:type="dxa" w:w="60"/>
              <w:right w:type="dxa" w:w="100"/>
            </w:tcMar>
          </w:tcPr>
          <w:p>
            <w:pPr>
              <w:jc w:val="left"/>
            </w:pPr>
            <w:r>
              <w:rPr>
                <w:b w:val="false"/>
                <w:bCs w:val="false"/>
                <w:sz w:val="18"/>
                <w:szCs w:val="18"/>
              </w:rPr>
              <w:t xml:space="preserve">(tier as stated)</w:t>
            </w:r>
          </w:p>
        </w:tc>
      </w:tr>
      <w:tr>
        <w:tc>
          <w:tcPr>
            <w:tcW w:type="dxa" w:w="2800"/>
            <w:tcMar>
              <w:top w:type="dxa" w:w="60"/>
              <w:left w:type="dxa" w:w="100"/>
              <w:bottom w:type="dxa" w:w="60"/>
              <w:right w:type="dxa" w:w="100"/>
            </w:tcMar>
          </w:tcPr>
          <w:p>
            <w:pPr>
              <w:jc w:val="left"/>
            </w:pPr>
            <w:r>
              <w:rPr>
                <w:b w:val="false"/>
                <w:bCs w:val="false"/>
                <w:sz w:val="18"/>
                <w:szCs w:val="18"/>
              </w:rPr>
              <w:t xml:space="preserve">— (no experimental peak within tolerance)</w:t>
            </w:r>
          </w:p>
        </w:tc>
        <w:tc>
          <w:tcPr>
            <w:tcW w:type="dxa" w:w="1700"/>
            <w:tcMar>
              <w:top w:type="dxa" w:w="60"/>
              <w:left w:type="dxa" w:w="100"/>
              <w:bottom w:type="dxa" w:w="60"/>
              <w:right w:type="dxa" w:w="100"/>
            </w:tcMar>
          </w:tcPr>
          <w:p>
            <w:pPr>
              <w:jc w:val="left"/>
            </w:pPr>
            <w:r>
              <w:rPr>
                <w:b w:val="false"/>
                <w:bCs w:val="false"/>
                <w:sz w:val="18"/>
                <w:szCs w:val="18"/>
              </w:rPr>
              <w:t xml:space="preserve">850</w:t>
            </w:r>
          </w:p>
        </w:tc>
        <w:tc>
          <w:tcPr>
            <w:tcW w:type="dxa" w:w="1600"/>
            <w:tcMar>
              <w:top w:type="dxa" w:w="60"/>
              <w:left w:type="dxa" w:w="100"/>
              <w:bottom w:type="dxa" w:w="60"/>
              <w:right w:type="dxa" w:w="100"/>
            </w:tcMar>
          </w:tcPr>
          <w:p>
            <w:pPr>
              <w:jc w:val="left"/>
            </w:pPr>
            <w:r>
              <w:rPr>
                <w:b w:val="false"/>
                <w:bCs w:val="false"/>
                <w:sz w:val="18"/>
                <w:szCs w:val="18"/>
              </w:rPr>
              <w:t xml:space="preserve">—</w:t>
            </w:r>
          </w:p>
        </w:tc>
        <w:tc>
          <w:tcPr>
            <w:tcW w:type="dxa" w:w="2900"/>
            <w:tcMar>
              <w:top w:type="dxa" w:w="60"/>
              <w:left w:type="dxa" w:w="100"/>
              <w:bottom w:type="dxa" w:w="60"/>
              <w:right w:type="dxa" w:w="100"/>
            </w:tcMar>
          </w:tcPr>
          <w:p>
            <w:pPr>
              <w:jc w:val="left"/>
            </w:pPr>
            <w:r>
              <w:rPr>
                <w:b w:val="false"/>
                <w:bCs w:val="false"/>
                <w:sz w:val="18"/>
                <w:szCs w:val="18"/>
              </w:rPr>
              <w:t xml:space="preserve">(as stated in source document)</w:t>
            </w:r>
          </w:p>
        </w:tc>
        <w:tc>
          <w:tcPr>
            <w:tcW w:type="dxa" w:w="1440"/>
            <w:tcMar>
              <w:top w:type="dxa" w:w="60"/>
              <w:left w:type="dxa" w:w="100"/>
              <w:bottom w:type="dxa" w:w="60"/>
              <w:right w:type="dxa" w:w="100"/>
            </w:tcMar>
          </w:tcPr>
          <w:p>
            <w:pPr>
              <w:jc w:val="left"/>
            </w:pPr>
            <w:r>
              <w:rPr>
                <w:b w:val="false"/>
                <w:bCs w:val="false"/>
                <w:sz w:val="18"/>
                <w:szCs w:val="18"/>
              </w:rPr>
              <w:t xml:space="preserve">(tier as stated)</w:t>
            </w:r>
          </w:p>
        </w:tc>
      </w:tr>
      <w:tr>
        <w:tc>
          <w:tcPr>
            <w:tcW w:type="dxa" w:w="2800"/>
            <w:shd w:fill="F2F2F2" w:val="clear"/>
            <w:tcMar>
              <w:top w:type="dxa" w:w="60"/>
              <w:left w:type="dxa" w:w="100"/>
              <w:bottom w:type="dxa" w:w="60"/>
              <w:right w:type="dxa" w:w="100"/>
            </w:tcMar>
          </w:tcPr>
          <w:p>
            <w:pPr>
              <w:jc w:val="left"/>
            </w:pPr>
            <w:r>
              <w:rPr>
                <w:b w:val="false"/>
                <w:bCs w:val="false"/>
                <w:sz w:val="18"/>
                <w:szCs w:val="18"/>
              </w:rPr>
              <w:t xml:space="preserve">— (no experimental peak within tolerance)</w:t>
            </w:r>
          </w:p>
        </w:tc>
        <w:tc>
          <w:tcPr>
            <w:tcW w:type="dxa" w:w="1700"/>
            <w:shd w:fill="F2F2F2" w:val="clear"/>
            <w:tcMar>
              <w:top w:type="dxa" w:w="60"/>
              <w:left w:type="dxa" w:w="100"/>
              <w:bottom w:type="dxa" w:w="60"/>
              <w:right w:type="dxa" w:w="100"/>
            </w:tcMar>
          </w:tcPr>
          <w:p>
            <w:pPr>
              <w:jc w:val="left"/>
            </w:pPr>
            <w:r>
              <w:rPr>
                <w:b w:val="false"/>
                <w:bCs w:val="false"/>
                <w:sz w:val="18"/>
                <w:szCs w:val="18"/>
              </w:rPr>
              <w:t xml:space="preserve">~1730</w:t>
            </w:r>
          </w:p>
        </w:tc>
        <w:tc>
          <w:tcPr>
            <w:tcW w:type="dxa" w:w="1600"/>
            <w:shd w:fill="F2F2F2" w:val="clear"/>
            <w:tcMar>
              <w:top w:type="dxa" w:w="60"/>
              <w:left w:type="dxa" w:w="100"/>
              <w:bottom w:type="dxa" w:w="60"/>
              <w:right w:type="dxa" w:w="100"/>
            </w:tcMar>
          </w:tcPr>
          <w:p>
            <w:pPr>
              <w:jc w:val="left"/>
            </w:pPr>
            <w:r>
              <w:rPr>
                <w:b w:val="false"/>
                <w:bCs w:val="false"/>
                <w:sz w:val="18"/>
                <w:szCs w:val="18"/>
              </w:rPr>
              <w:t xml:space="preserve">—</w:t>
            </w:r>
          </w:p>
        </w:tc>
        <w:tc>
          <w:tcPr>
            <w:tcW w:type="dxa" w:w="2900"/>
            <w:shd w:fill="F2F2F2" w:val="clear"/>
            <w:tcMar>
              <w:top w:type="dxa" w:w="60"/>
              <w:left w:type="dxa" w:w="100"/>
              <w:bottom w:type="dxa" w:w="60"/>
              <w:right w:type="dxa" w:w="100"/>
            </w:tcMar>
          </w:tcPr>
          <w:p>
            <w:pPr>
              <w:jc w:val="left"/>
            </w:pPr>
            <w:r>
              <w:rPr>
                <w:b w:val="false"/>
                <w:bCs w:val="false"/>
                <w:sz w:val="18"/>
                <w:szCs w:val="18"/>
              </w:rPr>
              <w:t xml:space="preserve">(as stated in source document)</w:t>
            </w:r>
          </w:p>
        </w:tc>
        <w:tc>
          <w:tcPr>
            <w:tcW w:type="dxa" w:w="1440"/>
            <w:shd w:fill="F2F2F2" w:val="clear"/>
            <w:tcMar>
              <w:top w:type="dxa" w:w="60"/>
              <w:left w:type="dxa" w:w="100"/>
              <w:bottom w:type="dxa" w:w="60"/>
              <w:right w:type="dxa" w:w="100"/>
            </w:tcMar>
          </w:tcPr>
          <w:p>
            <w:pPr>
              <w:jc w:val="left"/>
            </w:pPr>
            <w:r>
              <w:rPr>
                <w:b w:val="false"/>
                <w:bCs w:val="false"/>
                <w:sz w:val="18"/>
                <w:szCs w:val="18"/>
              </w:rPr>
              <w:t xml:space="preserve">PREDICTION</w:t>
            </w:r>
          </w:p>
        </w:tc>
      </w:tr>
      <w:tr>
        <w:tc>
          <w:tcPr>
            <w:tcW w:type="dxa" w:w="2800"/>
            <w:tcMar>
              <w:top w:type="dxa" w:w="60"/>
              <w:left w:type="dxa" w:w="100"/>
              <w:bottom w:type="dxa" w:w="60"/>
              <w:right w:type="dxa" w:w="100"/>
            </w:tcMar>
          </w:tcPr>
          <w:p>
            <w:pPr>
              <w:jc w:val="left"/>
            </w:pPr>
            <w:r>
              <w:rPr>
                <w:b w:val="false"/>
                <w:bCs w:val="false"/>
                <w:sz w:val="18"/>
                <w:szCs w:val="18"/>
              </w:rPr>
              <w:t xml:space="preserve">— (no experimental peak within tolerance)</w:t>
            </w:r>
          </w:p>
        </w:tc>
        <w:tc>
          <w:tcPr>
            <w:tcW w:type="dxa" w:w="1700"/>
            <w:tcMar>
              <w:top w:type="dxa" w:w="60"/>
              <w:left w:type="dxa" w:w="100"/>
              <w:bottom w:type="dxa" w:w="60"/>
              <w:right w:type="dxa" w:w="100"/>
            </w:tcMar>
          </w:tcPr>
          <w:p>
            <w:pPr>
              <w:jc w:val="left"/>
            </w:pPr>
            <w:r>
              <w:rPr>
                <w:b w:val="false"/>
                <w:bCs w:val="false"/>
                <w:sz w:val="18"/>
                <w:szCs w:val="18"/>
              </w:rPr>
              <w:t xml:space="preserve">1160, 1120</w:t>
            </w:r>
          </w:p>
        </w:tc>
        <w:tc>
          <w:tcPr>
            <w:tcW w:type="dxa" w:w="1600"/>
            <w:tcMar>
              <w:top w:type="dxa" w:w="60"/>
              <w:left w:type="dxa" w:w="100"/>
              <w:bottom w:type="dxa" w:w="60"/>
              <w:right w:type="dxa" w:w="100"/>
            </w:tcMar>
          </w:tcPr>
          <w:p>
            <w:pPr>
              <w:jc w:val="left"/>
            </w:pPr>
            <w:r>
              <w:rPr>
                <w:b w:val="false"/>
                <w:bCs w:val="false"/>
                <w:sz w:val="18"/>
                <w:szCs w:val="18"/>
              </w:rPr>
              <w:t xml:space="preserve">—</w:t>
            </w:r>
          </w:p>
        </w:tc>
        <w:tc>
          <w:tcPr>
            <w:tcW w:type="dxa" w:w="2900"/>
            <w:tcMar>
              <w:top w:type="dxa" w:w="60"/>
              <w:left w:type="dxa" w:w="100"/>
              <w:bottom w:type="dxa" w:w="60"/>
              <w:right w:type="dxa" w:w="100"/>
            </w:tcMar>
          </w:tcPr>
          <w:p>
            <w:pPr>
              <w:jc w:val="left"/>
            </w:pPr>
            <w:r>
              <w:rPr>
                <w:b w:val="false"/>
                <w:bCs w:val="false"/>
                <w:sz w:val="18"/>
                <w:szCs w:val="18"/>
              </w:rPr>
              <w:t xml:space="preserve">(as stated in source document)</w:t>
            </w:r>
          </w:p>
        </w:tc>
        <w:tc>
          <w:tcPr>
            <w:tcW w:type="dxa" w:w="1440"/>
            <w:tcMar>
              <w:top w:type="dxa" w:w="60"/>
              <w:left w:type="dxa" w:w="100"/>
              <w:bottom w:type="dxa" w:w="60"/>
              <w:right w:type="dxa" w:w="100"/>
            </w:tcMar>
          </w:tcPr>
          <w:p>
            <w:pPr>
              <w:jc w:val="left"/>
            </w:pPr>
            <w:r>
              <w:rPr>
                <w:b w:val="false"/>
                <w:bCs w:val="false"/>
                <w:sz w:val="18"/>
                <w:szCs w:val="18"/>
              </w:rPr>
              <w:t xml:space="preserve">LIT-MENTIONED</w:t>
            </w:r>
          </w:p>
        </w:tc>
      </w:tr>
    </w:tbl>
    <w:p>
      <w:pPr>
        <w:pBdr>
          <w:top w:val="single" w:color="EAF6EC" w:sz="2"/>
          <w:bottom w:val="single" w:color="EAF6EC" w:sz="2"/>
          <w:left w:val="single" w:color="1B7837" w:sz="24" w:space="8"/>
          <w:right w:val="single" w:color="EAF6EC" w:sz="2"/>
        </w:pBdr>
        <w:shd w:fill="EAF6EC" w:val="clear"/>
        <w:spacing w:after="200" w:before="120"/>
        <w:ind w:left="200"/>
      </w:pPr>
      <w:r>
        <w:t xml:space="preserve">The experimental 1093.2 cm⁻¹ band falls directly within the 1080–1095 cm⁻¹ phosphodiester PO₂⁻ region — the strongest literature convergence point identified in this project.</w:t>
      </w:r>
    </w:p>
    <w:p>
      <w:pPr>
        <w:pBdr>
          <w:left w:val="single" w:color="C0504D" w:sz="18" w:space="8"/>
        </w:pBdr>
        <w:spacing w:after="200" w:before="120"/>
        <w:ind w:left="200"/>
      </w:pPr>
      <w:r>
        <w:rPr>
          <w:i/>
          <w:iCs/>
        </w:rPr>
        <w:t xml:space="preserve">The project documentation does not establish, for each cited reference, whether the underlying spectrum was measured on purified LTA or on whole bacterial cells. This is reported as an open point, not resolved by assumption, and absolute LTA specificity should not be claimed from literature alone.</w:t>
      </w:r>
    </w:p>
    <w:p>
      <w:r>
        <w:br w:type="page"/>
      </w:r>
    </w:p>
    <w:p>
      <w:pPr>
        <w:pStyle w:val="Heading1"/>
        <w:spacing w:after="160" w:before="360"/>
      </w:pPr>
      <w:r>
        <w:t xml:space="preserve">6. SERS Analysis</w:t>
      </w:r>
    </w:p>
    <w:p>
      <w:pPr>
        <w:spacing w:after="120"/>
      </w:pPr>
      <w:r>
        <w:t xml:space="preserve">15 candidate LTA SERS spectra (14-08-26-lta-2m-etched/, Ag/black-Si MACE-etched substrate, 785 nm) and 27 matched blank-substrate spectra (raw-si-2m-etched/, same day, identical calibration/laser settings) are available.</w:t>
      </w:r>
    </w:p>
    <w:p>
      <w:pPr>
        <w:pBdr>
          <w:left w:val="single" w:color="C0504D" w:sz="18" w:space="8"/>
        </w:pBdr>
        <w:spacing w:after="200" w:before="120"/>
        <w:ind w:left="200"/>
      </w:pPr>
      <w:r>
        <w:rPr>
          <w:i/>
          <w:iCs/>
        </w:rPr>
        <w:t xml:space="preserve">A previous positive claim from this exact dataset (an apparent 1095 cm⁻¹ LTA detection) was investigated at the pixel level by the project and retracted as a single-pixel artifact. That retraction stands as the authoritative prior result for this dataset.</w:t>
      </w:r>
    </w:p>
    <w:p>
      <w:pPr>
        <w:spacing w:after="120" w:before="120"/>
        <w:jc w:val="center"/>
      </w:pPr>
      <w:r>
        <w:drawing>
          <wp:inline distT="0" distB="0" distL="0" distR="0">
            <wp:extent cx="59055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267075"/>
                    </a:xfrm>
                    <a:prstGeom prst="rect">
                      <a:avLst/>
                    </a:prstGeom>
                  </pic:spPr>
                </pic:pic>
              </a:graphicData>
            </a:graphic>
          </wp:inline>
        </w:drawing>
      </w:r>
    </w:p>
    <w:p>
      <w:pPr>
        <w:spacing w:after="240"/>
        <w:jc w:val="center"/>
      </w:pPr>
      <w:r>
        <w:rPr>
          <w:i/>
          <w:iCs/>
          <w:sz w:val="18"/>
          <w:szCs w:val="18"/>
        </w:rPr>
        <w:t xml:space="preserve">Figure 5. Averaged LTA-candidate SERS spectrum vs. averaged matched blank spectrum. Peaks overlapping the blank (n=6) and peaks not in the blank (n=9, unvalidated) are marked separately.</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800"/>
        <w:gridCol w:w="3440"/>
      </w:tblGrid>
      <w:tr>
        <w:trPr>
          <w:tblHeader/>
        </w:trPr>
        <w:tc>
          <w:tcPr>
            <w:tcW w:type="dxa" w:w="2600"/>
            <w:shd w:fill="1F4E5F" w:val="clear"/>
            <w:tcMar>
              <w:top w:type="dxa" w:w="60"/>
              <w:left w:type="dxa" w:w="100"/>
              <w:bottom w:type="dxa" w:w="60"/>
              <w:right w:type="dxa" w:w="100"/>
            </w:tcMar>
          </w:tcPr>
          <w:p>
            <w:pPr>
              <w:jc w:val="left"/>
            </w:pPr>
            <w:r>
              <w:rPr>
                <w:b/>
                <w:bCs/>
                <w:color w:val="FFFFFF"/>
                <w:sz w:val="18"/>
                <w:szCs w:val="18"/>
              </w:rPr>
              <w:t xml:space="preserve">Candidate peak (cm⁻¹)</w:t>
            </w:r>
          </w:p>
        </w:tc>
        <w:tc>
          <w:tcPr>
            <w:tcW w:type="dxa" w:w="2600"/>
            <w:shd w:fill="1F4E5F" w:val="clear"/>
            <w:tcMar>
              <w:top w:type="dxa" w:w="60"/>
              <w:left w:type="dxa" w:w="100"/>
              <w:bottom w:type="dxa" w:w="60"/>
              <w:right w:type="dxa" w:w="100"/>
            </w:tcMar>
          </w:tcPr>
          <w:p>
            <w:pPr>
              <w:jc w:val="left"/>
            </w:pPr>
            <w:r>
              <w:rPr>
                <w:b/>
                <w:bCs/>
                <w:color w:val="FFFFFF"/>
                <w:sz w:val="18"/>
                <w:szCs w:val="18"/>
              </w:rPr>
              <w:t xml:space="preserve">Nearest blank peak (cm⁻¹)</w:t>
            </w:r>
          </w:p>
        </w:tc>
        <w:tc>
          <w:tcPr>
            <w:tcW w:type="dxa" w:w="1800"/>
            <w:shd w:fill="1F4E5F" w:val="clear"/>
            <w:tcMar>
              <w:top w:type="dxa" w:w="60"/>
              <w:left w:type="dxa" w:w="100"/>
              <w:bottom w:type="dxa" w:w="60"/>
              <w:right w:type="dxa" w:w="100"/>
            </w:tcMar>
          </w:tcPr>
          <w:p>
            <w:pPr>
              <w:jc w:val="left"/>
            </w:pPr>
            <w:r>
              <w:rPr>
                <w:b/>
                <w:bCs/>
                <w:color w:val="FFFFFF"/>
                <w:sz w:val="18"/>
                <w:szCs w:val="18"/>
              </w:rPr>
              <w:t xml:space="preserve">Δ (cm⁻¹)</w:t>
            </w:r>
          </w:p>
        </w:tc>
        <w:tc>
          <w:tcPr>
            <w:tcW w:type="dxa" w:w="3440"/>
            <w:shd w:fill="1F4E5F" w:val="clear"/>
            <w:tcMar>
              <w:top w:type="dxa" w:w="60"/>
              <w:left w:type="dxa" w:w="100"/>
              <w:bottom w:type="dxa" w:w="60"/>
              <w:right w:type="dxa" w:w="100"/>
            </w:tcMar>
          </w:tcPr>
          <w:p>
            <w:pPr>
              <w:jc w:val="left"/>
            </w:pPr>
            <w:r>
              <w:rPr>
                <w:b/>
                <w:bCs/>
                <w:color w:val="FFFFFF"/>
                <w:sz w:val="18"/>
                <w:szCs w:val="18"/>
              </w:rPr>
              <w:t xml:space="preserve">Classification</w:t>
            </w:r>
          </w:p>
        </w:tc>
      </w:tr>
      <w:tr>
        <w:tc>
          <w:tcPr>
            <w:tcW w:type="dxa" w:w="2600"/>
            <w:tcMar>
              <w:top w:type="dxa" w:w="60"/>
              <w:left w:type="dxa" w:w="100"/>
              <w:bottom w:type="dxa" w:w="60"/>
              <w:right w:type="dxa" w:w="100"/>
            </w:tcMar>
          </w:tcPr>
          <w:p>
            <w:pPr>
              <w:jc w:val="left"/>
            </w:pPr>
            <w:r>
              <w:rPr>
                <w:b w:val="false"/>
                <w:bCs w:val="false"/>
                <w:sz w:val="18"/>
                <w:szCs w:val="18"/>
              </w:rPr>
              <w:t xml:space="preserve">227.6</w:t>
            </w:r>
          </w:p>
        </w:tc>
        <w:tc>
          <w:tcPr>
            <w:tcW w:type="dxa" w:w="2600"/>
            <w:tcMar>
              <w:top w:type="dxa" w:w="60"/>
              <w:left w:type="dxa" w:w="100"/>
              <w:bottom w:type="dxa" w:w="60"/>
              <w:right w:type="dxa" w:w="100"/>
            </w:tcMar>
          </w:tcPr>
          <w:p>
            <w:pPr>
              <w:jc w:val="left"/>
            </w:pPr>
            <w:r>
              <w:rPr>
                <w:b w:val="false"/>
                <w:bCs w:val="false"/>
                <w:sz w:val="18"/>
                <w:szCs w:val="18"/>
              </w:rPr>
              <w:t xml:space="preserve">227.6</w:t>
            </w:r>
          </w:p>
        </w:tc>
        <w:tc>
          <w:tcPr>
            <w:tcW w:type="dxa" w:w="1800"/>
            <w:tcMar>
              <w:top w:type="dxa" w:w="60"/>
              <w:left w:type="dxa" w:w="100"/>
              <w:bottom w:type="dxa" w:w="60"/>
              <w:right w:type="dxa" w:w="100"/>
            </w:tcMar>
          </w:tcPr>
          <w:p>
            <w:pPr>
              <w:jc w:val="left"/>
            </w:pPr>
            <w:r>
              <w:rPr>
                <w:b w:val="false"/>
                <w:bCs w:val="false"/>
                <w:sz w:val="18"/>
                <w:szCs w:val="18"/>
              </w:rPr>
              <w:t xml:space="preserve">0</w:t>
            </w:r>
          </w:p>
        </w:tc>
        <w:tc>
          <w:tcPr>
            <w:tcW w:type="dxa" w:w="3440"/>
            <w:tcMar>
              <w:top w:type="dxa" w:w="60"/>
              <w:left w:type="dxa" w:w="100"/>
              <w:bottom w:type="dxa" w:w="60"/>
              <w:right w:type="dxa" w:w="100"/>
            </w:tcMar>
          </w:tcPr>
          <w:p>
            <w:pPr>
              <w:jc w:val="left"/>
            </w:pPr>
            <w:r>
              <w:rPr>
                <w:b w:val="false"/>
                <w:bCs w:val="false"/>
                <w:sz w:val="18"/>
                <w:szCs w:val="18"/>
              </w:rPr>
              <w:t xml:space="preserve">Overlaps blank</w:t>
            </w:r>
          </w:p>
        </w:tc>
      </w:tr>
      <w:tr>
        <w:tc>
          <w:tcPr>
            <w:tcW w:type="dxa" w:w="2600"/>
            <w:shd w:fill="F2F2F2" w:val="clear"/>
            <w:tcMar>
              <w:top w:type="dxa" w:w="60"/>
              <w:left w:type="dxa" w:w="100"/>
              <w:bottom w:type="dxa" w:w="60"/>
              <w:right w:type="dxa" w:w="100"/>
            </w:tcMar>
          </w:tcPr>
          <w:p>
            <w:pPr>
              <w:jc w:val="left"/>
            </w:pPr>
            <w:r>
              <w:rPr>
                <w:b w:val="false"/>
                <w:bCs w:val="false"/>
                <w:sz w:val="18"/>
                <w:szCs w:val="18"/>
              </w:rPr>
              <w:t xml:space="preserve">396</w:t>
            </w:r>
          </w:p>
        </w:tc>
        <w:tc>
          <w:tcPr>
            <w:tcW w:type="dxa" w:w="2600"/>
            <w:shd w:fill="F2F2F2" w:val="clear"/>
            <w:tcMar>
              <w:top w:type="dxa" w:w="60"/>
              <w:left w:type="dxa" w:w="100"/>
              <w:bottom w:type="dxa" w:w="60"/>
              <w:right w:type="dxa" w:w="100"/>
            </w:tcMar>
          </w:tcPr>
          <w:p>
            <w:pPr>
              <w:jc w:val="left"/>
            </w:pPr>
            <w:r>
              <w:rPr>
                <w:b w:val="false"/>
                <w:bCs w:val="false"/>
                <w:sz w:val="18"/>
                <w:szCs w:val="18"/>
              </w:rPr>
              <w:t xml:space="preserve">517.8</w:t>
            </w:r>
          </w:p>
        </w:tc>
        <w:tc>
          <w:tcPr>
            <w:tcW w:type="dxa" w:w="1800"/>
            <w:shd w:fill="F2F2F2" w:val="clear"/>
            <w:tcMar>
              <w:top w:type="dxa" w:w="60"/>
              <w:left w:type="dxa" w:w="100"/>
              <w:bottom w:type="dxa" w:w="60"/>
              <w:right w:type="dxa" w:w="100"/>
            </w:tcMar>
          </w:tcPr>
          <w:p>
            <w:pPr>
              <w:jc w:val="left"/>
            </w:pPr>
            <w:r>
              <w:rPr>
                <w:b w:val="false"/>
                <w:bCs w:val="false"/>
                <w:sz w:val="18"/>
                <w:szCs w:val="18"/>
              </w:rPr>
              <w:t xml:space="preserve">121.7</w:t>
            </w:r>
          </w:p>
        </w:tc>
        <w:tc>
          <w:tcPr>
            <w:tcW w:type="dxa" w:w="3440"/>
            <w:shd w:fill="F2F2F2" w:val="clear"/>
            <w:tcMar>
              <w:top w:type="dxa" w:w="60"/>
              <w:left w:type="dxa" w:w="100"/>
              <w:bottom w:type="dxa" w:w="60"/>
              <w:right w:type="dxa" w:w="100"/>
            </w:tcMar>
          </w:tcPr>
          <w:p>
            <w:pPr>
              <w:jc w:val="left"/>
            </w:pPr>
            <w:r>
              <w:rPr>
                <w:b w:val="false"/>
                <w:bCs w:val="false"/>
                <w:sz w:val="18"/>
                <w:szCs w:val="18"/>
              </w:rPr>
              <w:t xml:space="preserve">Not in blank (unvalidated)</w:t>
            </w:r>
          </w:p>
        </w:tc>
      </w:tr>
      <w:tr>
        <w:tc>
          <w:tcPr>
            <w:tcW w:type="dxa" w:w="2600"/>
            <w:tcMar>
              <w:top w:type="dxa" w:w="60"/>
              <w:left w:type="dxa" w:w="100"/>
              <w:bottom w:type="dxa" w:w="60"/>
              <w:right w:type="dxa" w:w="100"/>
            </w:tcMar>
          </w:tcPr>
          <w:p>
            <w:pPr>
              <w:jc w:val="left"/>
            </w:pPr>
            <w:r>
              <w:rPr>
                <w:b w:val="false"/>
                <w:bCs w:val="false"/>
                <w:sz w:val="18"/>
                <w:szCs w:val="18"/>
              </w:rPr>
              <w:t xml:space="preserve">517.8</w:t>
            </w:r>
          </w:p>
        </w:tc>
        <w:tc>
          <w:tcPr>
            <w:tcW w:type="dxa" w:w="2600"/>
            <w:tcMar>
              <w:top w:type="dxa" w:w="60"/>
              <w:left w:type="dxa" w:w="100"/>
              <w:bottom w:type="dxa" w:w="60"/>
              <w:right w:type="dxa" w:w="100"/>
            </w:tcMar>
          </w:tcPr>
          <w:p>
            <w:pPr>
              <w:jc w:val="left"/>
            </w:pPr>
            <w:r>
              <w:rPr>
                <w:b w:val="false"/>
                <w:bCs w:val="false"/>
                <w:sz w:val="18"/>
                <w:szCs w:val="18"/>
              </w:rPr>
              <w:t xml:space="preserve">517.8</w:t>
            </w:r>
          </w:p>
        </w:tc>
        <w:tc>
          <w:tcPr>
            <w:tcW w:type="dxa" w:w="1800"/>
            <w:tcMar>
              <w:top w:type="dxa" w:w="60"/>
              <w:left w:type="dxa" w:w="100"/>
              <w:bottom w:type="dxa" w:w="60"/>
              <w:right w:type="dxa" w:w="100"/>
            </w:tcMar>
          </w:tcPr>
          <w:p>
            <w:pPr>
              <w:jc w:val="left"/>
            </w:pPr>
            <w:r>
              <w:rPr>
                <w:b w:val="false"/>
                <w:bCs w:val="false"/>
                <w:sz w:val="18"/>
                <w:szCs w:val="18"/>
              </w:rPr>
              <w:t xml:space="preserve">0</w:t>
            </w:r>
          </w:p>
        </w:tc>
        <w:tc>
          <w:tcPr>
            <w:tcW w:type="dxa" w:w="3440"/>
            <w:tcMar>
              <w:top w:type="dxa" w:w="60"/>
              <w:left w:type="dxa" w:w="100"/>
              <w:bottom w:type="dxa" w:w="60"/>
              <w:right w:type="dxa" w:w="100"/>
            </w:tcMar>
          </w:tcPr>
          <w:p>
            <w:pPr>
              <w:jc w:val="left"/>
            </w:pPr>
            <w:r>
              <w:rPr>
                <w:b w:val="false"/>
                <w:bCs w:val="false"/>
                <w:sz w:val="18"/>
                <w:szCs w:val="18"/>
              </w:rPr>
              <w:t xml:space="preserve">Overlaps blank</w:t>
            </w:r>
          </w:p>
        </w:tc>
      </w:tr>
      <w:tr>
        <w:tc>
          <w:tcPr>
            <w:tcW w:type="dxa" w:w="2600"/>
            <w:shd w:fill="F2F2F2" w:val="clear"/>
            <w:tcMar>
              <w:top w:type="dxa" w:w="60"/>
              <w:left w:type="dxa" w:w="100"/>
              <w:bottom w:type="dxa" w:w="60"/>
              <w:right w:type="dxa" w:w="100"/>
            </w:tcMar>
          </w:tcPr>
          <w:p>
            <w:pPr>
              <w:jc w:val="left"/>
            </w:pPr>
            <w:r>
              <w:rPr>
                <w:b w:val="false"/>
                <w:bCs w:val="false"/>
                <w:sz w:val="18"/>
                <w:szCs w:val="18"/>
              </w:rPr>
              <w:t xml:space="preserve">551.7</w:t>
            </w:r>
          </w:p>
        </w:tc>
        <w:tc>
          <w:tcPr>
            <w:tcW w:type="dxa" w:w="2600"/>
            <w:shd w:fill="F2F2F2" w:val="clear"/>
            <w:tcMar>
              <w:top w:type="dxa" w:w="60"/>
              <w:left w:type="dxa" w:w="100"/>
              <w:bottom w:type="dxa" w:w="60"/>
              <w:right w:type="dxa" w:w="100"/>
            </w:tcMar>
          </w:tcPr>
          <w:p>
            <w:pPr>
              <w:jc w:val="left"/>
            </w:pPr>
            <w:r>
              <w:rPr>
                <w:b w:val="false"/>
                <w:bCs w:val="false"/>
                <w:sz w:val="18"/>
                <w:szCs w:val="18"/>
              </w:rPr>
              <w:t xml:space="preserve">553.5</w:t>
            </w:r>
          </w:p>
        </w:tc>
        <w:tc>
          <w:tcPr>
            <w:tcW w:type="dxa" w:w="1800"/>
            <w:shd w:fill="F2F2F2" w:val="clear"/>
            <w:tcMar>
              <w:top w:type="dxa" w:w="60"/>
              <w:left w:type="dxa" w:w="100"/>
              <w:bottom w:type="dxa" w:w="60"/>
              <w:right w:type="dxa" w:w="100"/>
            </w:tcMar>
          </w:tcPr>
          <w:p>
            <w:pPr>
              <w:jc w:val="left"/>
            </w:pPr>
            <w:r>
              <w:rPr>
                <w:b w:val="false"/>
                <w:bCs w:val="false"/>
                <w:sz w:val="18"/>
                <w:szCs w:val="18"/>
              </w:rPr>
              <w:t xml:space="preserve">1.8</w:t>
            </w:r>
          </w:p>
        </w:tc>
        <w:tc>
          <w:tcPr>
            <w:tcW w:type="dxa" w:w="3440"/>
            <w:shd w:fill="F2F2F2" w:val="clear"/>
            <w:tcMar>
              <w:top w:type="dxa" w:w="60"/>
              <w:left w:type="dxa" w:w="100"/>
              <w:bottom w:type="dxa" w:w="60"/>
              <w:right w:type="dxa" w:w="100"/>
            </w:tcMar>
          </w:tcPr>
          <w:p>
            <w:pPr>
              <w:jc w:val="left"/>
            </w:pPr>
            <w:r>
              <w:rPr>
                <w:b w:val="false"/>
                <w:bCs w:val="false"/>
                <w:sz w:val="18"/>
                <w:szCs w:val="18"/>
              </w:rPr>
              <w:t xml:space="preserve">Overlaps blank</w:t>
            </w:r>
          </w:p>
        </w:tc>
      </w:tr>
      <w:tr>
        <w:tc>
          <w:tcPr>
            <w:tcW w:type="dxa" w:w="2600"/>
            <w:tcMar>
              <w:top w:type="dxa" w:w="60"/>
              <w:left w:type="dxa" w:w="100"/>
              <w:bottom w:type="dxa" w:w="60"/>
              <w:right w:type="dxa" w:w="100"/>
            </w:tcMar>
          </w:tcPr>
          <w:p>
            <w:pPr>
              <w:jc w:val="left"/>
            </w:pPr>
            <w:r>
              <w:rPr>
                <w:b w:val="false"/>
                <w:bCs w:val="false"/>
                <w:sz w:val="18"/>
                <w:szCs w:val="18"/>
              </w:rPr>
              <w:t xml:space="preserve">650.5</w:t>
            </w:r>
          </w:p>
        </w:tc>
        <w:tc>
          <w:tcPr>
            <w:tcW w:type="dxa" w:w="2600"/>
            <w:tcMar>
              <w:top w:type="dxa" w:w="60"/>
              <w:left w:type="dxa" w:w="100"/>
              <w:bottom w:type="dxa" w:w="60"/>
              <w:right w:type="dxa" w:w="100"/>
            </w:tcMar>
          </w:tcPr>
          <w:p>
            <w:pPr>
              <w:jc w:val="left"/>
            </w:pPr>
            <w:r>
              <w:rPr>
                <w:b w:val="false"/>
                <w:bCs w:val="false"/>
                <w:sz w:val="18"/>
                <w:szCs w:val="18"/>
              </w:rPr>
              <w:t xml:space="preserve">615.4</w:t>
            </w:r>
          </w:p>
        </w:tc>
        <w:tc>
          <w:tcPr>
            <w:tcW w:type="dxa" w:w="1800"/>
            <w:tcMar>
              <w:top w:type="dxa" w:w="60"/>
              <w:left w:type="dxa" w:w="100"/>
              <w:bottom w:type="dxa" w:w="60"/>
              <w:right w:type="dxa" w:w="100"/>
            </w:tcMar>
          </w:tcPr>
          <w:p>
            <w:pPr>
              <w:jc w:val="left"/>
            </w:pPr>
            <w:r>
              <w:rPr>
                <w:b w:val="false"/>
                <w:bCs w:val="false"/>
                <w:sz w:val="18"/>
                <w:szCs w:val="18"/>
              </w:rPr>
              <w:t xml:space="preserve">35</w:t>
            </w:r>
          </w:p>
        </w:tc>
        <w:tc>
          <w:tcPr>
            <w:tcW w:type="dxa" w:w="3440"/>
            <w:tcMar>
              <w:top w:type="dxa" w:w="60"/>
              <w:left w:type="dxa" w:w="100"/>
              <w:bottom w:type="dxa" w:w="60"/>
              <w:right w:type="dxa" w:w="100"/>
            </w:tcMar>
          </w:tcPr>
          <w:p>
            <w:pPr>
              <w:jc w:val="left"/>
            </w:pPr>
            <w:r>
              <w:rPr>
                <w:b w:val="false"/>
                <w:bCs w:val="false"/>
                <w:sz w:val="18"/>
                <w:szCs w:val="18"/>
              </w:rPr>
              <w:t xml:space="preserve">Not in blank (unvalidated)</w:t>
            </w:r>
          </w:p>
        </w:tc>
      </w:tr>
      <w:tr>
        <w:tc>
          <w:tcPr>
            <w:tcW w:type="dxa" w:w="2600"/>
            <w:shd w:fill="F2F2F2" w:val="clear"/>
            <w:tcMar>
              <w:top w:type="dxa" w:w="60"/>
              <w:left w:type="dxa" w:w="100"/>
              <w:bottom w:type="dxa" w:w="60"/>
              <w:right w:type="dxa" w:w="100"/>
            </w:tcMar>
          </w:tcPr>
          <w:p>
            <w:pPr>
              <w:jc w:val="left"/>
            </w:pPr>
            <w:r>
              <w:rPr>
                <w:b w:val="false"/>
                <w:bCs w:val="false"/>
                <w:sz w:val="18"/>
                <w:szCs w:val="18"/>
              </w:rPr>
              <w:t xml:space="preserve">714.6</w:t>
            </w:r>
          </w:p>
        </w:tc>
        <w:tc>
          <w:tcPr>
            <w:tcW w:type="dxa" w:w="2600"/>
            <w:shd w:fill="F2F2F2" w:val="clear"/>
            <w:tcMar>
              <w:top w:type="dxa" w:w="60"/>
              <w:left w:type="dxa" w:w="100"/>
              <w:bottom w:type="dxa" w:w="60"/>
              <w:right w:type="dxa" w:w="100"/>
            </w:tcMar>
          </w:tcPr>
          <w:p>
            <w:pPr>
              <w:jc w:val="left"/>
            </w:pPr>
            <w:r>
              <w:rPr>
                <w:b w:val="false"/>
                <w:bCs w:val="false"/>
                <w:sz w:val="18"/>
                <w:szCs w:val="18"/>
              </w:rPr>
              <w:t xml:space="preserve">788</w:t>
            </w:r>
          </w:p>
        </w:tc>
        <w:tc>
          <w:tcPr>
            <w:tcW w:type="dxa" w:w="1800"/>
            <w:shd w:fill="F2F2F2" w:val="clear"/>
            <w:tcMar>
              <w:top w:type="dxa" w:w="60"/>
              <w:left w:type="dxa" w:w="100"/>
              <w:bottom w:type="dxa" w:w="60"/>
              <w:right w:type="dxa" w:w="100"/>
            </w:tcMar>
          </w:tcPr>
          <w:p>
            <w:pPr>
              <w:jc w:val="left"/>
            </w:pPr>
            <w:r>
              <w:rPr>
                <w:b w:val="false"/>
                <w:bCs w:val="false"/>
                <w:sz w:val="18"/>
                <w:szCs w:val="18"/>
              </w:rPr>
              <w:t xml:space="preserve">73.4</w:t>
            </w:r>
          </w:p>
        </w:tc>
        <w:tc>
          <w:tcPr>
            <w:tcW w:type="dxa" w:w="3440"/>
            <w:shd w:fill="F2F2F2" w:val="clear"/>
            <w:tcMar>
              <w:top w:type="dxa" w:w="60"/>
              <w:left w:type="dxa" w:w="100"/>
              <w:bottom w:type="dxa" w:w="60"/>
              <w:right w:type="dxa" w:w="100"/>
            </w:tcMar>
          </w:tcPr>
          <w:p>
            <w:pPr>
              <w:jc w:val="left"/>
            </w:pPr>
            <w:r>
              <w:rPr>
                <w:b w:val="false"/>
                <w:bCs w:val="false"/>
                <w:sz w:val="18"/>
                <w:szCs w:val="18"/>
              </w:rPr>
              <w:t xml:space="preserve">Not in blank (unvalidated)</w:t>
            </w:r>
          </w:p>
        </w:tc>
      </w:tr>
      <w:tr>
        <w:tc>
          <w:tcPr>
            <w:tcW w:type="dxa" w:w="2600"/>
            <w:tcMar>
              <w:top w:type="dxa" w:w="60"/>
              <w:left w:type="dxa" w:w="100"/>
              <w:bottom w:type="dxa" w:w="60"/>
              <w:right w:type="dxa" w:w="100"/>
            </w:tcMar>
          </w:tcPr>
          <w:p>
            <w:pPr>
              <w:jc w:val="left"/>
            </w:pPr>
            <w:r>
              <w:rPr>
                <w:b w:val="false"/>
                <w:bCs w:val="false"/>
                <w:sz w:val="18"/>
                <w:szCs w:val="18"/>
              </w:rPr>
              <w:t xml:space="preserve">781.2</w:t>
            </w:r>
          </w:p>
        </w:tc>
        <w:tc>
          <w:tcPr>
            <w:tcW w:type="dxa" w:w="2600"/>
            <w:tcMar>
              <w:top w:type="dxa" w:w="60"/>
              <w:left w:type="dxa" w:w="100"/>
              <w:bottom w:type="dxa" w:w="60"/>
              <w:right w:type="dxa" w:w="100"/>
            </w:tcMar>
          </w:tcPr>
          <w:p>
            <w:pPr>
              <w:jc w:val="left"/>
            </w:pPr>
            <w:r>
              <w:rPr>
                <w:b w:val="false"/>
                <w:bCs w:val="false"/>
                <w:sz w:val="18"/>
                <w:szCs w:val="18"/>
              </w:rPr>
              <w:t xml:space="preserve">788</w:t>
            </w:r>
          </w:p>
        </w:tc>
        <w:tc>
          <w:tcPr>
            <w:tcW w:type="dxa" w:w="1800"/>
            <w:tcMar>
              <w:top w:type="dxa" w:w="60"/>
              <w:left w:type="dxa" w:w="100"/>
              <w:bottom w:type="dxa" w:w="60"/>
              <w:right w:type="dxa" w:w="100"/>
            </w:tcMar>
          </w:tcPr>
          <w:p>
            <w:pPr>
              <w:jc w:val="left"/>
            </w:pPr>
            <w:r>
              <w:rPr>
                <w:b w:val="false"/>
                <w:bCs w:val="false"/>
                <w:sz w:val="18"/>
                <w:szCs w:val="18"/>
              </w:rPr>
              <w:t xml:space="preserve">6.8</w:t>
            </w:r>
          </w:p>
        </w:tc>
        <w:tc>
          <w:tcPr>
            <w:tcW w:type="dxa" w:w="3440"/>
            <w:tcMar>
              <w:top w:type="dxa" w:w="60"/>
              <w:left w:type="dxa" w:w="100"/>
              <w:bottom w:type="dxa" w:w="60"/>
              <w:right w:type="dxa" w:w="100"/>
            </w:tcMar>
          </w:tcPr>
          <w:p>
            <w:pPr>
              <w:jc w:val="left"/>
            </w:pPr>
            <w:r>
              <w:rPr>
                <w:b w:val="false"/>
                <w:bCs w:val="false"/>
                <w:sz w:val="18"/>
                <w:szCs w:val="18"/>
              </w:rPr>
              <w:t xml:space="preserve">Overlaps blank</w:t>
            </w:r>
          </w:p>
        </w:tc>
      </w:tr>
      <w:tr>
        <w:tc>
          <w:tcPr>
            <w:tcW w:type="dxa" w:w="2600"/>
            <w:shd w:fill="F2F2F2" w:val="clear"/>
            <w:tcMar>
              <w:top w:type="dxa" w:w="60"/>
              <w:left w:type="dxa" w:w="100"/>
              <w:bottom w:type="dxa" w:w="60"/>
              <w:right w:type="dxa" w:w="100"/>
            </w:tcMar>
          </w:tcPr>
          <w:p>
            <w:pPr>
              <w:jc w:val="left"/>
            </w:pPr>
            <w:r>
              <w:rPr>
                <w:b w:val="false"/>
                <w:bCs w:val="false"/>
                <w:sz w:val="18"/>
                <w:szCs w:val="18"/>
              </w:rPr>
              <w:t xml:space="preserve">853.6</w:t>
            </w:r>
          </w:p>
        </w:tc>
        <w:tc>
          <w:tcPr>
            <w:tcW w:type="dxa" w:w="2600"/>
            <w:shd w:fill="F2F2F2" w:val="clear"/>
            <w:tcMar>
              <w:top w:type="dxa" w:w="60"/>
              <w:left w:type="dxa" w:w="100"/>
              <w:bottom w:type="dxa" w:w="60"/>
              <w:right w:type="dxa" w:w="100"/>
            </w:tcMar>
          </w:tcPr>
          <w:p>
            <w:pPr>
              <w:jc w:val="left"/>
            </w:pPr>
            <w:r>
              <w:rPr>
                <w:b w:val="false"/>
                <w:bCs w:val="false"/>
                <w:sz w:val="18"/>
                <w:szCs w:val="18"/>
              </w:rPr>
              <w:t xml:space="preserve">788</w:t>
            </w:r>
          </w:p>
        </w:tc>
        <w:tc>
          <w:tcPr>
            <w:tcW w:type="dxa" w:w="1800"/>
            <w:shd w:fill="F2F2F2" w:val="clear"/>
            <w:tcMar>
              <w:top w:type="dxa" w:w="60"/>
              <w:left w:type="dxa" w:w="100"/>
              <w:bottom w:type="dxa" w:w="60"/>
              <w:right w:type="dxa" w:w="100"/>
            </w:tcMar>
          </w:tcPr>
          <w:p>
            <w:pPr>
              <w:jc w:val="left"/>
            </w:pPr>
            <w:r>
              <w:rPr>
                <w:b w:val="false"/>
                <w:bCs w:val="false"/>
                <w:sz w:val="18"/>
                <w:szCs w:val="18"/>
              </w:rPr>
              <w:t xml:space="preserve">65.6</w:t>
            </w:r>
          </w:p>
        </w:tc>
        <w:tc>
          <w:tcPr>
            <w:tcW w:type="dxa" w:w="3440"/>
            <w:shd w:fill="F2F2F2" w:val="clear"/>
            <w:tcMar>
              <w:top w:type="dxa" w:w="60"/>
              <w:left w:type="dxa" w:w="100"/>
              <w:bottom w:type="dxa" w:w="60"/>
              <w:right w:type="dxa" w:w="100"/>
            </w:tcMar>
          </w:tcPr>
          <w:p>
            <w:pPr>
              <w:jc w:val="left"/>
            </w:pPr>
            <w:r>
              <w:rPr>
                <w:b w:val="false"/>
                <w:bCs w:val="false"/>
                <w:sz w:val="18"/>
                <w:szCs w:val="18"/>
              </w:rPr>
              <w:t xml:space="preserve">Not in blank (unvalidated)</w:t>
            </w:r>
          </w:p>
        </w:tc>
      </w:tr>
      <w:tr>
        <w:tc>
          <w:tcPr>
            <w:tcW w:type="dxa" w:w="2600"/>
            <w:tcMar>
              <w:top w:type="dxa" w:w="60"/>
              <w:left w:type="dxa" w:w="100"/>
              <w:bottom w:type="dxa" w:w="60"/>
              <w:right w:type="dxa" w:w="100"/>
            </w:tcMar>
          </w:tcPr>
          <w:p>
            <w:pPr>
              <w:jc w:val="left"/>
            </w:pPr>
            <w:r>
              <w:rPr>
                <w:b w:val="false"/>
                <w:bCs w:val="false"/>
                <w:sz w:val="18"/>
                <w:szCs w:val="18"/>
              </w:rPr>
              <w:t xml:space="preserve">962.5</w:t>
            </w:r>
          </w:p>
        </w:tc>
        <w:tc>
          <w:tcPr>
            <w:tcW w:type="dxa" w:w="2600"/>
            <w:tcMar>
              <w:top w:type="dxa" w:w="60"/>
              <w:left w:type="dxa" w:w="100"/>
              <w:bottom w:type="dxa" w:w="60"/>
              <w:right w:type="dxa" w:w="100"/>
            </w:tcMar>
          </w:tcPr>
          <w:p>
            <w:pPr>
              <w:jc w:val="left"/>
            </w:pPr>
            <w:r>
              <w:rPr>
                <w:b w:val="false"/>
                <w:bCs w:val="false"/>
                <w:sz w:val="18"/>
                <w:szCs w:val="18"/>
              </w:rPr>
              <w:t xml:space="preserve">962.5</w:t>
            </w:r>
          </w:p>
        </w:tc>
        <w:tc>
          <w:tcPr>
            <w:tcW w:type="dxa" w:w="1800"/>
            <w:tcMar>
              <w:top w:type="dxa" w:w="60"/>
              <w:left w:type="dxa" w:w="100"/>
              <w:bottom w:type="dxa" w:w="60"/>
              <w:right w:type="dxa" w:w="100"/>
            </w:tcMar>
          </w:tcPr>
          <w:p>
            <w:pPr>
              <w:jc w:val="left"/>
            </w:pPr>
            <w:r>
              <w:rPr>
                <w:b w:val="false"/>
                <w:bCs w:val="false"/>
                <w:sz w:val="18"/>
                <w:szCs w:val="18"/>
              </w:rPr>
              <w:t xml:space="preserve">0</w:t>
            </w:r>
          </w:p>
        </w:tc>
        <w:tc>
          <w:tcPr>
            <w:tcW w:type="dxa" w:w="3440"/>
            <w:tcMar>
              <w:top w:type="dxa" w:w="60"/>
              <w:left w:type="dxa" w:w="100"/>
              <w:bottom w:type="dxa" w:w="60"/>
              <w:right w:type="dxa" w:w="100"/>
            </w:tcMar>
          </w:tcPr>
          <w:p>
            <w:pPr>
              <w:jc w:val="left"/>
            </w:pPr>
            <w:r>
              <w:rPr>
                <w:b w:val="false"/>
                <w:bCs w:val="false"/>
                <w:sz w:val="18"/>
                <w:szCs w:val="18"/>
              </w:rPr>
              <w:t xml:space="preserve">Overlaps blank</w:t>
            </w:r>
          </w:p>
        </w:tc>
      </w:tr>
      <w:tr>
        <w:tc>
          <w:tcPr>
            <w:tcW w:type="dxa" w:w="2600"/>
            <w:shd w:fill="F2F2F2" w:val="clear"/>
            <w:tcMar>
              <w:top w:type="dxa" w:w="60"/>
              <w:left w:type="dxa" w:w="100"/>
              <w:bottom w:type="dxa" w:w="60"/>
              <w:right w:type="dxa" w:w="100"/>
            </w:tcMar>
          </w:tcPr>
          <w:p>
            <w:pPr>
              <w:jc w:val="left"/>
            </w:pPr>
            <w:r>
              <w:rPr>
                <w:b w:val="false"/>
                <w:bCs w:val="false"/>
                <w:sz w:val="18"/>
                <w:szCs w:val="18"/>
              </w:rPr>
              <w:t xml:space="preserve">1035.2</w:t>
            </w:r>
          </w:p>
        </w:tc>
        <w:tc>
          <w:tcPr>
            <w:tcW w:type="dxa" w:w="2600"/>
            <w:shd w:fill="F2F2F2" w:val="clear"/>
            <w:tcMar>
              <w:top w:type="dxa" w:w="60"/>
              <w:left w:type="dxa" w:w="100"/>
              <w:bottom w:type="dxa" w:w="60"/>
              <w:right w:type="dxa" w:w="100"/>
            </w:tcMar>
          </w:tcPr>
          <w:p>
            <w:pPr>
              <w:jc w:val="left"/>
            </w:pPr>
            <w:r>
              <w:rPr>
                <w:b w:val="false"/>
                <w:bCs w:val="false"/>
                <w:sz w:val="18"/>
                <w:szCs w:val="18"/>
              </w:rPr>
              <w:t xml:space="preserve">962.5</w:t>
            </w:r>
          </w:p>
        </w:tc>
        <w:tc>
          <w:tcPr>
            <w:tcW w:type="dxa" w:w="1800"/>
            <w:shd w:fill="F2F2F2" w:val="clear"/>
            <w:tcMar>
              <w:top w:type="dxa" w:w="60"/>
              <w:left w:type="dxa" w:w="100"/>
              <w:bottom w:type="dxa" w:w="60"/>
              <w:right w:type="dxa" w:w="100"/>
            </w:tcMar>
          </w:tcPr>
          <w:p>
            <w:pPr>
              <w:jc w:val="left"/>
            </w:pPr>
            <w:r>
              <w:rPr>
                <w:b w:val="false"/>
                <w:bCs w:val="false"/>
                <w:sz w:val="18"/>
                <w:szCs w:val="18"/>
              </w:rPr>
              <w:t xml:space="preserve">72.7</w:t>
            </w:r>
          </w:p>
        </w:tc>
        <w:tc>
          <w:tcPr>
            <w:tcW w:type="dxa" w:w="3440"/>
            <w:shd w:fill="F2F2F2" w:val="clear"/>
            <w:tcMar>
              <w:top w:type="dxa" w:w="60"/>
              <w:left w:type="dxa" w:w="100"/>
              <w:bottom w:type="dxa" w:w="60"/>
              <w:right w:type="dxa" w:w="100"/>
            </w:tcMar>
          </w:tcPr>
          <w:p>
            <w:pPr>
              <w:jc w:val="left"/>
            </w:pPr>
            <w:r>
              <w:rPr>
                <w:b w:val="false"/>
                <w:bCs w:val="false"/>
                <w:sz w:val="18"/>
                <w:szCs w:val="18"/>
              </w:rPr>
              <w:t xml:space="preserve">Not in blank (unvalidated)</w:t>
            </w:r>
          </w:p>
        </w:tc>
      </w:tr>
      <w:tr>
        <w:tc>
          <w:tcPr>
            <w:tcW w:type="dxa" w:w="2600"/>
            <w:tcMar>
              <w:top w:type="dxa" w:w="60"/>
              <w:left w:type="dxa" w:w="100"/>
              <w:bottom w:type="dxa" w:w="60"/>
              <w:right w:type="dxa" w:w="100"/>
            </w:tcMar>
          </w:tcPr>
          <w:p>
            <w:pPr>
              <w:jc w:val="left"/>
            </w:pPr>
            <w:r>
              <w:rPr>
                <w:b w:val="false"/>
                <w:bCs w:val="false"/>
                <w:sz w:val="18"/>
                <w:szCs w:val="18"/>
              </w:rPr>
              <w:t xml:space="preserve">1133.5</w:t>
            </w:r>
          </w:p>
        </w:tc>
        <w:tc>
          <w:tcPr>
            <w:tcW w:type="dxa" w:w="2600"/>
            <w:tcMar>
              <w:top w:type="dxa" w:w="60"/>
              <w:left w:type="dxa" w:w="100"/>
              <w:bottom w:type="dxa" w:w="60"/>
              <w:right w:type="dxa" w:w="100"/>
            </w:tcMar>
          </w:tcPr>
          <w:p>
            <w:pPr>
              <w:jc w:val="left"/>
            </w:pPr>
            <w:r>
              <w:rPr>
                <w:b w:val="false"/>
                <w:bCs w:val="false"/>
                <w:sz w:val="18"/>
                <w:szCs w:val="18"/>
              </w:rPr>
              <w:t xml:space="preserve">1181.8</w:t>
            </w:r>
          </w:p>
        </w:tc>
        <w:tc>
          <w:tcPr>
            <w:tcW w:type="dxa" w:w="1800"/>
            <w:tcMar>
              <w:top w:type="dxa" w:w="60"/>
              <w:left w:type="dxa" w:w="100"/>
              <w:bottom w:type="dxa" w:w="60"/>
              <w:right w:type="dxa" w:w="100"/>
            </w:tcMar>
          </w:tcPr>
          <w:p>
            <w:pPr>
              <w:jc w:val="left"/>
            </w:pPr>
            <w:r>
              <w:rPr>
                <w:b w:val="false"/>
                <w:bCs w:val="false"/>
                <w:sz w:val="18"/>
                <w:szCs w:val="18"/>
              </w:rPr>
              <w:t xml:space="preserve">48.3</w:t>
            </w:r>
          </w:p>
        </w:tc>
        <w:tc>
          <w:tcPr>
            <w:tcW w:type="dxa" w:w="3440"/>
            <w:tcMar>
              <w:top w:type="dxa" w:w="60"/>
              <w:left w:type="dxa" w:w="100"/>
              <w:bottom w:type="dxa" w:w="60"/>
              <w:right w:type="dxa" w:w="100"/>
            </w:tcMar>
          </w:tcPr>
          <w:p>
            <w:pPr>
              <w:jc w:val="left"/>
            </w:pPr>
            <w:r>
              <w:rPr>
                <w:b w:val="false"/>
                <w:bCs w:val="false"/>
                <w:sz w:val="18"/>
                <w:szCs w:val="18"/>
              </w:rPr>
              <w:t xml:space="preserve">Not in blank (unvalidated)</w:t>
            </w:r>
          </w:p>
        </w:tc>
      </w:tr>
      <w:tr>
        <w:tc>
          <w:tcPr>
            <w:tcW w:type="dxa" w:w="2600"/>
            <w:shd w:fill="F2F2F2" w:val="clear"/>
            <w:tcMar>
              <w:top w:type="dxa" w:w="60"/>
              <w:left w:type="dxa" w:w="100"/>
              <w:bottom w:type="dxa" w:w="60"/>
              <w:right w:type="dxa" w:w="100"/>
            </w:tcMar>
          </w:tcPr>
          <w:p>
            <w:pPr>
              <w:jc w:val="left"/>
            </w:pPr>
            <w:r>
              <w:rPr>
                <w:b w:val="false"/>
                <w:bCs w:val="false"/>
                <w:sz w:val="18"/>
                <w:szCs w:val="18"/>
              </w:rPr>
              <w:t xml:space="preserve">1285.8</w:t>
            </w:r>
          </w:p>
        </w:tc>
        <w:tc>
          <w:tcPr>
            <w:tcW w:type="dxa" w:w="2600"/>
            <w:shd w:fill="F2F2F2" w:val="clear"/>
            <w:tcMar>
              <w:top w:type="dxa" w:w="60"/>
              <w:left w:type="dxa" w:w="100"/>
              <w:bottom w:type="dxa" w:w="60"/>
              <w:right w:type="dxa" w:w="100"/>
            </w:tcMar>
          </w:tcPr>
          <w:p>
            <w:pPr>
              <w:jc w:val="left"/>
            </w:pPr>
            <w:r>
              <w:rPr>
                <w:b w:val="false"/>
                <w:bCs w:val="false"/>
                <w:sz w:val="18"/>
                <w:szCs w:val="18"/>
              </w:rPr>
              <w:t xml:space="preserve">1181.8</w:t>
            </w:r>
          </w:p>
        </w:tc>
        <w:tc>
          <w:tcPr>
            <w:tcW w:type="dxa" w:w="1800"/>
            <w:shd w:fill="F2F2F2" w:val="clear"/>
            <w:tcMar>
              <w:top w:type="dxa" w:w="60"/>
              <w:left w:type="dxa" w:w="100"/>
              <w:bottom w:type="dxa" w:w="60"/>
              <w:right w:type="dxa" w:w="100"/>
            </w:tcMar>
          </w:tcPr>
          <w:p>
            <w:pPr>
              <w:jc w:val="left"/>
            </w:pPr>
            <w:r>
              <w:rPr>
                <w:b w:val="false"/>
                <w:bCs w:val="false"/>
                <w:sz w:val="18"/>
                <w:szCs w:val="18"/>
              </w:rPr>
              <w:t xml:space="preserve">104.1</w:t>
            </w:r>
          </w:p>
        </w:tc>
        <w:tc>
          <w:tcPr>
            <w:tcW w:type="dxa" w:w="3440"/>
            <w:shd w:fill="F2F2F2" w:val="clear"/>
            <w:tcMar>
              <w:top w:type="dxa" w:w="60"/>
              <w:left w:type="dxa" w:w="100"/>
              <w:bottom w:type="dxa" w:w="60"/>
              <w:right w:type="dxa" w:w="100"/>
            </w:tcMar>
          </w:tcPr>
          <w:p>
            <w:pPr>
              <w:jc w:val="left"/>
            </w:pPr>
            <w:r>
              <w:rPr>
                <w:b w:val="false"/>
                <w:bCs w:val="false"/>
                <w:sz w:val="18"/>
                <w:szCs w:val="18"/>
              </w:rPr>
              <w:t xml:space="preserve">Not in blank (unvalidated)</w:t>
            </w:r>
          </w:p>
        </w:tc>
      </w:tr>
      <w:tr>
        <w:tc>
          <w:tcPr>
            <w:tcW w:type="dxa" w:w="2600"/>
            <w:tcMar>
              <w:top w:type="dxa" w:w="60"/>
              <w:left w:type="dxa" w:w="100"/>
              <w:bottom w:type="dxa" w:w="60"/>
              <w:right w:type="dxa" w:w="100"/>
            </w:tcMar>
          </w:tcPr>
          <w:p>
            <w:pPr>
              <w:jc w:val="left"/>
            </w:pPr>
            <w:r>
              <w:rPr>
                <w:b w:val="false"/>
                <w:bCs w:val="false"/>
                <w:sz w:val="18"/>
                <w:szCs w:val="18"/>
              </w:rPr>
              <w:t xml:space="preserve">1388.9</w:t>
            </w:r>
          </w:p>
        </w:tc>
        <w:tc>
          <w:tcPr>
            <w:tcW w:type="dxa" w:w="2600"/>
            <w:tcMar>
              <w:top w:type="dxa" w:w="60"/>
              <w:left w:type="dxa" w:w="100"/>
              <w:bottom w:type="dxa" w:w="60"/>
              <w:right w:type="dxa" w:w="100"/>
            </w:tcMar>
          </w:tcPr>
          <w:p>
            <w:pPr>
              <w:jc w:val="left"/>
            </w:pPr>
            <w:r>
              <w:rPr>
                <w:b w:val="false"/>
                <w:bCs w:val="false"/>
                <w:sz w:val="18"/>
                <w:szCs w:val="18"/>
              </w:rPr>
              <w:t xml:space="preserve">1409.5</w:t>
            </w:r>
          </w:p>
        </w:tc>
        <w:tc>
          <w:tcPr>
            <w:tcW w:type="dxa" w:w="1800"/>
            <w:tcMar>
              <w:top w:type="dxa" w:w="60"/>
              <w:left w:type="dxa" w:w="100"/>
              <w:bottom w:type="dxa" w:w="60"/>
              <w:right w:type="dxa" w:w="100"/>
            </w:tcMar>
          </w:tcPr>
          <w:p>
            <w:pPr>
              <w:jc w:val="left"/>
            </w:pPr>
            <w:r>
              <w:rPr>
                <w:b w:val="false"/>
                <w:bCs w:val="false"/>
                <w:sz w:val="18"/>
                <w:szCs w:val="18"/>
              </w:rPr>
              <w:t xml:space="preserve">20.6</w:t>
            </w:r>
          </w:p>
        </w:tc>
        <w:tc>
          <w:tcPr>
            <w:tcW w:type="dxa" w:w="3440"/>
            <w:tcMar>
              <w:top w:type="dxa" w:w="60"/>
              <w:left w:type="dxa" w:w="100"/>
              <w:bottom w:type="dxa" w:w="60"/>
              <w:right w:type="dxa" w:w="100"/>
            </w:tcMar>
          </w:tcPr>
          <w:p>
            <w:pPr>
              <w:jc w:val="left"/>
            </w:pPr>
            <w:r>
              <w:rPr>
                <w:b w:val="false"/>
                <w:bCs w:val="false"/>
                <w:sz w:val="18"/>
                <w:szCs w:val="18"/>
              </w:rPr>
              <w:t xml:space="preserve">Not in blank (unvalidated)</w:t>
            </w:r>
          </w:p>
        </w:tc>
      </w:tr>
      <w:tr>
        <w:tc>
          <w:tcPr>
            <w:tcW w:type="dxa" w:w="2600"/>
            <w:shd w:fill="F2F2F2" w:val="clear"/>
            <w:tcMar>
              <w:top w:type="dxa" w:w="60"/>
              <w:left w:type="dxa" w:w="100"/>
              <w:bottom w:type="dxa" w:w="60"/>
              <w:right w:type="dxa" w:w="100"/>
            </w:tcMar>
          </w:tcPr>
          <w:p>
            <w:pPr>
              <w:jc w:val="left"/>
            </w:pPr>
            <w:r>
              <w:rPr>
                <w:b w:val="false"/>
                <w:bCs w:val="false"/>
                <w:sz w:val="18"/>
                <w:szCs w:val="18"/>
              </w:rPr>
              <w:t xml:space="preserve">1602.7</w:t>
            </w:r>
          </w:p>
        </w:tc>
        <w:tc>
          <w:tcPr>
            <w:tcW w:type="dxa" w:w="2600"/>
            <w:shd w:fill="F2F2F2" w:val="clear"/>
            <w:tcMar>
              <w:top w:type="dxa" w:w="60"/>
              <w:left w:type="dxa" w:w="100"/>
              <w:bottom w:type="dxa" w:w="60"/>
              <w:right w:type="dxa" w:w="100"/>
            </w:tcMar>
          </w:tcPr>
          <w:p>
            <w:pPr>
              <w:jc w:val="left"/>
            </w:pPr>
            <w:r>
              <w:rPr>
                <w:b w:val="false"/>
                <w:bCs w:val="false"/>
                <w:sz w:val="18"/>
                <w:szCs w:val="18"/>
              </w:rPr>
              <w:t xml:space="preserve">1602.7</w:t>
            </w:r>
          </w:p>
        </w:tc>
        <w:tc>
          <w:tcPr>
            <w:tcW w:type="dxa" w:w="1800"/>
            <w:shd w:fill="F2F2F2" w:val="clear"/>
            <w:tcMar>
              <w:top w:type="dxa" w:w="60"/>
              <w:left w:type="dxa" w:w="100"/>
              <w:bottom w:type="dxa" w:w="60"/>
              <w:right w:type="dxa" w:w="100"/>
            </w:tcMar>
          </w:tcPr>
          <w:p>
            <w:pPr>
              <w:jc w:val="left"/>
            </w:pPr>
            <w:r>
              <w:rPr>
                <w:b w:val="false"/>
                <w:bCs w:val="false"/>
                <w:sz w:val="18"/>
                <w:szCs w:val="18"/>
              </w:rPr>
              <w:t xml:space="preserve">0</w:t>
            </w:r>
          </w:p>
        </w:tc>
        <w:tc>
          <w:tcPr>
            <w:tcW w:type="dxa" w:w="3440"/>
            <w:shd w:fill="F2F2F2" w:val="clear"/>
            <w:tcMar>
              <w:top w:type="dxa" w:w="60"/>
              <w:left w:type="dxa" w:w="100"/>
              <w:bottom w:type="dxa" w:w="60"/>
              <w:right w:type="dxa" w:w="100"/>
            </w:tcMar>
          </w:tcPr>
          <w:p>
            <w:pPr>
              <w:jc w:val="left"/>
            </w:pPr>
            <w:r>
              <w:rPr>
                <w:b w:val="false"/>
                <w:bCs w:val="false"/>
                <w:sz w:val="18"/>
                <w:szCs w:val="18"/>
              </w:rPr>
              <w:t xml:space="preserve">Overlaps blank</w:t>
            </w:r>
          </w:p>
        </w:tc>
      </w:tr>
      <w:tr>
        <w:tc>
          <w:tcPr>
            <w:tcW w:type="dxa" w:w="2600"/>
            <w:tcMar>
              <w:top w:type="dxa" w:w="60"/>
              <w:left w:type="dxa" w:w="100"/>
              <w:bottom w:type="dxa" w:w="60"/>
              <w:right w:type="dxa" w:w="100"/>
            </w:tcMar>
          </w:tcPr>
          <w:p>
            <w:pPr>
              <w:jc w:val="left"/>
            </w:pPr>
            <w:r>
              <w:rPr>
                <w:b w:val="false"/>
                <w:bCs w:val="false"/>
                <w:sz w:val="18"/>
                <w:szCs w:val="18"/>
              </w:rPr>
              <w:t xml:space="preserve">1893.2</w:t>
            </w:r>
          </w:p>
        </w:tc>
        <w:tc>
          <w:tcPr>
            <w:tcW w:type="dxa" w:w="2600"/>
            <w:tcMar>
              <w:top w:type="dxa" w:w="60"/>
              <w:left w:type="dxa" w:w="100"/>
              <w:bottom w:type="dxa" w:w="60"/>
              <w:right w:type="dxa" w:w="100"/>
            </w:tcMar>
          </w:tcPr>
          <w:p>
            <w:pPr>
              <w:jc w:val="left"/>
            </w:pPr>
            <w:r>
              <w:rPr>
                <w:b w:val="false"/>
                <w:bCs w:val="false"/>
                <w:sz w:val="18"/>
                <w:szCs w:val="18"/>
              </w:rPr>
              <w:t xml:space="preserve">1800.2</w:t>
            </w:r>
          </w:p>
        </w:tc>
        <w:tc>
          <w:tcPr>
            <w:tcW w:type="dxa" w:w="1800"/>
            <w:tcMar>
              <w:top w:type="dxa" w:w="60"/>
              <w:left w:type="dxa" w:w="100"/>
              <w:bottom w:type="dxa" w:w="60"/>
              <w:right w:type="dxa" w:w="100"/>
            </w:tcMar>
          </w:tcPr>
          <w:p>
            <w:pPr>
              <w:jc w:val="left"/>
            </w:pPr>
            <w:r>
              <w:rPr>
                <w:b w:val="false"/>
                <w:bCs w:val="false"/>
                <w:sz w:val="18"/>
                <w:szCs w:val="18"/>
              </w:rPr>
              <w:t xml:space="preserve">93</w:t>
            </w:r>
          </w:p>
        </w:tc>
        <w:tc>
          <w:tcPr>
            <w:tcW w:type="dxa" w:w="3440"/>
            <w:tcMar>
              <w:top w:type="dxa" w:w="60"/>
              <w:left w:type="dxa" w:w="100"/>
              <w:bottom w:type="dxa" w:w="60"/>
              <w:right w:type="dxa" w:w="100"/>
            </w:tcMar>
          </w:tcPr>
          <w:p>
            <w:pPr>
              <w:jc w:val="left"/>
            </w:pPr>
            <w:r>
              <w:rPr>
                <w:b w:val="false"/>
                <w:bCs w:val="false"/>
                <w:sz w:val="18"/>
                <w:szCs w:val="18"/>
              </w:rPr>
              <w:t xml:space="preserve">Not in blank (unvalidated)</w:t>
            </w:r>
          </w:p>
        </w:tc>
      </w:tr>
    </w:tbl>
    <w:p>
      <w:pPr>
        <w:spacing w:after="120"/>
      </w:pPr>
      <w:r>
        <w:t xml:space="preserve">Of the 15 detected candidate peaks, 6 coincide with a blank-substrate peak within 15 cm⁻¹ and are treated as substrate features, not LTA signal. The remaining 9 do not coincide with the blank, but have not yet undergone pixel-level validation — the same level of scrutiny that identified the earlier single-pixel artifact in this dataset. None of the 9 is called a confirmed LTA SERS signal in this report.</w:t>
      </w:r>
    </w:p>
    <w:p>
      <w:r>
        <w:br w:type="page"/>
      </w:r>
    </w:p>
    <w:p>
      <w:pPr>
        <w:pStyle w:val="Heading1"/>
        <w:spacing w:after="160" w:before="360"/>
      </w:pPr>
      <w:r>
        <w:t xml:space="preserve">7. DFT → Powder → SERS Comparison</w:t>
      </w:r>
    </w:p>
    <w:p>
      <w:pPr>
        <w:spacing w:after="120"/>
      </w:pPr>
      <w:r>
        <w:t xml:space="preserve">Each of the 7 powder characteristic peaks is followed through DFT, powder Raman, SERS, and blank control, focusing especially on the two strongest candidate regions: 1093.2 cm⁻¹ (literature + DFT convergence) and 1602.4 cm⁻¹ (close powder/SERS overlap).</w:t>
      </w:r>
    </w:p>
    <w:p>
      <w:pPr>
        <w:spacing w:after="120" w:before="120"/>
        <w:jc w:val="center"/>
      </w:pPr>
      <w:r>
        <w:drawing>
          <wp:inline distT="0" distB="0" distL="0" distR="0">
            <wp:extent cx="6286500" cy="505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86500" cy="5057775"/>
                    </a:xfrm>
                    <a:prstGeom prst="rect">
                      <a:avLst/>
                    </a:prstGeom>
                  </pic:spPr>
                </pic:pic>
              </a:graphicData>
            </a:graphic>
          </wp:inline>
        </w:drawing>
      </w:r>
    </w:p>
    <w:p>
      <w:pPr>
        <w:spacing w:after="240"/>
        <w:jc w:val="center"/>
      </w:pPr>
      <w:r>
        <w:rPr>
          <w:i/>
          <w:iCs/>
          <w:sz w:val="18"/>
          <w:szCs w:val="18"/>
        </w:rPr>
        <w:t xml:space="preserve">Figure 6. Focused DFT → Powder → SERS → Blank comparison at 1093 cm⁻¹ (no SERS peak within tolerance) and 1602 cm⁻¹ (SERS peak present, but explained by the blank).</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150"/>
        <w:gridCol w:w="1750"/>
        <w:gridCol w:w="1900"/>
        <w:gridCol w:w="2300"/>
        <w:gridCol w:w="1900"/>
        <w:gridCol w:w="1440"/>
      </w:tblGrid>
      <w:tr>
        <w:trPr>
          <w:tblHeader/>
        </w:trPr>
        <w:tc>
          <w:tcPr>
            <w:tcW w:type="dxa" w:w="1150"/>
            <w:shd w:fill="1F4E5F" w:val="clear"/>
            <w:tcMar>
              <w:top w:type="dxa" w:w="60"/>
              <w:left w:type="dxa" w:w="100"/>
              <w:bottom w:type="dxa" w:w="60"/>
              <w:right w:type="dxa" w:w="100"/>
            </w:tcMar>
          </w:tcPr>
          <w:p>
            <w:pPr>
              <w:jc w:val="left"/>
            </w:pPr>
            <w:r>
              <w:rPr>
                <w:b/>
                <w:bCs/>
                <w:color w:val="FFFFFF"/>
                <w:sz w:val="18"/>
                <w:szCs w:val="18"/>
              </w:rPr>
              <w:t xml:space="preserve">Band (cm⁻¹)</w:t>
            </w:r>
          </w:p>
        </w:tc>
        <w:tc>
          <w:tcPr>
            <w:tcW w:type="dxa" w:w="1750"/>
            <w:shd w:fill="1F4E5F" w:val="clear"/>
            <w:tcMar>
              <w:top w:type="dxa" w:w="60"/>
              <w:left w:type="dxa" w:w="100"/>
              <w:bottom w:type="dxa" w:w="60"/>
              <w:right w:type="dxa" w:w="100"/>
            </w:tcMar>
          </w:tcPr>
          <w:p>
            <w:pPr>
              <w:jc w:val="left"/>
            </w:pPr>
            <w:r>
              <w:rPr>
                <w:b/>
                <w:bCs/>
                <w:color w:val="FFFFFF"/>
                <w:sz w:val="18"/>
                <w:szCs w:val="18"/>
              </w:rPr>
              <w:t xml:space="preserve">DFT support</w:t>
            </w:r>
          </w:p>
        </w:tc>
        <w:tc>
          <w:tcPr>
            <w:tcW w:type="dxa" w:w="1900"/>
            <w:shd w:fill="1F4E5F" w:val="clear"/>
            <w:tcMar>
              <w:top w:type="dxa" w:w="60"/>
              <w:left w:type="dxa" w:w="100"/>
              <w:bottom w:type="dxa" w:w="60"/>
              <w:right w:type="dxa" w:w="100"/>
            </w:tcMar>
          </w:tcPr>
          <w:p>
            <w:pPr>
              <w:jc w:val="left"/>
            </w:pPr>
            <w:r>
              <w:rPr>
                <w:b/>
                <w:bCs/>
                <w:color w:val="FFFFFF"/>
                <w:sz w:val="18"/>
                <w:szCs w:val="18"/>
              </w:rPr>
              <w:t xml:space="preserve">Powder Raman</w:t>
            </w:r>
          </w:p>
        </w:tc>
        <w:tc>
          <w:tcPr>
            <w:tcW w:type="dxa" w:w="2300"/>
            <w:shd w:fill="1F4E5F" w:val="clear"/>
            <w:tcMar>
              <w:top w:type="dxa" w:w="60"/>
              <w:left w:type="dxa" w:w="100"/>
              <w:bottom w:type="dxa" w:w="60"/>
              <w:right w:type="dxa" w:w="100"/>
            </w:tcMar>
          </w:tcPr>
          <w:p>
            <w:pPr>
              <w:jc w:val="left"/>
            </w:pPr>
            <w:r>
              <w:rPr>
                <w:b/>
                <w:bCs/>
                <w:color w:val="FFFFFF"/>
                <w:sz w:val="18"/>
                <w:szCs w:val="18"/>
              </w:rPr>
              <w:t xml:space="preserve">SERS candidate</w:t>
            </w:r>
          </w:p>
        </w:tc>
        <w:tc>
          <w:tcPr>
            <w:tcW w:type="dxa" w:w="1900"/>
            <w:shd w:fill="1F4E5F" w:val="clear"/>
            <w:tcMar>
              <w:top w:type="dxa" w:w="60"/>
              <w:left w:type="dxa" w:w="100"/>
              <w:bottom w:type="dxa" w:w="60"/>
              <w:right w:type="dxa" w:w="100"/>
            </w:tcMar>
          </w:tcPr>
          <w:p>
            <w:pPr>
              <w:jc w:val="left"/>
            </w:pPr>
            <w:r>
              <w:rPr>
                <w:b/>
                <w:bCs/>
                <w:color w:val="FFFFFF"/>
                <w:sz w:val="18"/>
                <w:szCs w:val="18"/>
              </w:rPr>
              <w:t xml:space="preserve">Blank control</w:t>
            </w:r>
          </w:p>
        </w:tc>
        <w:tc>
          <w:tcPr>
            <w:tcW w:type="dxa" w:w="1440"/>
            <w:shd w:fill="1F4E5F" w:val="clear"/>
            <w:tcMar>
              <w:top w:type="dxa" w:w="60"/>
              <w:left w:type="dxa" w:w="100"/>
              <w:bottom w:type="dxa" w:w="60"/>
              <w:right w:type="dxa" w:w="100"/>
            </w:tcMar>
          </w:tcPr>
          <w:p>
            <w:pPr>
              <w:jc w:val="left"/>
            </w:pPr>
            <w:r>
              <w:rPr>
                <w:b/>
                <w:bCs/>
                <w:color w:val="FFFFFF"/>
                <w:sz w:val="18"/>
                <w:szCs w:val="18"/>
              </w:rPr>
              <w:t xml:space="preserve">Final status</w:t>
            </w:r>
          </w:p>
        </w:tc>
      </w:tr>
      <w:tr>
        <w:tc>
          <w:tcPr>
            <w:tcW w:type="dxa" w:w="1150"/>
            <w:tcMar>
              <w:top w:type="dxa" w:w="60"/>
              <w:left w:type="dxa" w:w="100"/>
              <w:bottom w:type="dxa" w:w="60"/>
              <w:right w:type="dxa" w:w="100"/>
            </w:tcMar>
          </w:tcPr>
          <w:p>
            <w:pPr>
              <w:jc w:val="left"/>
            </w:pPr>
            <w:r>
              <w:rPr>
                <w:b w:val="false"/>
                <w:bCs w:val="false"/>
                <w:sz w:val="18"/>
                <w:szCs w:val="18"/>
              </w:rPr>
              <w:t xml:space="preserve">620.1</w:t>
            </w:r>
          </w:p>
        </w:tc>
        <w:tc>
          <w:tcPr>
            <w:tcW w:type="dxa" w:w="1750"/>
            <w:tcMar>
              <w:top w:type="dxa" w:w="60"/>
              <w:left w:type="dxa" w:w="100"/>
              <w:bottom w:type="dxa" w:w="60"/>
              <w:right w:type="dxa" w:w="100"/>
            </w:tcMar>
          </w:tcPr>
          <w:p>
            <w:pPr>
              <w:jc w:val="left"/>
            </w:pPr>
            <w:r>
              <w:rPr>
                <w:b w:val="false"/>
                <w:bCs w:val="false"/>
                <w:sz w:val="18"/>
                <w:szCs w:val="18"/>
              </w:rPr>
              <w:t xml:space="preserve">Yes (Δ=5.8 cm⁻¹)</w:t>
            </w:r>
          </w:p>
        </w:tc>
        <w:tc>
          <w:tcPr>
            <w:tcW w:type="dxa" w:w="1900"/>
            <w:tcMar>
              <w:top w:type="dxa" w:w="60"/>
              <w:left w:type="dxa" w:w="100"/>
              <w:bottom w:type="dxa" w:w="60"/>
              <w:right w:type="dxa" w:w="100"/>
            </w:tcMar>
          </w:tcPr>
          <w:p>
            <w:pPr>
              <w:jc w:val="left"/>
            </w:pPr>
            <w:r>
              <w:rPr>
                <w:b w:val="false"/>
                <w:bCs w:val="false"/>
                <w:sz w:val="18"/>
                <w:szCs w:val="18"/>
              </w:rPr>
              <w:t xml:space="preserve">Reproducible (Section 2)</w:t>
            </w:r>
          </w:p>
        </w:tc>
        <w:tc>
          <w:tcPr>
            <w:tcW w:type="dxa" w:w="2300"/>
            <w:tcMar>
              <w:top w:type="dxa" w:w="60"/>
              <w:left w:type="dxa" w:w="100"/>
              <w:bottom w:type="dxa" w:w="60"/>
              <w:right w:type="dxa" w:w="100"/>
            </w:tcMar>
          </w:tcPr>
          <w:p>
            <w:pPr>
              <w:jc w:val="left"/>
            </w:pPr>
            <w:r>
              <w:rPr>
                <w:b w:val="false"/>
                <w:bCs w:val="false"/>
                <w:sz w:val="18"/>
                <w:szCs w:val="18"/>
              </w:rPr>
              <w:t xml:space="preserve">None within tolerance</w:t>
            </w:r>
          </w:p>
        </w:tc>
        <w:tc>
          <w:tcPr>
            <w:tcW w:type="dxa" w:w="1900"/>
            <w:tcMar>
              <w:top w:type="dxa" w:w="60"/>
              <w:left w:type="dxa" w:w="100"/>
              <w:bottom w:type="dxa" w:w="60"/>
              <w:right w:type="dxa" w:w="100"/>
            </w:tcMar>
          </w:tcPr>
          <w:p>
            <w:pPr>
              <w:jc w:val="left"/>
            </w:pPr>
            <w:r>
              <w:rPr>
                <w:b w:val="false"/>
                <w:bCs w:val="false"/>
                <w:sz w:val="18"/>
                <w:szCs w:val="18"/>
              </w:rPr>
              <w:t xml:space="preserve">Not testable</w:t>
            </w:r>
          </w:p>
        </w:tc>
        <w:tc>
          <w:tcPr>
            <w:tcW w:type="dxa" w:w="1440"/>
            <w:tcMar>
              <w:top w:type="dxa" w:w="60"/>
              <w:left w:type="dxa" w:w="100"/>
              <w:bottom w:type="dxa" w:w="60"/>
              <w:right w:type="dxa" w:w="100"/>
            </w:tcMar>
          </w:tcPr>
          <w:p>
            <w:pPr>
              <w:jc w:val="left"/>
            </w:pPr>
            <w:r>
              <w:rPr>
                <w:b w:val="false"/>
                <w:bCs w:val="false"/>
                <w:sz w:val="18"/>
                <w:szCs w:val="18"/>
              </w:rPr>
              <w:t xml:space="preserve">UNCONFIRMED</w:t>
            </w:r>
          </w:p>
        </w:tc>
      </w:tr>
      <w:tr>
        <w:tc>
          <w:tcPr>
            <w:tcW w:type="dxa" w:w="1150"/>
            <w:shd w:fill="F2F2F2" w:val="clear"/>
            <w:tcMar>
              <w:top w:type="dxa" w:w="60"/>
              <w:left w:type="dxa" w:w="100"/>
              <w:bottom w:type="dxa" w:w="60"/>
              <w:right w:type="dxa" w:w="100"/>
            </w:tcMar>
          </w:tcPr>
          <w:p>
            <w:pPr>
              <w:jc w:val="left"/>
            </w:pPr>
            <w:r>
              <w:rPr>
                <w:b w:val="false"/>
                <w:bCs w:val="false"/>
                <w:sz w:val="18"/>
                <w:szCs w:val="18"/>
              </w:rPr>
              <w:t xml:space="preserve">794.5</w:t>
            </w:r>
          </w:p>
        </w:tc>
        <w:tc>
          <w:tcPr>
            <w:tcW w:type="dxa" w:w="1750"/>
            <w:shd w:fill="F2F2F2" w:val="clear"/>
            <w:tcMar>
              <w:top w:type="dxa" w:w="60"/>
              <w:left w:type="dxa" w:w="100"/>
              <w:bottom w:type="dxa" w:w="60"/>
              <w:right w:type="dxa" w:w="100"/>
            </w:tcMar>
          </w:tcPr>
          <w:p>
            <w:pPr>
              <w:jc w:val="left"/>
            </w:pPr>
            <w:r>
              <w:rPr>
                <w:b w:val="false"/>
                <w:bCs w:val="false"/>
                <w:sz w:val="18"/>
                <w:szCs w:val="18"/>
              </w:rPr>
              <w:t xml:space="preserve">No</w:t>
            </w:r>
          </w:p>
        </w:tc>
        <w:tc>
          <w:tcPr>
            <w:tcW w:type="dxa" w:w="1900"/>
            <w:shd w:fill="F2F2F2" w:val="clear"/>
            <w:tcMar>
              <w:top w:type="dxa" w:w="60"/>
              <w:left w:type="dxa" w:w="100"/>
              <w:bottom w:type="dxa" w:w="60"/>
              <w:right w:type="dxa" w:w="100"/>
            </w:tcMar>
          </w:tcPr>
          <w:p>
            <w:pPr>
              <w:jc w:val="left"/>
            </w:pPr>
            <w:r>
              <w:rPr>
                <w:b w:val="false"/>
                <w:bCs w:val="false"/>
                <w:sz w:val="18"/>
                <w:szCs w:val="18"/>
              </w:rPr>
              <w:t xml:space="preserve">Reproducible (Section 2)</w:t>
            </w:r>
          </w:p>
        </w:tc>
        <w:tc>
          <w:tcPr>
            <w:tcW w:type="dxa" w:w="2300"/>
            <w:shd w:fill="F2F2F2" w:val="clear"/>
            <w:tcMar>
              <w:top w:type="dxa" w:w="60"/>
              <w:left w:type="dxa" w:w="100"/>
              <w:bottom w:type="dxa" w:w="60"/>
              <w:right w:type="dxa" w:w="100"/>
            </w:tcMar>
          </w:tcPr>
          <w:p>
            <w:pPr>
              <w:jc w:val="left"/>
            </w:pPr>
            <w:r>
              <w:rPr>
                <w:b w:val="false"/>
                <w:bCs w:val="false"/>
                <w:sz w:val="18"/>
                <w:szCs w:val="18"/>
              </w:rPr>
              <w:t xml:space="preserve">Peak at 781.2 cm⁻¹ (Δ=13.3)</w:t>
            </w:r>
          </w:p>
        </w:tc>
        <w:tc>
          <w:tcPr>
            <w:tcW w:type="dxa" w:w="1900"/>
            <w:shd w:fill="F2F2F2" w:val="clear"/>
            <w:tcMar>
              <w:top w:type="dxa" w:w="60"/>
              <w:left w:type="dxa" w:w="100"/>
              <w:bottom w:type="dxa" w:w="60"/>
              <w:right w:type="dxa" w:w="100"/>
            </w:tcMar>
          </w:tcPr>
          <w:p>
            <w:pPr>
              <w:jc w:val="left"/>
            </w:pPr>
            <w:r>
              <w:rPr>
                <w:b w:val="false"/>
                <w:bCs w:val="false"/>
                <w:sz w:val="18"/>
                <w:szCs w:val="18"/>
              </w:rPr>
              <w:t xml:space="preserve">Present in blank</w:t>
            </w:r>
          </w:p>
        </w:tc>
        <w:tc>
          <w:tcPr>
            <w:tcW w:type="dxa" w:w="1440"/>
            <w:shd w:fill="F2F2F2" w:val="clear"/>
            <w:tcMar>
              <w:top w:type="dxa" w:w="60"/>
              <w:left w:type="dxa" w:w="100"/>
              <w:bottom w:type="dxa" w:w="60"/>
              <w:right w:type="dxa" w:w="100"/>
            </w:tcMar>
          </w:tcPr>
          <w:p>
            <w:pPr>
              <w:jc w:val="left"/>
            </w:pPr>
            <w:r>
              <w:rPr>
                <w:b w:val="false"/>
                <w:bCs w:val="false"/>
                <w:sz w:val="18"/>
                <w:szCs w:val="18"/>
              </w:rPr>
              <w:t xml:space="preserve">UNCONFIRMED</w:t>
            </w:r>
          </w:p>
        </w:tc>
      </w:tr>
      <w:tr>
        <w:tc>
          <w:tcPr>
            <w:tcW w:type="dxa" w:w="1150"/>
            <w:tcMar>
              <w:top w:type="dxa" w:w="60"/>
              <w:left w:type="dxa" w:w="100"/>
              <w:bottom w:type="dxa" w:w="60"/>
              <w:right w:type="dxa" w:w="100"/>
            </w:tcMar>
          </w:tcPr>
          <w:p>
            <w:pPr>
              <w:jc w:val="left"/>
            </w:pPr>
            <w:r>
              <w:rPr>
                <w:b w:val="false"/>
                <w:bCs w:val="false"/>
                <w:sz w:val="18"/>
                <w:szCs w:val="18"/>
              </w:rPr>
              <w:t xml:space="preserve">999.9</w:t>
            </w:r>
          </w:p>
        </w:tc>
        <w:tc>
          <w:tcPr>
            <w:tcW w:type="dxa" w:w="1750"/>
            <w:tcMar>
              <w:top w:type="dxa" w:w="60"/>
              <w:left w:type="dxa" w:w="100"/>
              <w:bottom w:type="dxa" w:w="60"/>
              <w:right w:type="dxa" w:w="100"/>
            </w:tcMar>
          </w:tcPr>
          <w:p>
            <w:pPr>
              <w:jc w:val="left"/>
            </w:pPr>
            <w:r>
              <w:rPr>
                <w:b w:val="false"/>
                <w:bCs w:val="false"/>
                <w:sz w:val="18"/>
                <w:szCs w:val="18"/>
              </w:rPr>
              <w:t xml:space="preserve">Yes (Δ=9.2 cm⁻¹)</w:t>
            </w:r>
          </w:p>
        </w:tc>
        <w:tc>
          <w:tcPr>
            <w:tcW w:type="dxa" w:w="1900"/>
            <w:tcMar>
              <w:top w:type="dxa" w:w="60"/>
              <w:left w:type="dxa" w:w="100"/>
              <w:bottom w:type="dxa" w:w="60"/>
              <w:right w:type="dxa" w:w="100"/>
            </w:tcMar>
          </w:tcPr>
          <w:p>
            <w:pPr>
              <w:jc w:val="left"/>
            </w:pPr>
            <w:r>
              <w:rPr>
                <w:b w:val="false"/>
                <w:bCs w:val="false"/>
                <w:sz w:val="18"/>
                <w:szCs w:val="18"/>
              </w:rPr>
              <w:t xml:space="preserve">Reproducible (Section 2)</w:t>
            </w:r>
          </w:p>
        </w:tc>
        <w:tc>
          <w:tcPr>
            <w:tcW w:type="dxa" w:w="2300"/>
            <w:tcMar>
              <w:top w:type="dxa" w:w="60"/>
              <w:left w:type="dxa" w:w="100"/>
              <w:bottom w:type="dxa" w:w="60"/>
              <w:right w:type="dxa" w:w="100"/>
            </w:tcMar>
          </w:tcPr>
          <w:p>
            <w:pPr>
              <w:jc w:val="left"/>
            </w:pPr>
            <w:r>
              <w:rPr>
                <w:b w:val="false"/>
                <w:bCs w:val="false"/>
                <w:sz w:val="18"/>
                <w:szCs w:val="18"/>
              </w:rPr>
              <w:t xml:space="preserve">None within tolerance</w:t>
            </w:r>
          </w:p>
        </w:tc>
        <w:tc>
          <w:tcPr>
            <w:tcW w:type="dxa" w:w="1900"/>
            <w:tcMar>
              <w:top w:type="dxa" w:w="60"/>
              <w:left w:type="dxa" w:w="100"/>
              <w:bottom w:type="dxa" w:w="60"/>
              <w:right w:type="dxa" w:w="100"/>
            </w:tcMar>
          </w:tcPr>
          <w:p>
            <w:pPr>
              <w:jc w:val="left"/>
            </w:pPr>
            <w:r>
              <w:rPr>
                <w:b w:val="false"/>
                <w:bCs w:val="false"/>
                <w:sz w:val="18"/>
                <w:szCs w:val="18"/>
              </w:rPr>
              <w:t xml:space="preserve">Not testable</w:t>
            </w:r>
          </w:p>
        </w:tc>
        <w:tc>
          <w:tcPr>
            <w:tcW w:type="dxa" w:w="1440"/>
            <w:tcMar>
              <w:top w:type="dxa" w:w="60"/>
              <w:left w:type="dxa" w:w="100"/>
              <w:bottom w:type="dxa" w:w="60"/>
              <w:right w:type="dxa" w:w="100"/>
            </w:tcMar>
          </w:tcPr>
          <w:p>
            <w:pPr>
              <w:jc w:val="left"/>
            </w:pPr>
            <w:r>
              <w:rPr>
                <w:b w:val="false"/>
                <w:bCs w:val="false"/>
                <w:sz w:val="18"/>
                <w:szCs w:val="18"/>
              </w:rPr>
              <w:t xml:space="preserve">UNCONFIRMED</w:t>
            </w:r>
          </w:p>
        </w:tc>
      </w:tr>
      <w:tr>
        <w:tc>
          <w:tcPr>
            <w:tcW w:type="dxa" w:w="1150"/>
            <w:shd w:fill="F2F2F2" w:val="clear"/>
            <w:tcMar>
              <w:top w:type="dxa" w:w="60"/>
              <w:left w:type="dxa" w:w="100"/>
              <w:bottom w:type="dxa" w:w="60"/>
              <w:right w:type="dxa" w:w="100"/>
            </w:tcMar>
          </w:tcPr>
          <w:p>
            <w:pPr>
              <w:jc w:val="left"/>
            </w:pPr>
            <w:r>
              <w:rPr>
                <w:b w:val="false"/>
                <w:bCs w:val="false"/>
                <w:sz w:val="18"/>
                <w:szCs w:val="18"/>
              </w:rPr>
              <w:t xml:space="preserve">1093.2</w:t>
            </w:r>
          </w:p>
        </w:tc>
        <w:tc>
          <w:tcPr>
            <w:tcW w:type="dxa" w:w="1750"/>
            <w:shd w:fill="F2F2F2" w:val="clear"/>
            <w:tcMar>
              <w:top w:type="dxa" w:w="60"/>
              <w:left w:type="dxa" w:w="100"/>
              <w:bottom w:type="dxa" w:w="60"/>
              <w:right w:type="dxa" w:w="100"/>
            </w:tcMar>
          </w:tcPr>
          <w:p>
            <w:pPr>
              <w:jc w:val="left"/>
            </w:pPr>
            <w:r>
              <w:rPr>
                <w:b w:val="false"/>
                <w:bCs w:val="false"/>
                <w:sz w:val="18"/>
                <w:szCs w:val="18"/>
              </w:rPr>
              <w:t xml:space="preserve">Yes (Δ=12.7 cm⁻¹)</w:t>
            </w:r>
          </w:p>
        </w:tc>
        <w:tc>
          <w:tcPr>
            <w:tcW w:type="dxa" w:w="1900"/>
            <w:shd w:fill="F2F2F2" w:val="clear"/>
            <w:tcMar>
              <w:top w:type="dxa" w:w="60"/>
              <w:left w:type="dxa" w:w="100"/>
              <w:bottom w:type="dxa" w:w="60"/>
              <w:right w:type="dxa" w:w="100"/>
            </w:tcMar>
          </w:tcPr>
          <w:p>
            <w:pPr>
              <w:jc w:val="left"/>
            </w:pPr>
            <w:r>
              <w:rPr>
                <w:b w:val="false"/>
                <w:bCs w:val="false"/>
                <w:sz w:val="18"/>
                <w:szCs w:val="18"/>
              </w:rPr>
              <w:t xml:space="preserve">Reproducible (Section 2)</w:t>
            </w:r>
          </w:p>
        </w:tc>
        <w:tc>
          <w:tcPr>
            <w:tcW w:type="dxa" w:w="2300"/>
            <w:shd w:fill="F2F2F2" w:val="clear"/>
            <w:tcMar>
              <w:top w:type="dxa" w:w="60"/>
              <w:left w:type="dxa" w:w="100"/>
              <w:bottom w:type="dxa" w:w="60"/>
              <w:right w:type="dxa" w:w="100"/>
            </w:tcMar>
          </w:tcPr>
          <w:p>
            <w:pPr>
              <w:jc w:val="left"/>
            </w:pPr>
            <w:r>
              <w:rPr>
                <w:b w:val="false"/>
                <w:bCs w:val="false"/>
                <w:sz w:val="18"/>
                <w:szCs w:val="18"/>
              </w:rPr>
              <w:t xml:space="preserve">None within tolerance</w:t>
            </w:r>
          </w:p>
        </w:tc>
        <w:tc>
          <w:tcPr>
            <w:tcW w:type="dxa" w:w="1900"/>
            <w:shd w:fill="F2F2F2" w:val="clear"/>
            <w:tcMar>
              <w:top w:type="dxa" w:w="60"/>
              <w:left w:type="dxa" w:w="100"/>
              <w:bottom w:type="dxa" w:w="60"/>
              <w:right w:type="dxa" w:w="100"/>
            </w:tcMar>
          </w:tcPr>
          <w:p>
            <w:pPr>
              <w:jc w:val="left"/>
            </w:pPr>
            <w:r>
              <w:rPr>
                <w:b w:val="false"/>
                <w:bCs w:val="false"/>
                <w:sz w:val="18"/>
                <w:szCs w:val="18"/>
              </w:rPr>
              <w:t xml:space="preserve">Not testable</w:t>
            </w:r>
          </w:p>
        </w:tc>
        <w:tc>
          <w:tcPr>
            <w:tcW w:type="dxa" w:w="1440"/>
            <w:shd w:fill="F2F2F2" w:val="clear"/>
            <w:tcMar>
              <w:top w:type="dxa" w:w="60"/>
              <w:left w:type="dxa" w:w="100"/>
              <w:bottom w:type="dxa" w:w="60"/>
              <w:right w:type="dxa" w:w="100"/>
            </w:tcMar>
          </w:tcPr>
          <w:p>
            <w:pPr>
              <w:jc w:val="left"/>
            </w:pPr>
            <w:r>
              <w:rPr>
                <w:b w:val="false"/>
                <w:bCs w:val="false"/>
                <w:sz w:val="18"/>
                <w:szCs w:val="18"/>
              </w:rPr>
              <w:t xml:space="preserve">STRONG CANDIDATE</w:t>
            </w:r>
          </w:p>
        </w:tc>
      </w:tr>
      <w:tr>
        <w:tc>
          <w:tcPr>
            <w:tcW w:type="dxa" w:w="1150"/>
            <w:tcMar>
              <w:top w:type="dxa" w:w="60"/>
              <w:left w:type="dxa" w:w="100"/>
              <w:bottom w:type="dxa" w:w="60"/>
              <w:right w:type="dxa" w:w="100"/>
            </w:tcMar>
          </w:tcPr>
          <w:p>
            <w:pPr>
              <w:jc w:val="left"/>
            </w:pPr>
            <w:r>
              <w:rPr>
                <w:b w:val="false"/>
                <w:bCs w:val="false"/>
                <w:sz w:val="18"/>
                <w:szCs w:val="18"/>
              </w:rPr>
              <w:t xml:space="preserve">1184.6</w:t>
            </w:r>
          </w:p>
        </w:tc>
        <w:tc>
          <w:tcPr>
            <w:tcW w:type="dxa" w:w="1750"/>
            <w:tcMar>
              <w:top w:type="dxa" w:w="60"/>
              <w:left w:type="dxa" w:w="100"/>
              <w:bottom w:type="dxa" w:w="60"/>
              <w:right w:type="dxa" w:w="100"/>
            </w:tcMar>
          </w:tcPr>
          <w:p>
            <w:pPr>
              <w:jc w:val="left"/>
            </w:pPr>
            <w:r>
              <w:rPr>
                <w:b w:val="false"/>
                <w:bCs w:val="false"/>
                <w:sz w:val="18"/>
                <w:szCs w:val="18"/>
              </w:rPr>
              <w:t xml:space="preserve">Yes (Δ=5.7 cm⁻¹)</w:t>
            </w:r>
          </w:p>
        </w:tc>
        <w:tc>
          <w:tcPr>
            <w:tcW w:type="dxa" w:w="1900"/>
            <w:tcMar>
              <w:top w:type="dxa" w:w="60"/>
              <w:left w:type="dxa" w:w="100"/>
              <w:bottom w:type="dxa" w:w="60"/>
              <w:right w:type="dxa" w:w="100"/>
            </w:tcMar>
          </w:tcPr>
          <w:p>
            <w:pPr>
              <w:jc w:val="left"/>
            </w:pPr>
            <w:r>
              <w:rPr>
                <w:b w:val="false"/>
                <w:bCs w:val="false"/>
                <w:sz w:val="18"/>
                <w:szCs w:val="18"/>
              </w:rPr>
              <w:t xml:space="preserve">Reproducible (Section 2)</w:t>
            </w:r>
          </w:p>
        </w:tc>
        <w:tc>
          <w:tcPr>
            <w:tcW w:type="dxa" w:w="2300"/>
            <w:tcMar>
              <w:top w:type="dxa" w:w="60"/>
              <w:left w:type="dxa" w:w="100"/>
              <w:bottom w:type="dxa" w:w="60"/>
              <w:right w:type="dxa" w:w="100"/>
            </w:tcMar>
          </w:tcPr>
          <w:p>
            <w:pPr>
              <w:jc w:val="left"/>
            </w:pPr>
            <w:r>
              <w:rPr>
                <w:b w:val="false"/>
                <w:bCs w:val="false"/>
                <w:sz w:val="18"/>
                <w:szCs w:val="18"/>
              </w:rPr>
              <w:t xml:space="preserve">None within tolerance</w:t>
            </w:r>
          </w:p>
        </w:tc>
        <w:tc>
          <w:tcPr>
            <w:tcW w:type="dxa" w:w="1900"/>
            <w:tcMar>
              <w:top w:type="dxa" w:w="60"/>
              <w:left w:type="dxa" w:w="100"/>
              <w:bottom w:type="dxa" w:w="60"/>
              <w:right w:type="dxa" w:w="100"/>
            </w:tcMar>
          </w:tcPr>
          <w:p>
            <w:pPr>
              <w:jc w:val="left"/>
            </w:pPr>
            <w:r>
              <w:rPr>
                <w:b w:val="false"/>
                <w:bCs w:val="false"/>
                <w:sz w:val="18"/>
                <w:szCs w:val="18"/>
              </w:rPr>
              <w:t xml:space="preserve">Not testable</w:t>
            </w:r>
          </w:p>
        </w:tc>
        <w:tc>
          <w:tcPr>
            <w:tcW w:type="dxa" w:w="1440"/>
            <w:tcMar>
              <w:top w:type="dxa" w:w="60"/>
              <w:left w:type="dxa" w:w="100"/>
              <w:bottom w:type="dxa" w:w="60"/>
              <w:right w:type="dxa" w:w="100"/>
            </w:tcMar>
          </w:tcPr>
          <w:p>
            <w:pPr>
              <w:jc w:val="left"/>
            </w:pPr>
            <w:r>
              <w:rPr>
                <w:b w:val="false"/>
                <w:bCs w:val="false"/>
                <w:sz w:val="18"/>
                <w:szCs w:val="18"/>
              </w:rPr>
              <w:t xml:space="preserve">UNCONFIRMED</w:t>
            </w:r>
          </w:p>
        </w:tc>
      </w:tr>
      <w:tr>
        <w:tc>
          <w:tcPr>
            <w:tcW w:type="dxa" w:w="1150"/>
            <w:shd w:fill="F2F2F2" w:val="clear"/>
            <w:tcMar>
              <w:top w:type="dxa" w:w="60"/>
              <w:left w:type="dxa" w:w="100"/>
              <w:bottom w:type="dxa" w:w="60"/>
              <w:right w:type="dxa" w:w="100"/>
            </w:tcMar>
          </w:tcPr>
          <w:p>
            <w:pPr>
              <w:jc w:val="left"/>
            </w:pPr>
            <w:r>
              <w:rPr>
                <w:b w:val="false"/>
                <w:bCs w:val="false"/>
                <w:sz w:val="18"/>
                <w:szCs w:val="18"/>
              </w:rPr>
              <w:t xml:space="preserve">1602.4</w:t>
            </w:r>
          </w:p>
        </w:tc>
        <w:tc>
          <w:tcPr>
            <w:tcW w:type="dxa" w:w="1750"/>
            <w:shd w:fill="F2F2F2" w:val="clear"/>
            <w:tcMar>
              <w:top w:type="dxa" w:w="60"/>
              <w:left w:type="dxa" w:w="100"/>
              <w:bottom w:type="dxa" w:w="60"/>
              <w:right w:type="dxa" w:w="100"/>
            </w:tcMar>
          </w:tcPr>
          <w:p>
            <w:pPr>
              <w:jc w:val="left"/>
            </w:pPr>
            <w:r>
              <w:rPr>
                <w:b w:val="false"/>
                <w:bCs w:val="false"/>
                <w:sz w:val="18"/>
                <w:szCs w:val="18"/>
              </w:rPr>
              <w:t xml:space="preserve">Yes (Δ=2.7 cm⁻¹)</w:t>
            </w:r>
          </w:p>
        </w:tc>
        <w:tc>
          <w:tcPr>
            <w:tcW w:type="dxa" w:w="1900"/>
            <w:shd w:fill="F2F2F2" w:val="clear"/>
            <w:tcMar>
              <w:top w:type="dxa" w:w="60"/>
              <w:left w:type="dxa" w:w="100"/>
              <w:bottom w:type="dxa" w:w="60"/>
              <w:right w:type="dxa" w:w="100"/>
            </w:tcMar>
          </w:tcPr>
          <w:p>
            <w:pPr>
              <w:jc w:val="left"/>
            </w:pPr>
            <w:r>
              <w:rPr>
                <w:b w:val="false"/>
                <w:bCs w:val="false"/>
                <w:sz w:val="18"/>
                <w:szCs w:val="18"/>
              </w:rPr>
              <w:t xml:space="preserve">Reproducible (Section 2)</w:t>
            </w:r>
          </w:p>
        </w:tc>
        <w:tc>
          <w:tcPr>
            <w:tcW w:type="dxa" w:w="2300"/>
            <w:shd w:fill="F2F2F2" w:val="clear"/>
            <w:tcMar>
              <w:top w:type="dxa" w:w="60"/>
              <w:left w:type="dxa" w:w="100"/>
              <w:bottom w:type="dxa" w:w="60"/>
              <w:right w:type="dxa" w:w="100"/>
            </w:tcMar>
          </w:tcPr>
          <w:p>
            <w:pPr>
              <w:jc w:val="left"/>
            </w:pPr>
            <w:r>
              <w:rPr>
                <w:b w:val="false"/>
                <w:bCs w:val="false"/>
                <w:sz w:val="18"/>
                <w:szCs w:val="18"/>
              </w:rPr>
              <w:t xml:space="preserve">Peak at 1602.7 cm⁻¹ (Δ=0.3)</w:t>
            </w:r>
          </w:p>
        </w:tc>
        <w:tc>
          <w:tcPr>
            <w:tcW w:type="dxa" w:w="1900"/>
            <w:shd w:fill="F2F2F2" w:val="clear"/>
            <w:tcMar>
              <w:top w:type="dxa" w:w="60"/>
              <w:left w:type="dxa" w:w="100"/>
              <w:bottom w:type="dxa" w:w="60"/>
              <w:right w:type="dxa" w:w="100"/>
            </w:tcMar>
          </w:tcPr>
          <w:p>
            <w:pPr>
              <w:jc w:val="left"/>
            </w:pPr>
            <w:r>
              <w:rPr>
                <w:b w:val="false"/>
                <w:bCs w:val="false"/>
                <w:sz w:val="18"/>
                <w:szCs w:val="18"/>
              </w:rPr>
              <w:t xml:space="preserve">Present in blank</w:t>
            </w:r>
          </w:p>
        </w:tc>
        <w:tc>
          <w:tcPr>
            <w:tcW w:type="dxa" w:w="1440"/>
            <w:shd w:fill="F2F2F2" w:val="clear"/>
            <w:tcMar>
              <w:top w:type="dxa" w:w="60"/>
              <w:left w:type="dxa" w:w="100"/>
              <w:bottom w:type="dxa" w:w="60"/>
              <w:right w:type="dxa" w:w="100"/>
            </w:tcMar>
          </w:tcPr>
          <w:p>
            <w:pPr>
              <w:jc w:val="left"/>
            </w:pPr>
            <w:r>
              <w:rPr>
                <w:b w:val="false"/>
                <w:bCs w:val="false"/>
                <w:sz w:val="18"/>
                <w:szCs w:val="18"/>
              </w:rPr>
              <w:t xml:space="preserve">SUBSTRATE ARTIFACT</w:t>
            </w:r>
          </w:p>
        </w:tc>
      </w:tr>
      <w:tr>
        <w:tc>
          <w:tcPr>
            <w:tcW w:type="dxa" w:w="1150"/>
            <w:tcMar>
              <w:top w:type="dxa" w:w="60"/>
              <w:left w:type="dxa" w:w="100"/>
              <w:bottom w:type="dxa" w:w="60"/>
              <w:right w:type="dxa" w:w="100"/>
            </w:tcMar>
          </w:tcPr>
          <w:p>
            <w:pPr>
              <w:jc w:val="left"/>
            </w:pPr>
            <w:r>
              <w:rPr>
                <w:b w:val="false"/>
                <w:bCs w:val="false"/>
                <w:sz w:val="18"/>
                <w:szCs w:val="18"/>
              </w:rPr>
              <w:t xml:space="preserve">1784.2</w:t>
            </w:r>
          </w:p>
        </w:tc>
        <w:tc>
          <w:tcPr>
            <w:tcW w:type="dxa" w:w="1750"/>
            <w:tcMar>
              <w:top w:type="dxa" w:w="60"/>
              <w:left w:type="dxa" w:w="100"/>
              <w:bottom w:type="dxa" w:w="60"/>
              <w:right w:type="dxa" w:w="100"/>
            </w:tcMar>
          </w:tcPr>
          <w:p>
            <w:pPr>
              <w:jc w:val="left"/>
            </w:pPr>
            <w:r>
              <w:rPr>
                <w:b w:val="false"/>
                <w:bCs w:val="false"/>
                <w:sz w:val="18"/>
                <w:szCs w:val="18"/>
              </w:rPr>
              <w:t xml:space="preserve">No</w:t>
            </w:r>
          </w:p>
        </w:tc>
        <w:tc>
          <w:tcPr>
            <w:tcW w:type="dxa" w:w="1900"/>
            <w:tcMar>
              <w:top w:type="dxa" w:w="60"/>
              <w:left w:type="dxa" w:w="100"/>
              <w:bottom w:type="dxa" w:w="60"/>
              <w:right w:type="dxa" w:w="100"/>
            </w:tcMar>
          </w:tcPr>
          <w:p>
            <w:pPr>
              <w:jc w:val="left"/>
            </w:pPr>
            <w:r>
              <w:rPr>
                <w:b w:val="false"/>
                <w:bCs w:val="false"/>
                <w:sz w:val="18"/>
                <w:szCs w:val="18"/>
              </w:rPr>
              <w:t xml:space="preserve">Reproducible (Section 2)</w:t>
            </w:r>
          </w:p>
        </w:tc>
        <w:tc>
          <w:tcPr>
            <w:tcW w:type="dxa" w:w="2300"/>
            <w:tcMar>
              <w:top w:type="dxa" w:w="60"/>
              <w:left w:type="dxa" w:w="100"/>
              <w:bottom w:type="dxa" w:w="60"/>
              <w:right w:type="dxa" w:w="100"/>
            </w:tcMar>
          </w:tcPr>
          <w:p>
            <w:pPr>
              <w:jc w:val="left"/>
            </w:pPr>
            <w:r>
              <w:rPr>
                <w:b w:val="false"/>
                <w:bCs w:val="false"/>
                <w:sz w:val="18"/>
                <w:szCs w:val="18"/>
              </w:rPr>
              <w:t xml:space="preserve">None within tolerance</w:t>
            </w:r>
          </w:p>
        </w:tc>
        <w:tc>
          <w:tcPr>
            <w:tcW w:type="dxa" w:w="1900"/>
            <w:tcMar>
              <w:top w:type="dxa" w:w="60"/>
              <w:left w:type="dxa" w:w="100"/>
              <w:bottom w:type="dxa" w:w="60"/>
              <w:right w:type="dxa" w:w="100"/>
            </w:tcMar>
          </w:tcPr>
          <w:p>
            <w:pPr>
              <w:jc w:val="left"/>
            </w:pPr>
            <w:r>
              <w:rPr>
                <w:b w:val="false"/>
                <w:bCs w:val="false"/>
                <w:sz w:val="18"/>
                <w:szCs w:val="18"/>
              </w:rPr>
              <w:t xml:space="preserve">Not testable</w:t>
            </w:r>
          </w:p>
        </w:tc>
        <w:tc>
          <w:tcPr>
            <w:tcW w:type="dxa" w:w="1440"/>
            <w:tcMar>
              <w:top w:type="dxa" w:w="60"/>
              <w:left w:type="dxa" w:w="100"/>
              <w:bottom w:type="dxa" w:w="60"/>
              <w:right w:type="dxa" w:w="100"/>
            </w:tcMar>
          </w:tcPr>
          <w:p>
            <w:pPr>
              <w:jc w:val="left"/>
            </w:pPr>
            <w:r>
              <w:rPr>
                <w:b w:val="false"/>
                <w:bCs w:val="false"/>
                <w:sz w:val="18"/>
                <w:szCs w:val="18"/>
              </w:rPr>
              <w:t xml:space="preserve">NOT DETECTED</w:t>
            </w:r>
          </w:p>
        </w:tc>
      </w:tr>
    </w:tbl>
    <w:p>
      <w:pPr>
        <w:spacing w:after="120"/>
      </w:pPr>
      <w:r>
        <w:rPr>
          <w:b/>
          <w:bCs/>
        </w:rPr>
        <w:t xml:space="preserve">Tally: CONFIRMED = 0, STRONG CANDIDATE = 1, UNCONFIRMED = 4, SUBSTRATE ARTIFACT = 1, NOT DETECTED = 1.</w:t>
      </w:r>
    </w:p>
    <w:p>
      <w:pPr>
        <w:pBdr>
          <w:left w:val="single" w:color="C0504D" w:sz="18" w:space="8"/>
        </w:pBdr>
        <w:spacing w:after="200" w:before="120"/>
        <w:ind w:left="200"/>
      </w:pPr>
      <w:r>
        <w:rPr>
          <w:i/>
          <w:iCs/>
        </w:rPr>
        <w:t xml:space="preserve">No band is classified CONFIRMED. 1093.2 cm⁻¹ is the only STRONG CANDIDATE (DFT + powder + literature converge, but no SERS peak exists within tolerance at this position). 1602.4 cm⁻¹ is classified SUBSTRATE ARTIFACT because its close SERS/powder overlap is explained by an identical blank-substrate peak (Δ=0.3 cm⁻¹) — it must not be read as an LTA detection.</w:t>
      </w:r>
    </w:p>
    <w:p>
      <w:r>
        <w:br w:type="page"/>
      </w:r>
    </w:p>
    <w:p>
      <w:pPr>
        <w:pStyle w:val="Heading1"/>
        <w:spacing w:after="160" w:before="360"/>
      </w:pPr>
      <w:r>
        <w:t xml:space="preserve">8. Key Result</w:t>
      </w:r>
    </w:p>
    <w:p>
      <w:pPr>
        <w:spacing w:after="120" w:before="120"/>
        <w:jc w:val="center"/>
      </w:pPr>
      <w:r>
        <w:drawing>
          <wp:inline distT="0" distB="0" distL="0" distR="0">
            <wp:extent cx="53340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819525"/>
                    </a:xfrm>
                    <a:prstGeom prst="rect">
                      <a:avLst/>
                    </a:prstGeom>
                  </pic:spPr>
                </pic:pic>
              </a:graphicData>
            </a:graphic>
          </wp:inline>
        </w:drawing>
      </w:r>
    </w:p>
    <w:p>
      <w:pPr>
        <w:spacing w:after="240"/>
        <w:jc w:val="center"/>
      </w:pPr>
      <w:r>
        <w:rPr>
          <w:i/>
          <w:iCs/>
          <w:sz w:val="18"/>
          <w:szCs w:val="18"/>
        </w:rPr>
        <w:t xml:space="preserve">Figure 7. Evidence chain for the 1093.2 cm⁻¹ band, the strongest currently supported LTA reference band.</w:t>
      </w:r>
    </w:p>
    <w:p>
      <w:pPr>
        <w:pBdr>
          <w:top w:val="single" w:color="EAF6EC" w:sz="2"/>
          <w:bottom w:val="single" w:color="EAF6EC" w:sz="2"/>
          <w:left w:val="single" w:color="1B7837" w:sz="24" w:space="8"/>
          <w:right w:val="single" w:color="EAF6EC" w:sz="2"/>
        </w:pBdr>
        <w:shd w:fill="EAF6EC" w:val="clear"/>
        <w:spacing w:after="200" w:before="120"/>
        <w:ind w:left="200"/>
      </w:pPr>
      <w:r>
        <w:t xml:space="preserve">The strongest current LTA reference band is 1093.2 cm⁻¹ because it is reproducibly observed in the powder Raman experiment, is consistent with the available fragment-level DFT calculation, and lies within the literature-reported phosphodiester PO₂⁻ stretching region. However, a validated LTA-specific SERS signal has not yet been established.</w:t>
      </w:r>
    </w:p>
    <w:p>
      <w:r>
        <w:br w:type="page"/>
      </w:r>
    </w:p>
    <w:p>
      <w:pPr>
        <w:pStyle w:val="Heading1"/>
        <w:spacing w:after="160" w:before="360"/>
      </w:pPr>
      <w:r>
        <w:t xml:space="preserve">9. Limitations</w:t>
      </w:r>
    </w:p>
    <w:p>
      <w:pPr>
        <w:pStyle w:val="ListParagraph"/>
        <w:numPr>
          <w:ilvl w:val="0"/>
          <w:numId w:val="1"/>
        </w:numPr>
        <w:spacing w:after="80"/>
      </w:pPr>
      <w:r>
        <w:t xml:space="preserve">An intact LTA DFT model is not available; only three isolated building-block fragments were successfully calculated, and agreement with experiment reflects consistency with LTA's chemical components, not confirmation of the assembled polymer.</w:t>
      </w:r>
    </w:p>
    <w:p>
      <w:pPr>
        <w:pStyle w:val="ListParagraph"/>
        <w:numPr>
          <w:ilvl w:val="0"/>
          <w:numId w:val="1"/>
        </w:numPr>
        <w:spacing w:after="80"/>
      </w:pPr>
      <w:r>
        <w:t xml:space="preserve">The available DFT outputs are interpolated/broadened curves rather than complete discrete vibrational-mode lists, so DFT peak positions used here are local maxima of those curves, not raw calculated mode frequencies with symmetry labels.</w:t>
      </w:r>
    </w:p>
    <w:p>
      <w:pPr>
        <w:pStyle w:val="ListParagraph"/>
        <w:numPr>
          <w:ilvl w:val="0"/>
          <w:numId w:val="1"/>
        </w:numPr>
        <w:spacing w:after="80"/>
      </w:pPr>
      <w:r>
        <w:t xml:space="preserve">Literature sample identity (purified LTA vs. whole bacterial cells) is not always clear in the project's own reference documentation and was not independently re-verified against original sources within this review.</w:t>
      </w:r>
    </w:p>
    <w:p>
      <w:pPr>
        <w:pStyle w:val="ListParagraph"/>
        <w:numPr>
          <w:ilvl w:val="0"/>
          <w:numId w:val="1"/>
        </w:numPr>
        <w:spacing w:after="80"/>
      </w:pPr>
      <w:r>
        <w:t xml:space="preserve">SERS candidate peaks not overlapping the blank (9 of 15) require pixel-level validation before any can be called a genuine LTA signal — this project has already found one such artifact in this same dataset.</w:t>
      </w:r>
    </w:p>
    <w:p>
      <w:pPr>
        <w:pStyle w:val="ListParagraph"/>
        <w:numPr>
          <w:ilvl w:val="0"/>
          <w:numId w:val="1"/>
        </w:numPr>
        <w:spacing w:after="80"/>
      </w:pPr>
      <w:r>
        <w:t xml:space="preserve">Blank-substrate interference is real and material: at least 6 of 15 candidate SERS peaks, including the previously-claimed 1602 cm⁻¹ feature, are explained by the substrate rather than by LTA.</w:t>
      </w:r>
    </w:p>
    <w:p>
      <w:pPr>
        <w:pStyle w:val="ListParagraph"/>
        <w:numPr>
          <w:ilvl w:val="0"/>
          <w:numId w:val="1"/>
        </w:numPr>
        <w:spacing w:after="80"/>
      </w:pPr>
      <w:r>
        <w:t xml:space="preserve">No confirmed three-way (DFT + powder + SERS) match currently exists for any band.</w:t>
      </w:r>
    </w:p>
    <w:p>
      <w:r>
        <w:br w:type="page"/>
      </w:r>
    </w:p>
    <w:p>
      <w:pPr>
        <w:pStyle w:val="Heading1"/>
        <w:spacing w:after="160" w:before="360"/>
      </w:pPr>
      <w:r>
        <w:t xml:space="preserve">10. Next Experiment</w:t>
      </w:r>
    </w:p>
    <w:p>
      <w:pPr>
        <w:pStyle w:val="ListParagraph"/>
        <w:numPr>
          <w:ilvl w:val="0"/>
          <w:numId w:val="1"/>
        </w:numPr>
        <w:spacing w:after="80"/>
      </w:pPr>
      <w:r>
        <w:t xml:space="preserve">Use 1093 cm⁻¹ as the primary SERS target, given its convergent powder/DFT/literature support.</w:t>
      </w:r>
    </w:p>
    <w:p>
      <w:pPr>
        <w:pStyle w:val="ListParagraph"/>
        <w:numPr>
          <w:ilvl w:val="0"/>
          <w:numId w:val="1"/>
        </w:numPr>
        <w:spacing w:after="80"/>
      </w:pPr>
      <w:r>
        <w:t xml:space="preserve">Also monitor the other reproducible powder Raman bands (620.1, 999.9, 1184.6, 1602.4 cm⁻¹) rather than focusing exclusively on one band.</w:t>
      </w:r>
    </w:p>
    <w:p>
      <w:pPr>
        <w:pStyle w:val="ListParagraph"/>
        <w:numPr>
          <w:ilvl w:val="0"/>
          <w:numId w:val="1"/>
        </w:numPr>
        <w:spacing w:after="80"/>
      </w:pPr>
      <w:r>
        <w:t xml:space="preserve">Acquire multiple independent LTA SERS measurements (new sample preparation, new substrate batch).</w:t>
      </w:r>
    </w:p>
    <w:p>
      <w:pPr>
        <w:pStyle w:val="ListParagraph"/>
        <w:numPr>
          <w:ilvl w:val="0"/>
          <w:numId w:val="1"/>
        </w:numPr>
        <w:spacing w:after="80"/>
      </w:pPr>
      <w:r>
        <w:t xml:space="preserve">Acquire matched blank-substrate measurements under identical conditions for every new SERS batch.</w:t>
      </w:r>
    </w:p>
    <w:p>
      <w:pPr>
        <w:pStyle w:val="ListParagraph"/>
        <w:numPr>
          <w:ilvl w:val="0"/>
          <w:numId w:val="1"/>
        </w:numPr>
        <w:spacing w:after="80"/>
      </w:pPr>
      <w:r>
        <w:t xml:space="preserve">Perform pixel-level / spot-level reproducibility analysis on any candidate SERS peak before reporting it as positive.</w:t>
      </w:r>
    </w:p>
    <w:p>
      <w:pPr>
        <w:pStyle w:val="ListParagraph"/>
        <w:numPr>
          <w:ilvl w:val="0"/>
          <w:numId w:val="1"/>
        </w:numPr>
        <w:spacing w:after="80"/>
      </w:pPr>
      <w:r>
        <w:t xml:space="preserve">Compare SERS peaks against powder Raman, DFT, and literature simultaneously, not against any single source alone.</w:t>
      </w:r>
    </w:p>
    <w:p>
      <w:pPr>
        <w:pStyle w:val="ListParagraph"/>
        <w:numPr>
          <w:ilvl w:val="0"/>
          <w:numId w:val="1"/>
        </w:numPr>
        <w:spacing w:after="80"/>
      </w:pPr>
      <w:r>
        <w:t xml:space="preserve">Only call a band LTA-associated after it survives blank-substrate control and reproducibility testing across independent measurements.</w:t>
      </w:r>
    </w:p>
    <w:p>
      <w:r>
        <w:br w:type="page"/>
      </w:r>
    </w:p>
    <w:p>
      <w:pPr>
        <w:pStyle w:val="Heading1"/>
        <w:spacing w:after="160" w:before="360"/>
      </w:pPr>
      <w:r>
        <w:t xml:space="preserve">What I Can Confidently Tell Sir</w:t>
      </w:r>
    </w:p>
    <w:p>
      <w:pPr>
        <w:pStyle w:val="ListParagraph"/>
        <w:numPr>
          <w:ilvl w:val="0"/>
          <w:numId w:val="1"/>
        </w:numPr>
        <w:spacing w:after="80"/>
      </w:pPr>
      <w:r>
        <w:t xml:space="preserve">LTA powder Raman data are real, available, and reproducible in peak position across 12 independent measurement spots (7 characteristic bands, position std dev ≤ 1.95 cm⁻¹).</w:t>
      </w:r>
    </w:p>
    <w:p>
      <w:pPr>
        <w:pStyle w:val="ListParagraph"/>
        <w:numPr>
          <w:ilvl w:val="0"/>
          <w:numId w:val="1"/>
        </w:numPr>
        <w:spacing w:after="80"/>
      </w:pPr>
      <w:r>
        <w:t xml:space="preserve">Three LTA building-block fragments have been successfully modeled by DFT, and 5 of the 7 experimental bands show qualitative positional consistency with fragment features (MAE 7.2 cm⁻¹).</w:t>
      </w:r>
    </w:p>
    <w:p>
      <w:pPr>
        <w:pStyle w:val="ListParagraph"/>
        <w:numPr>
          <w:ilvl w:val="0"/>
          <w:numId w:val="1"/>
        </w:numPr>
        <w:spacing w:after="80"/>
      </w:pPr>
      <w:r>
        <w:t xml:space="preserve">1093.2 cm⁻¹ is a genuinely convergent band: reproducible experimentally, DFT-consistent, and inside the literature-reported phosphodiester region — this is the project's best current LTA Raman candidate.</w:t>
      </w:r>
    </w:p>
    <w:p>
      <w:pPr>
        <w:pStyle w:val="ListParagraph"/>
        <w:numPr>
          <w:ilvl w:val="0"/>
          <w:numId w:val="1"/>
        </w:numPr>
        <w:spacing w:after="80"/>
      </w:pPr>
      <w:r>
        <w:t xml:space="preserve">15 candidate SERS spectra and 27 matched blank spectra exist, and the blank-control analysis is already distinguishing likely substrate features from unvalidated candidates.</w:t>
      </w:r>
    </w:p>
    <w:p>
      <w:pPr>
        <w:pStyle w:val="ListParagraph"/>
        <w:numPr>
          <w:ilvl w:val="0"/>
          <w:numId w:val="1"/>
        </w:numPr>
        <w:spacing w:after="80"/>
      </w:pPr>
      <w:r>
        <w:t xml:space="preserve">The earlier 1602 cm⁻¹ SERS claim has been correctly identified as a substrate artifact, not an LTA detection — this project's own quality control is working as intended.</w:t>
      </w:r>
    </w:p>
    <w:p>
      <w:r>
        <w:br w:type="page"/>
      </w:r>
    </w:p>
    <w:p>
      <w:pPr>
        <w:pStyle w:val="Heading1"/>
        <w:spacing w:after="160" w:before="360"/>
      </w:pPr>
      <w:r>
        <w:t xml:space="preserve">What Still Needs to Be Done</w:t>
      </w:r>
    </w:p>
    <w:p>
      <w:pPr>
        <w:pStyle w:val="ListParagraph"/>
        <w:numPr>
          <w:ilvl w:val="0"/>
          <w:numId w:val="1"/>
        </w:numPr>
        <w:spacing w:after="80"/>
      </w:pPr>
      <w:r>
        <w:t xml:space="preserve">An intact-molecule (or larger, explicitly linked-fragment) LTA DFT calculation, since the current fragment-only comparison cannot move past isolated-monomer limitations.</w:t>
      </w:r>
    </w:p>
    <w:p>
      <w:pPr>
        <w:pStyle w:val="ListParagraph"/>
        <w:numPr>
          <w:ilvl w:val="0"/>
          <w:numId w:val="1"/>
        </w:numPr>
        <w:spacing w:after="80"/>
      </w:pPr>
      <w:r>
        <w:t xml:space="preserve">A second, independent powder-Raman replicate set to test whether the two DFT-unmatched bands (794.5, 1784.2 cm⁻¹) reproduce outside the single dataset analyzed here.</w:t>
      </w:r>
    </w:p>
    <w:p>
      <w:pPr>
        <w:pStyle w:val="ListParagraph"/>
        <w:numPr>
          <w:ilvl w:val="0"/>
          <w:numId w:val="1"/>
        </w:numPr>
        <w:spacing w:after="80"/>
      </w:pPr>
      <w:r>
        <w:t xml:space="preserve">Pixel-level validation of the 9 non-blank candidate SERS peaks before any is presented as an LTA signal.</w:t>
      </w:r>
    </w:p>
    <w:p>
      <w:pPr>
        <w:pStyle w:val="ListParagraph"/>
        <w:numPr>
          <w:ilvl w:val="0"/>
          <w:numId w:val="1"/>
        </w:numPr>
        <w:spacing w:after="80"/>
      </w:pPr>
      <w:r>
        <w:t xml:space="preserve">Additional independent SERS replicates focused specifically on the 1080–1095 cm⁻¹ region, since it is the strongest convergence point and the most worthwhile SERS target.</w:t>
      </w:r>
    </w:p>
    <w:p>
      <w:pPr>
        <w:pStyle w:val="ListParagraph"/>
        <w:numPr>
          <w:ilvl w:val="0"/>
          <w:numId w:val="1"/>
        </w:numPr>
        <w:spacing w:after="80"/>
      </w:pPr>
      <w:r>
        <w:t xml:space="preserve">Source-level verification of the literature references cited for the phosphodiester band, to confirm whether they used purified LTA or whole bacterial cells.</w:t>
      </w:r>
    </w:p>
    <w:p>
      <w:pPr>
        <w:spacing w:after="120"/>
      </w:pPr>
      <w:r>
        <w:rPr>
          <w:b/>
          <w:bCs/>
        </w:rPr>
        <w:t xml:space="preserve">Bottom line: the project currently supports LTA identification by powder Raman + DFT fragment + literature convergence at one band (1093.2 cm⁻¹). Everything else is either unconfirmed, fragment-limited, or explained by the substrate blank. No claim beyond this should be presented as demonstrated.</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LTA Evidence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1a84c95eba463e0e43e4cc8bc19dbb8899359a1.png"/><Relationship Id="rId10" Type="http://schemas.openxmlformats.org/officeDocument/2006/relationships/image" Target="media/9f64ee49e440b3a889c1faf7fa6d663fc785b626.png"/><Relationship Id="rId11" Type="http://schemas.openxmlformats.org/officeDocument/2006/relationships/image" Target="media/47cc7b7152fb70eabe3190cf49eea0c186736ac8.png"/><Relationship Id="rId12" Type="http://schemas.openxmlformats.org/officeDocument/2006/relationships/image" Target="media/ceeeda11055961dc274d667229810700760d678c.png"/><Relationship Id="rId13" Type="http://schemas.openxmlformats.org/officeDocument/2006/relationships/image" Target="media/69c52892a33cb93d60be5c446eeb294868877949.png"/><Relationship Id="rId14" Type="http://schemas.openxmlformats.org/officeDocument/2006/relationships/image" Target="media/54ffd3a4f60ba5ced3592d1887d02228e7b70894.png"/><Relationship Id="rId15" Type="http://schemas.openxmlformats.org/officeDocument/2006/relationships/image" Target="media/b55234d2f60498e4c9d0349f85f5d45e9d5f500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2026-08-30T02:08:27.438Z</dcterms:created>
  <dcterms:modified xsi:type="dcterms:W3CDTF">2026-08-30T02:08:27.439Z</dcterms:modified>
</cp:coreProperties>
</file>

<file path=docProps/custom.xml><?xml version="1.0" encoding="utf-8"?>
<Properties xmlns="http://schemas.openxmlformats.org/officeDocument/2006/custom-properties" xmlns:vt="http://schemas.openxmlformats.org/officeDocument/2006/docPropsVTypes"/>
</file>