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52"/>
          <w:szCs w:val="52"/>
        </w:rPr>
        <w:t xml:space="preserve">LTA (Lipoteichoic Acid)</w:t>
      </w:r>
    </w:p>
    <w:p>
      <w:pPr>
        <w:spacing w:after="300"/>
        <w:jc w:val="center"/>
      </w:pPr>
      <w:r>
        <w:rPr>
          <w:b/>
          <w:bCs/>
          <w:sz w:val="40"/>
          <w:szCs w:val="40"/>
        </w:rPr>
        <w:t xml:space="preserve">Complete Evidence Assessment</w:t>
      </w:r>
    </w:p>
    <w:p>
      <w:pPr>
        <w:spacing w:after="600"/>
        <w:jc w:val="center"/>
      </w:pPr>
      <w:r>
        <w:rPr>
          <w:i/>
          <w:iCs/>
          <w:sz w:val="26"/>
          <w:szCs w:val="26"/>
        </w:rPr>
        <w:t xml:space="preserve">DFT Simulation vs. Powder Raman vs. SERS Candidate Data</w:t>
      </w:r>
    </w:p>
    <w:p>
      <w:pPr>
        <w:spacing w:after="120"/>
        <w:jc w:val="center"/>
      </w:pPr>
      <w:r>
        <w:rPr>
          <w:sz w:val="22"/>
          <w:szCs w:val="22"/>
        </w:rPr>
        <w:t xml:space="preserve">Source project folder: mtp  |  Prepared: 29 August 2026</w:t>
      </w:r>
    </w:p>
    <w:p>
      <w:pPr>
        <w:spacing w:before="400"/>
        <w:jc w:val="center"/>
      </w:pPr>
      <w:r>
        <w:rPr>
          <w:i/>
          <w:iCs/>
          <w:color w:val="595959"/>
          <w:sz w:val="20"/>
          <w:szCs w:val="20"/>
        </w:rPr>
        <w:t xml:space="preserve">Every figure, table and number in this report is derived directly from files in the project folder or computed programmatically from them. No literature values, peak assignments, or vibrational-mode labels have been invented.</w:t>
      </w:r>
    </w:p>
    <w:p>
      <w:r>
        <w:br w:type="page"/>
      </w:r>
    </w:p>
    <w:p>
      <w:pPr>
        <w:pStyle w:val="Heading1"/>
        <w:spacing w:after="160" w:before="360"/>
      </w:pPr>
      <w:r>
        <w:t xml:space="preserve">0. Scope, Method, and Ground Rules</w:t>
      </w:r>
    </w:p>
    <w:p>
      <w:pPr>
        <w:spacing w:after="120"/>
      </w:pPr>
      <w:r>
        <w:t xml:space="preserve">This report evaluates all identifiable Lipoteichoic Acid (LTA) evidence found in the connected project folder (referred to below as mtp) as of 29 August 2026: DFT-simulated Raman data, experimental powder Raman data, candidate SERS data, and supporting project documents.</w:t>
      </w:r>
    </w:p>
    <w:p>
      <w:pPr>
        <w:spacing w:after="120"/>
      </w:pPr>
      <w:r>
        <w:rPr>
          <w:b/>
          <w:bCs/>
        </w:rPr>
        <w:t xml:space="preserve">Rules followed throughout:</w:t>
      </w:r>
    </w:p>
    <w:p>
      <w:pPr>
        <w:pStyle w:val="ListParagraph"/>
        <w:numPr>
          <w:ilvl w:val="0"/>
          <w:numId w:val="1"/>
        </w:numPr>
        <w:spacing w:after="80"/>
      </w:pPr>
      <w:r>
        <w:t xml:space="preserve">No missing data was assumed, invented, or filled in. Every number quoted below is either read directly from a project file or computed by a script run against that file (scripts and intermediate JSON are retained alongside this report).</w:t>
      </w:r>
    </w:p>
    <w:p>
      <w:pPr>
        <w:pStyle w:val="ListParagraph"/>
        <w:numPr>
          <w:ilvl w:val="0"/>
          <w:numId w:val="1"/>
        </w:numPr>
        <w:spacing w:after="80"/>
      </w:pPr>
      <w:r>
        <w:t xml:space="preserve">The number of matches, reference bands, and confirmed peaks was not forced to any target count. Where the data support 5 matches, 5 are reported; where they support 0, that is reported.</w:t>
      </w:r>
    </w:p>
    <w:p>
      <w:pPr>
        <w:pStyle w:val="ListParagraph"/>
        <w:numPr>
          <w:ilvl w:val="0"/>
          <w:numId w:val="1"/>
        </w:numPr>
        <w:spacing w:after="80"/>
      </w:pPr>
      <w:r>
        <w:t xml:space="preserve">Interpolated / broadened simulated curves are explicitly distinguished from discrete DFT vibrational-mode lists (verified numerically below — see Section 3).</w:t>
      </w:r>
    </w:p>
    <w:p>
      <w:pPr>
        <w:pStyle w:val="ListParagraph"/>
        <w:numPr>
          <w:ilvl w:val="0"/>
          <w:numId w:val="1"/>
        </w:numPr>
        <w:spacing w:after="80"/>
      </w:pPr>
      <w:r>
        <w:t xml:space="preserve">No literature peak assignment is stated unless it is already present, attributed, in a project document. Where a document does not indicate whether a cited reference used purified LTA or whole bacterial cells, that ambiguity is reported, not resolved by assumption.</w:t>
      </w:r>
    </w:p>
    <w:p>
      <w:pPr>
        <w:pStyle w:val="ListParagraph"/>
        <w:numPr>
          <w:ilvl w:val="0"/>
          <w:numId w:val="1"/>
        </w:numPr>
        <w:spacing w:after="80"/>
      </w:pPr>
      <w:r>
        <w:t xml:space="preserve">Powder Raman is not described as SERS. Where SERS-labelled data exist, this is stated explicitly; where they do not, that is also stated explicitly.</w:t>
      </w:r>
    </w:p>
    <w:p>
      <w:pPr>
        <w:pBdr>
          <w:left w:val="single" w:color="C0504D" w:sz="18" w:space="8"/>
        </w:pBdr>
        <w:spacing w:after="200" w:before="120"/>
        <w:ind w:left="200"/>
      </w:pPr>
      <w:r>
        <w:rPr>
          <w:i/>
          <w:iCs/>
        </w:rPr>
        <w:t xml:space="preserve">Two project documents (Comprehensive_Research_Progress_Report_Sepsis_SERS_Aug2026.docx and NAM_paper_analysis/REPO_REVIEW.md) and two literature PDFs in the spectra/ folder were located but not mined for this report within the available time. This is disclosed as a limitation, not silently omitted.</w:t>
      </w:r>
    </w:p>
    <w:p>
      <w:pPr>
        <w:pStyle w:val="Heading1"/>
        <w:spacing w:after="160" w:before="360"/>
      </w:pPr>
      <w:r>
        <w:t xml:space="preserve">1. LTA Data Inventory</w:t>
      </w:r>
    </w:p>
    <w:p>
      <w:pPr>
        <w:spacing w:after="120"/>
      </w:pPr>
      <w:r>
        <w:t xml:space="preserve">All files in mtp that relate specifically to LTA (as opposed to NAM/MurNAc, LPS, or generic sensor-design material), organised by evidence type.</w:t>
      </w:r>
    </w:p>
    <w:p>
      <w:pPr>
        <w:pStyle w:val="Heading2"/>
        <w:spacing w:after="120" w:before="240"/>
      </w:pPr>
      <w:r>
        <w:t xml:space="preserve">1.1 DFT simulation data</w:t>
      </w:r>
    </w:p>
    <w:p>
      <w:pPr>
        <w:pStyle w:val="ListParagraph"/>
        <w:numPr>
          <w:ilvl w:val="0"/>
          <w:numId w:val="1"/>
        </w:numPr>
        <w:spacing w:after="80"/>
      </w:pPr>
      <w:r>
        <w:t xml:space="preserve">Three fragment-level DFT Raman calculations (B3LYP/6-31G(d), Gaussian 09, scaling factor ×0.96): glycerol-phosphate.xlsx, D-Alanine-opt_raman_act.xlsx, N-ACETYL-D-GLUCOSAMINE-OPT_raman_act.xlsx (LTA-simulation-main/). Each file is a broadened, uniformly-spaced curve (8-9 cm⁻¹ step), not a discrete list of vibrational modes — confirmed numerically in Section 3.</w:t>
      </w:r>
    </w:p>
    <w:p>
      <w:pPr>
        <w:pStyle w:val="ListParagraph"/>
        <w:numPr>
          <w:ilvl w:val="0"/>
          <w:numId w:val="1"/>
        </w:numPr>
        <w:spacing w:after="80"/>
      </w:pPr>
      <w:r>
        <w:t xml:space="preserve">One whole-molecule LTA DFT attempt: 20-04/molecules/LTA Final/LTA.LOG (Gaussian 09, Charge = 0, Multiplicity = 1). The job terminated with error "Error termination via Lnk1e in C:\G09W\l202.exe" before any frequency/Raman-activity block was written. Zero matches for "raman activ", "frequencies --", or "imaginary" in the log. The whole-molecule calculation therefore produced no usable vibrational data — all DFT comparisons in this report are necessarily fragment-only.</w:t>
      </w:r>
    </w:p>
    <w:p>
      <w:pPr>
        <w:pStyle w:val="ListParagraph"/>
        <w:numPr>
          <w:ilvl w:val="0"/>
          <w:numId w:val="1"/>
        </w:numPr>
        <w:spacing w:after="80"/>
      </w:pPr>
      <w:r>
        <w:t xml:space="preserve">Companion, non-LTA molecule files in the same directory (LipidA, Endotoxin .sdf) exist but were not analysed here.</w:t>
      </w:r>
    </w:p>
    <w:p>
      <w:pPr>
        <w:pStyle w:val="Heading2"/>
        <w:spacing w:after="120" w:before="240"/>
      </w:pPr>
      <w:r>
        <w:t xml:space="preserve">1.2 Experimental powder Raman data</w:t>
      </w:r>
    </w:p>
    <w:p>
      <w:pPr>
        <w:pStyle w:val="ListParagraph"/>
        <w:numPr>
          <w:ilvl w:val="0"/>
          <w:numId w:val="1"/>
        </w:numPr>
        <w:spacing w:after="80"/>
      </w:pPr>
      <w:r>
        <w:t xml:space="preserve">Primary dataset: 20-04/20sec20power-variable location LTA/ — 12 raw spectra (SP_2.xlsx … SP_14.xlsx, 784.92 nm laser, power level 20, 20 s integration, 2 averages, dated 2026-02-09), cleaned (cleaned.py) and processed (ALS baseline lam=1e6/p=0.01, Savitzky-Golay 15/3, area normalisation, scipy.signal.find_peaks) in LTA_Raman_Analysis_20sec20power.ipynb. Output workbook LTA_Processed_Spectra.xlsx contains the averaged spectrum, all 12 normalised spectra, per-spot peak lists, and a peak-variability table — this is the only dataset in the project with a documented, multi-spot reproducibility check.</w:t>
      </w:r>
    </w:p>
    <w:p>
      <w:pPr>
        <w:pStyle w:val="ListParagraph"/>
        <w:numPr>
          <w:ilvl w:val="0"/>
          <w:numId w:val="1"/>
        </w:numPr>
        <w:spacing w:after="80"/>
      </w:pPr>
      <w:r>
        <w:t xml:space="preserve">Secondary, less-processed powder datasets not used for quantitative claims in this report: 20-04/4-4-26/LTA/ (raw CSV, 3 sub-conditions) and 20-04/alldata plotting/ (80-spectrum power/time grid; documents R²=0.9916 intensity-vs-power linearity but flags its own "Watts" axis label as an unverified instrument setting, not a calibrated optical power).</w:t>
      </w:r>
    </w:p>
    <w:p>
      <w:pPr>
        <w:pStyle w:val="Heading2"/>
        <w:spacing w:after="120" w:before="240"/>
      </w:pPr>
      <w:r>
        <w:t xml:space="preserve">1.3 SERS candidate data</w:t>
      </w:r>
    </w:p>
    <w:p>
      <w:pPr>
        <w:pStyle w:val="ListParagraph"/>
        <w:numPr>
          <w:ilvl w:val="0"/>
          <w:numId w:val="1"/>
        </w:numPr>
        <w:spacing w:after="80"/>
      </w:pPr>
      <w:r>
        <w:t xml:space="preserve">Candidate LTA-on-substrate data: 14-08-26-lta-2m-etched/ — 15 raw spectra (SP_36–SP_50), 784.92 nm, power level 5, 5 s integration, 3 averages, dated 2026-08-14.</w:t>
      </w:r>
    </w:p>
    <w:p>
      <w:pPr>
        <w:pStyle w:val="ListParagraph"/>
        <w:numPr>
          <w:ilvl w:val="0"/>
          <w:numId w:val="1"/>
        </w:numPr>
        <w:spacing w:after="80"/>
      </w:pPr>
      <w:r>
        <w:t xml:space="preserve">Matched blank substrate: 14-08-2026-sers-r6g-nam-2m-1700g-8.6-etched-si/raw-si-2m-etched/ — 27 raw spectra, matched to the LTA batch by identical calibration coefficients and laser settings and acquired the same day. Three other blank-substrate sub-folders in the same parent (1m-etched, r6g, second-substrate) exist but were not the exact instrument-settings match and were not used.</w:t>
      </w:r>
    </w:p>
    <w:p>
      <w:pPr>
        <w:pStyle w:val="Heading2"/>
        <w:spacing w:after="120" w:before="240"/>
      </w:pPr>
      <w:r>
        <w:t xml:space="preserve">1.4 Supporting documents</w:t>
      </w:r>
    </w:p>
    <w:p>
      <w:pPr>
        <w:pStyle w:val="ListParagraph"/>
        <w:numPr>
          <w:ilvl w:val="0"/>
          <w:numId w:val="1"/>
        </w:numPr>
        <w:spacing w:after="80"/>
      </w:pPr>
      <w:r>
        <w:t xml:space="preserve">Experiment_Plan_LTA.docx — reagent identity (Sigma L2515, S. aureus LTA, CAS 56411-57-5), an internal literature evidence-tier table, and a documented retraction: an earlier claim of a 1095 cm⁻¹ detection in the 14-Aug SERS data was investigated at pixel level and reclassified "NOT DETECTED" (single-pixel artifact).</w:t>
      </w:r>
    </w:p>
    <w:p>
      <w:pPr>
        <w:pStyle w:val="ListParagraph"/>
        <w:numPr>
          <w:ilvl w:val="0"/>
          <w:numId w:val="1"/>
        </w:numPr>
        <w:spacing w:after="80"/>
      </w:pPr>
      <w:r>
        <w:t xml:space="preserve">Critical_Evaluation_Sensor_Strategy_NAM_LPS_LTA_Aug2026.docx — independently confirms the whole-molecule LTA DFT failure and flags a NaN inconsistency in a reported LTA NNLS composite fit.</w:t>
      </w:r>
    </w:p>
    <w:p>
      <w:pPr>
        <w:pStyle w:val="ListParagraph"/>
        <w:numPr>
          <w:ilvl w:val="0"/>
          <w:numId w:val="1"/>
        </w:numPr>
        <w:spacing w:after="80"/>
      </w:pPr>
      <w:r>
        <w:t xml:space="preserve">NAM_LTA_LPS_Figures_Compendium.docx — reports LTA NNLS composite-fit statistics (R² = −0.294, r = 0.345, RMSE = 0.193) that could not be independently reproduced from any raw script located in the project; this is carried forward as an unresolved discrepancy, not resolved here.</w:t>
      </w:r>
    </w:p>
    <w:p>
      <w:pPr>
        <w:pStyle w:val="ListParagraph"/>
        <w:numPr>
          <w:ilvl w:val="0"/>
          <w:numId w:val="1"/>
        </w:numPr>
        <w:spacing w:after="80"/>
      </w:pPr>
      <w:r>
        <w:t xml:space="preserve">State of the Art Review — NAM_LPS_LTA.docx — template document, effectively empty for LTA (one populated literature row, and that row is for LPS, not LTA).</w:t>
      </w:r>
    </w:p>
    <w:p>
      <w:pPr>
        <w:pStyle w:val="ListParagraph"/>
        <w:numPr>
          <w:ilvl w:val="0"/>
          <w:numId w:val="1"/>
        </w:numPr>
        <w:spacing w:after="80"/>
      </w:pPr>
      <w:r>
        <w:t xml:space="preserve">Zotero library (Zotero/zotero.sqlite) — confirmed 0 items. Gaussian/ folder at the device root — confirmed 0 files. lta research/ top-level folder — confirmed empty.</w:t>
      </w:r>
    </w:p>
    <w:p>
      <w:pPr>
        <w:pStyle w:val="Heading2"/>
        <w:spacing w:after="120" w:before="240"/>
      </w:pPr>
      <w:r>
        <w:t xml:space="preserve">1.5 Summary count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rPr>
          <w:tblHeader/>
        </w:trPr>
        <w:tc>
          <w:tcPr>
            <w:tcW w:type="dxa" w:w="5600"/>
            <w:shd w:fill="1F4E5F" w:val="clear"/>
            <w:tcMar>
              <w:top w:type="dxa" w:w="60"/>
              <w:left w:type="dxa" w:w="100"/>
              <w:bottom w:type="dxa" w:w="60"/>
              <w:right w:type="dxa" w:w="100"/>
            </w:tcMar>
          </w:tcPr>
          <w:p>
            <w:pPr>
              <w:jc w:val="left"/>
            </w:pPr>
            <w:r>
              <w:rPr>
                <w:b/>
                <w:bCs/>
                <w:color w:val="FFFFFF"/>
                <w:sz w:val="19"/>
                <w:szCs w:val="19"/>
              </w:rPr>
              <w:t xml:space="preserve">Evidence type</w:t>
            </w:r>
          </w:p>
        </w:tc>
        <w:tc>
          <w:tcPr>
            <w:tcW w:type="dxa" w:w="4200"/>
            <w:shd w:fill="1F4E5F" w:val="clear"/>
            <w:tcMar>
              <w:top w:type="dxa" w:w="60"/>
              <w:left w:type="dxa" w:w="100"/>
              <w:bottom w:type="dxa" w:w="60"/>
              <w:right w:type="dxa" w:w="100"/>
            </w:tcMar>
          </w:tcPr>
          <w:p>
            <w:pPr>
              <w:jc w:val="left"/>
            </w:pPr>
            <w:r>
              <w:rPr>
                <w:b/>
                <w:bCs/>
                <w:color w:val="FFFFFF"/>
                <w:sz w:val="19"/>
                <w:szCs w:val="19"/>
              </w:rPr>
              <w:t xml:space="preserve">Count / status</w:t>
            </w:r>
          </w:p>
        </w:tc>
      </w:tr>
      <w:tr>
        <w:tc>
          <w:tcPr>
            <w:tcW w:type="dxa" w:w="5600"/>
            <w:tcMar>
              <w:top w:type="dxa" w:w="60"/>
              <w:left w:type="dxa" w:w="100"/>
              <w:bottom w:type="dxa" w:w="60"/>
              <w:right w:type="dxa" w:w="100"/>
            </w:tcMar>
          </w:tcPr>
          <w:p>
            <w:pPr>
              <w:jc w:val="left"/>
            </w:pPr>
            <w:r>
              <w:rPr>
                <w:b w:val="false"/>
                <w:bCs w:val="false"/>
                <w:sz w:val="19"/>
                <w:szCs w:val="19"/>
              </w:rPr>
              <w:t xml:space="preserve">DFT — fragment models with usable Raman curves</w:t>
            </w:r>
          </w:p>
        </w:tc>
        <w:tc>
          <w:tcPr>
            <w:tcW w:type="dxa" w:w="4200"/>
            <w:tcMar>
              <w:top w:type="dxa" w:w="60"/>
              <w:left w:type="dxa" w:w="100"/>
              <w:bottom w:type="dxa" w:w="60"/>
              <w:right w:type="dxa" w:w="100"/>
            </w:tcMar>
          </w:tcPr>
          <w:p>
            <w:pPr>
              <w:jc w:val="left"/>
            </w:pPr>
            <w:r>
              <w:rPr>
                <w:b w:val="false"/>
                <w:bCs w:val="false"/>
                <w:sz w:val="19"/>
                <w:szCs w:val="19"/>
              </w:rPr>
              <w:t xml:space="preserve">3 (glycerol-phosphate, D-alanine, GlcNAc)</w:t>
            </w:r>
          </w:p>
        </w:tc>
      </w:tr>
      <w:tr>
        <w:tc>
          <w:tcPr>
            <w:tcW w:type="dxa" w:w="5600"/>
            <w:shd w:fill="F2F2F2" w:val="clear"/>
            <w:tcMar>
              <w:top w:type="dxa" w:w="60"/>
              <w:left w:type="dxa" w:w="100"/>
              <w:bottom w:type="dxa" w:w="60"/>
              <w:right w:type="dxa" w:w="100"/>
            </w:tcMar>
          </w:tcPr>
          <w:p>
            <w:pPr>
              <w:jc w:val="left"/>
            </w:pPr>
            <w:r>
              <w:rPr>
                <w:b w:val="false"/>
                <w:bCs w:val="false"/>
                <w:sz w:val="19"/>
                <w:szCs w:val="19"/>
              </w:rPr>
              <w:t xml:space="preserve">DFT — whole-molecule LTA with usable Raman data</w:t>
            </w:r>
          </w:p>
        </w:tc>
        <w:tc>
          <w:tcPr>
            <w:tcW w:type="dxa" w:w="4200"/>
            <w:shd w:fill="F2F2F2" w:val="clear"/>
            <w:tcMar>
              <w:top w:type="dxa" w:w="60"/>
              <w:left w:type="dxa" w:w="100"/>
              <w:bottom w:type="dxa" w:w="60"/>
              <w:right w:type="dxa" w:w="100"/>
            </w:tcMar>
          </w:tcPr>
          <w:p>
            <w:pPr>
              <w:jc w:val="left"/>
            </w:pPr>
            <w:r>
              <w:rPr>
                <w:b w:val="false"/>
                <w:bCs w:val="false"/>
                <w:sz w:val="19"/>
                <w:szCs w:val="19"/>
              </w:rPr>
              <w:t xml:space="preserve">0 (job crashed before frequency output)</w:t>
            </w:r>
          </w:p>
        </w:tc>
      </w:tr>
      <w:tr>
        <w:tc>
          <w:tcPr>
            <w:tcW w:type="dxa" w:w="5600"/>
            <w:tcMar>
              <w:top w:type="dxa" w:w="60"/>
              <w:left w:type="dxa" w:w="100"/>
              <w:bottom w:type="dxa" w:w="60"/>
              <w:right w:type="dxa" w:w="100"/>
            </w:tcMar>
          </w:tcPr>
          <w:p>
            <w:pPr>
              <w:jc w:val="left"/>
            </w:pPr>
            <w:r>
              <w:rPr>
                <w:b w:val="false"/>
                <w:bCs w:val="false"/>
                <w:sz w:val="19"/>
                <w:szCs w:val="19"/>
              </w:rPr>
              <w:t xml:space="preserve">Experimental powder Raman spectra, primary set</w:t>
            </w:r>
          </w:p>
        </w:tc>
        <w:tc>
          <w:tcPr>
            <w:tcW w:type="dxa" w:w="4200"/>
            <w:tcMar>
              <w:top w:type="dxa" w:w="60"/>
              <w:left w:type="dxa" w:w="100"/>
              <w:bottom w:type="dxa" w:w="60"/>
              <w:right w:type="dxa" w:w="100"/>
            </w:tcMar>
          </w:tcPr>
          <w:p>
            <w:pPr>
              <w:jc w:val="left"/>
            </w:pPr>
            <w:r>
              <w:rPr>
                <w:b w:val="false"/>
                <w:bCs w:val="false"/>
                <w:sz w:val="19"/>
                <w:szCs w:val="19"/>
              </w:rPr>
              <w:t xml:space="preserve">12 (2026-02-09, single condition)</w:t>
            </w:r>
          </w:p>
        </w:tc>
      </w:tr>
      <w:tr>
        <w:tc>
          <w:tcPr>
            <w:tcW w:type="dxa" w:w="5600"/>
            <w:shd w:fill="F2F2F2" w:val="clear"/>
            <w:tcMar>
              <w:top w:type="dxa" w:w="60"/>
              <w:left w:type="dxa" w:w="100"/>
              <w:bottom w:type="dxa" w:w="60"/>
              <w:right w:type="dxa" w:w="100"/>
            </w:tcMar>
          </w:tcPr>
          <w:p>
            <w:pPr>
              <w:jc w:val="left"/>
            </w:pPr>
            <w:r>
              <w:rPr>
                <w:b w:val="false"/>
                <w:bCs w:val="false"/>
                <w:sz w:val="19"/>
                <w:szCs w:val="19"/>
              </w:rPr>
              <w:t xml:space="preserve">Experimental powder Raman spectra, secondary sets</w:t>
            </w:r>
          </w:p>
        </w:tc>
        <w:tc>
          <w:tcPr>
            <w:tcW w:type="dxa" w:w="4200"/>
            <w:shd w:fill="F2F2F2" w:val="clear"/>
            <w:tcMar>
              <w:top w:type="dxa" w:w="60"/>
              <w:left w:type="dxa" w:w="100"/>
              <w:bottom w:type="dxa" w:w="60"/>
              <w:right w:type="dxa" w:w="100"/>
            </w:tcMar>
          </w:tcPr>
          <w:p>
            <w:pPr>
              <w:jc w:val="left"/>
            </w:pPr>
            <w:r>
              <w:rPr>
                <w:b w:val="false"/>
                <w:bCs w:val="false"/>
                <w:sz w:val="19"/>
                <w:szCs w:val="19"/>
              </w:rPr>
              <w:t xml:space="preserve">~83 (not used quantitatively here)</w:t>
            </w:r>
          </w:p>
        </w:tc>
      </w:tr>
      <w:tr>
        <w:tc>
          <w:tcPr>
            <w:tcW w:type="dxa" w:w="5600"/>
            <w:tcMar>
              <w:top w:type="dxa" w:w="60"/>
              <w:left w:type="dxa" w:w="100"/>
              <w:bottom w:type="dxa" w:w="60"/>
              <w:right w:type="dxa" w:w="100"/>
            </w:tcMar>
          </w:tcPr>
          <w:p>
            <w:pPr>
              <w:jc w:val="left"/>
            </w:pPr>
            <w:r>
              <w:rPr>
                <w:b w:val="false"/>
                <w:bCs w:val="false"/>
                <w:sz w:val="19"/>
                <w:szCs w:val="19"/>
              </w:rPr>
              <w:t xml:space="preserve">Candidate SERS spectra (LTA)</w:t>
            </w:r>
          </w:p>
        </w:tc>
        <w:tc>
          <w:tcPr>
            <w:tcW w:type="dxa" w:w="4200"/>
            <w:tcMar>
              <w:top w:type="dxa" w:w="60"/>
              <w:left w:type="dxa" w:w="100"/>
              <w:bottom w:type="dxa" w:w="60"/>
              <w:right w:type="dxa" w:w="100"/>
            </w:tcMar>
          </w:tcPr>
          <w:p>
            <w:pPr>
              <w:jc w:val="left"/>
            </w:pPr>
            <w:r>
              <w:rPr>
                <w:b w:val="false"/>
                <w:bCs w:val="false"/>
                <w:sz w:val="19"/>
                <w:szCs w:val="19"/>
              </w:rPr>
              <w:t xml:space="preserve">15 (2026-08-14)</w:t>
            </w:r>
          </w:p>
        </w:tc>
      </w:tr>
      <w:tr>
        <w:tc>
          <w:tcPr>
            <w:tcW w:type="dxa" w:w="5600"/>
            <w:shd w:fill="F2F2F2" w:val="clear"/>
            <w:tcMar>
              <w:top w:type="dxa" w:w="60"/>
              <w:left w:type="dxa" w:w="100"/>
              <w:bottom w:type="dxa" w:w="60"/>
              <w:right w:type="dxa" w:w="100"/>
            </w:tcMar>
          </w:tcPr>
          <w:p>
            <w:pPr>
              <w:jc w:val="left"/>
            </w:pPr>
            <w:r>
              <w:rPr>
                <w:b w:val="false"/>
                <w:bCs w:val="false"/>
                <w:sz w:val="19"/>
                <w:szCs w:val="19"/>
              </w:rPr>
              <w:t xml:space="preserve">Matched blank SERS spectra</w:t>
            </w:r>
          </w:p>
        </w:tc>
        <w:tc>
          <w:tcPr>
            <w:tcW w:type="dxa" w:w="4200"/>
            <w:shd w:fill="F2F2F2" w:val="clear"/>
            <w:tcMar>
              <w:top w:type="dxa" w:w="60"/>
              <w:left w:type="dxa" w:w="100"/>
              <w:bottom w:type="dxa" w:w="60"/>
              <w:right w:type="dxa" w:w="100"/>
            </w:tcMar>
          </w:tcPr>
          <w:p>
            <w:pPr>
              <w:jc w:val="left"/>
            </w:pPr>
            <w:r>
              <w:rPr>
                <w:b w:val="false"/>
                <w:bCs w:val="false"/>
                <w:sz w:val="19"/>
                <w:szCs w:val="19"/>
              </w:rPr>
              <w:t xml:space="preserve">27 (2026-08-14)</w:t>
            </w:r>
          </w:p>
        </w:tc>
      </w:tr>
      <w:tr>
        <w:tc>
          <w:tcPr>
            <w:tcW w:type="dxa" w:w="5600"/>
            <w:tcMar>
              <w:top w:type="dxa" w:w="60"/>
              <w:left w:type="dxa" w:w="100"/>
              <w:bottom w:type="dxa" w:w="60"/>
              <w:right w:type="dxa" w:w="100"/>
            </w:tcMar>
          </w:tcPr>
          <w:p>
            <w:pPr>
              <w:jc w:val="left"/>
            </w:pPr>
            <w:r>
              <w:rPr>
                <w:b w:val="false"/>
                <w:bCs w:val="false"/>
                <w:sz w:val="19"/>
                <w:szCs w:val="19"/>
              </w:rPr>
              <w:t xml:space="preserve">Prior positive SERS claims still standing</w:t>
            </w:r>
          </w:p>
        </w:tc>
        <w:tc>
          <w:tcPr>
            <w:tcW w:type="dxa" w:w="4200"/>
            <w:tcMar>
              <w:top w:type="dxa" w:w="60"/>
              <w:left w:type="dxa" w:w="100"/>
              <w:bottom w:type="dxa" w:w="60"/>
              <w:right w:type="dxa" w:w="100"/>
            </w:tcMar>
          </w:tcPr>
          <w:p>
            <w:pPr>
              <w:jc w:val="left"/>
            </w:pPr>
            <w:r>
              <w:rPr>
                <w:b w:val="false"/>
                <w:bCs w:val="false"/>
                <w:sz w:val="19"/>
                <w:szCs w:val="19"/>
              </w:rPr>
              <w:t xml:space="preserve">0 (the one prior claim on this dataset was retracted)</w:t>
            </w:r>
          </w:p>
        </w:tc>
      </w:tr>
    </w:tbl>
    <w:p>
      <w:r>
        <w:br w:type="page"/>
      </w:r>
    </w:p>
    <w:p>
      <w:pPr>
        <w:pStyle w:val="Heading1"/>
        <w:spacing w:after="160" w:before="360"/>
      </w:pPr>
      <w:r>
        <w:t xml:space="preserve">2. Experimental Powder Raman Spectrum</w:t>
      </w:r>
    </w:p>
    <w:p>
      <w:pPr>
        <w:spacing w:after="120"/>
      </w:pPr>
      <w:r>
        <w:t xml:space="preserve">12-spot average powder Raman spectrum of LTA (784.92 nm, 20 s, power level 20), after ALS baseline correction, Savitzky-Golay smoothing, and area normalisation, as computed in LTA_Raman_Analysis_20sec20power.ipynb. The 7 peaks below are the characteristic peaks the notebook's own find_peaks pass reports as present in the averaged spectrum.</w:t>
      </w:r>
    </w:p>
    <w:p>
      <w:pPr>
        <w:spacing w:after="120" w:before="12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24175"/>
                    </a:xfrm>
                    <a:prstGeom prst="rect">
                      <a:avLst/>
                    </a:prstGeom>
                  </pic:spPr>
                </pic:pic>
              </a:graphicData>
            </a:graphic>
          </wp:inline>
        </w:drawing>
      </w:r>
    </w:p>
    <w:p>
      <w:pPr>
        <w:spacing w:after="240"/>
        <w:jc w:val="center"/>
      </w:pPr>
      <w:r>
        <w:rPr>
          <w:i/>
          <w:iCs/>
          <w:sz w:val="18"/>
          <w:szCs w:val="18"/>
        </w:rPr>
        <w:t xml:space="preserve">Figure 2.1 — Averaged (n=12) experimental powder Raman spectrum of LTA, with characteristic peaks marked (source: project figure Average_Spectrum_LTA.png).</w:t>
      </w:r>
    </w:p>
    <w:p>
      <w:pPr>
        <w:pStyle w:val="Heading2"/>
        <w:spacing w:after="120" w:before="240"/>
      </w:pPr>
      <w:r>
        <w:t xml:space="preserve">2.1 Reproducibility across the 12 measurement spots (from LTA_Processed_Spectra.xlsx, sheet "Peak Variability")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800"/>
        <w:gridCol w:w="1400"/>
      </w:tblGrid>
      <w:tr>
        <w:trPr>
          <w:tblHeader/>
        </w:trPr>
        <w:tc>
          <w:tcPr>
            <w:tcW w:type="dxa" w:w="3000"/>
            <w:shd w:fill="1F4E5F" w:val="clear"/>
            <w:tcMar>
              <w:top w:type="dxa" w:w="60"/>
              <w:left w:type="dxa" w:w="100"/>
              <w:bottom w:type="dxa" w:w="60"/>
              <w:right w:type="dxa" w:w="100"/>
            </w:tcMar>
          </w:tcPr>
          <w:p>
            <w:pPr>
              <w:jc w:val="left"/>
            </w:pPr>
            <w:r>
              <w:rPr>
                <w:b/>
                <w:bCs/>
                <w:color w:val="FFFFFF"/>
                <w:sz w:val="19"/>
                <w:szCs w:val="19"/>
              </w:rPr>
              <w:t xml:space="preserve">Peak position (cm⁻¹)</w:t>
            </w:r>
          </w:p>
        </w:tc>
        <w:tc>
          <w:tcPr>
            <w:tcW w:type="dxa" w:w="2800"/>
            <w:shd w:fill="1F4E5F" w:val="clear"/>
            <w:tcMar>
              <w:top w:type="dxa" w:w="60"/>
              <w:left w:type="dxa" w:w="100"/>
              <w:bottom w:type="dxa" w:w="60"/>
              <w:right w:type="dxa" w:w="100"/>
            </w:tcMar>
          </w:tcPr>
          <w:p>
            <w:pPr>
              <w:jc w:val="left"/>
            </w:pPr>
            <w:r>
              <w:rPr>
                <w:b/>
                <w:bCs/>
                <w:color w:val="FFFFFF"/>
                <w:sz w:val="19"/>
                <w:szCs w:val="19"/>
              </w:rPr>
              <w:t xml:space="preserve">Position Std Dev (cm⁻¹)</w:t>
            </w:r>
          </w:p>
        </w:tc>
        <w:tc>
          <w:tcPr>
            <w:tcW w:type="dxa" w:w="2800"/>
            <w:shd w:fill="1F4E5F" w:val="clear"/>
            <w:tcMar>
              <w:top w:type="dxa" w:w="60"/>
              <w:left w:type="dxa" w:w="100"/>
              <w:bottom w:type="dxa" w:w="60"/>
              <w:right w:type="dxa" w:w="100"/>
            </w:tcMar>
          </w:tcPr>
          <w:p>
            <w:pPr>
              <w:jc w:val="left"/>
            </w:pPr>
            <w:r>
              <w:rPr>
                <w:b/>
                <w:bCs/>
                <w:color w:val="FFFFFF"/>
                <w:sz w:val="19"/>
                <w:szCs w:val="19"/>
              </w:rPr>
              <w:t xml:space="preserve">Intensity CV (%)</w:t>
            </w:r>
          </w:p>
        </w:tc>
        <w:tc>
          <w:tcPr>
            <w:tcW w:type="dxa" w:w="1400"/>
            <w:shd w:fill="1F4E5F" w:val="clear"/>
            <w:tcMar>
              <w:top w:type="dxa" w:w="60"/>
              <w:left w:type="dxa" w:w="100"/>
              <w:bottom w:type="dxa" w:w="60"/>
              <w:right w:type="dxa" w:w="100"/>
            </w:tcMar>
          </w:tcPr>
          <w:p>
            <w:pPr>
              <w:jc w:val="left"/>
            </w:pPr>
            <w:r>
              <w:rPr>
                <w:b/>
                <w:bCs/>
                <w:color w:val="FFFFFF"/>
                <w:sz w:val="19"/>
                <w:szCs w:val="19"/>
              </w:rPr>
              <w:t xml:space="preserve">N spots detected / 12</w:t>
            </w:r>
          </w:p>
        </w:tc>
      </w:tr>
      <w:tr>
        <w:tc>
          <w:tcPr>
            <w:tcW w:type="dxa" w:w="3000"/>
            <w:tcMar>
              <w:top w:type="dxa" w:w="60"/>
              <w:left w:type="dxa" w:w="100"/>
              <w:bottom w:type="dxa" w:w="60"/>
              <w:right w:type="dxa" w:w="100"/>
            </w:tcMar>
          </w:tcPr>
          <w:p>
            <w:pPr>
              <w:jc w:val="left"/>
            </w:pPr>
            <w:r>
              <w:rPr>
                <w:b w:val="false"/>
                <w:bCs w:val="false"/>
                <w:sz w:val="19"/>
                <w:szCs w:val="19"/>
              </w:rPr>
              <w:t xml:space="preserve">620.1</w:t>
            </w:r>
          </w:p>
        </w:tc>
        <w:tc>
          <w:tcPr>
            <w:tcW w:type="dxa" w:w="2800"/>
            <w:tcMar>
              <w:top w:type="dxa" w:w="60"/>
              <w:left w:type="dxa" w:w="100"/>
              <w:bottom w:type="dxa" w:w="60"/>
              <w:right w:type="dxa" w:w="100"/>
            </w:tcMar>
          </w:tcPr>
          <w:p>
            <w:pPr>
              <w:jc w:val="left"/>
            </w:pPr>
            <w:r>
              <w:rPr>
                <w:b w:val="false"/>
                <w:bCs w:val="false"/>
                <w:sz w:val="19"/>
                <w:szCs w:val="19"/>
              </w:rPr>
              <w:t xml:space="preserve">0.83</w:t>
            </w:r>
          </w:p>
        </w:tc>
        <w:tc>
          <w:tcPr>
            <w:tcW w:type="dxa" w:w="2800"/>
            <w:tcMar>
              <w:top w:type="dxa" w:w="60"/>
              <w:left w:type="dxa" w:w="100"/>
              <w:bottom w:type="dxa" w:w="60"/>
              <w:right w:type="dxa" w:w="100"/>
            </w:tcMar>
          </w:tcPr>
          <w:p>
            <w:pPr>
              <w:jc w:val="left"/>
            </w:pPr>
            <w:r>
              <w:rPr>
                <w:b w:val="false"/>
                <w:bCs w:val="false"/>
                <w:sz w:val="19"/>
                <w:szCs w:val="19"/>
              </w:rPr>
              <w:t xml:space="preserve">10.68</w:t>
            </w:r>
          </w:p>
        </w:tc>
        <w:tc>
          <w:tcPr>
            <w:tcW w:type="dxa" w:w="1400"/>
            <w:tcMar>
              <w:top w:type="dxa" w:w="60"/>
              <w:left w:type="dxa" w:w="100"/>
              <w:bottom w:type="dxa" w:w="60"/>
              <w:right w:type="dxa" w:w="100"/>
            </w:tcMar>
          </w:tcPr>
          <w:p>
            <w:pPr>
              <w:jc w:val="left"/>
            </w:pPr>
            <w:r>
              <w:rPr>
                <w:b w:val="false"/>
                <w:bCs w:val="false"/>
                <w:sz w:val="19"/>
                <w:szCs w:val="19"/>
              </w:rPr>
              <w:t xml:space="preserve">12</w:t>
            </w:r>
          </w:p>
        </w:tc>
      </w:tr>
      <w:tr>
        <w:tc>
          <w:tcPr>
            <w:tcW w:type="dxa" w:w="3000"/>
            <w:shd w:fill="F2F2F2" w:val="clear"/>
            <w:tcMar>
              <w:top w:type="dxa" w:w="60"/>
              <w:left w:type="dxa" w:w="100"/>
              <w:bottom w:type="dxa" w:w="60"/>
              <w:right w:type="dxa" w:w="100"/>
            </w:tcMar>
          </w:tcPr>
          <w:p>
            <w:pPr>
              <w:jc w:val="left"/>
            </w:pPr>
            <w:r>
              <w:rPr>
                <w:b w:val="false"/>
                <w:bCs w:val="false"/>
                <w:sz w:val="19"/>
                <w:szCs w:val="19"/>
              </w:rPr>
              <w:t xml:space="preserve">794.5</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0.94</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7.79</w:t>
            </w:r>
          </w:p>
        </w:tc>
        <w:tc>
          <w:tcPr>
            <w:tcW w:type="dxa" w:w="1400"/>
            <w:shd w:fill="F2F2F2" w:val="clear"/>
            <w:tcMar>
              <w:top w:type="dxa" w:w="60"/>
              <w:left w:type="dxa" w:w="100"/>
              <w:bottom w:type="dxa" w:w="60"/>
              <w:right w:type="dxa" w:w="100"/>
            </w:tcMar>
          </w:tcPr>
          <w:p>
            <w:pPr>
              <w:jc w:val="left"/>
            </w:pPr>
            <w:r>
              <w:rPr>
                <w:b w:val="false"/>
                <w:bCs w:val="false"/>
                <w:sz w:val="19"/>
                <w:szCs w:val="19"/>
              </w:rPr>
              <w:t xml:space="preserve">12</w:t>
            </w:r>
          </w:p>
        </w:tc>
      </w:tr>
      <w:tr>
        <w:tc>
          <w:tcPr>
            <w:tcW w:type="dxa" w:w="3000"/>
            <w:tcMar>
              <w:top w:type="dxa" w:w="60"/>
              <w:left w:type="dxa" w:w="100"/>
              <w:bottom w:type="dxa" w:w="60"/>
              <w:right w:type="dxa" w:w="100"/>
            </w:tcMar>
          </w:tcPr>
          <w:p>
            <w:pPr>
              <w:jc w:val="left"/>
            </w:pPr>
            <w:r>
              <w:rPr>
                <w:b w:val="false"/>
                <w:bCs w:val="false"/>
                <w:sz w:val="19"/>
                <w:szCs w:val="19"/>
              </w:rPr>
              <w:t xml:space="preserve">999.9</w:t>
            </w:r>
          </w:p>
        </w:tc>
        <w:tc>
          <w:tcPr>
            <w:tcW w:type="dxa" w:w="2800"/>
            <w:tcMar>
              <w:top w:type="dxa" w:w="60"/>
              <w:left w:type="dxa" w:w="100"/>
              <w:bottom w:type="dxa" w:w="60"/>
              <w:right w:type="dxa" w:w="100"/>
            </w:tcMar>
          </w:tcPr>
          <w:p>
            <w:pPr>
              <w:jc w:val="left"/>
            </w:pPr>
            <w:r>
              <w:rPr>
                <w:b w:val="false"/>
                <w:bCs w:val="false"/>
                <w:sz w:val="19"/>
                <w:szCs w:val="19"/>
              </w:rPr>
              <w:t xml:space="preserve">0.45</w:t>
            </w:r>
          </w:p>
        </w:tc>
        <w:tc>
          <w:tcPr>
            <w:tcW w:type="dxa" w:w="2800"/>
            <w:tcMar>
              <w:top w:type="dxa" w:w="60"/>
              <w:left w:type="dxa" w:w="100"/>
              <w:bottom w:type="dxa" w:w="60"/>
              <w:right w:type="dxa" w:w="100"/>
            </w:tcMar>
          </w:tcPr>
          <w:p>
            <w:pPr>
              <w:jc w:val="left"/>
            </w:pPr>
            <w:r>
              <w:rPr>
                <w:b w:val="false"/>
                <w:bCs w:val="false"/>
                <w:sz w:val="19"/>
                <w:szCs w:val="19"/>
              </w:rPr>
              <w:t xml:space="preserve">19.88</w:t>
            </w:r>
          </w:p>
        </w:tc>
        <w:tc>
          <w:tcPr>
            <w:tcW w:type="dxa" w:w="1400"/>
            <w:tcMar>
              <w:top w:type="dxa" w:w="60"/>
              <w:left w:type="dxa" w:w="100"/>
              <w:bottom w:type="dxa" w:w="60"/>
              <w:right w:type="dxa" w:w="100"/>
            </w:tcMar>
          </w:tcPr>
          <w:p>
            <w:pPr>
              <w:jc w:val="left"/>
            </w:pPr>
            <w:r>
              <w:rPr>
                <w:b w:val="false"/>
                <w:bCs w:val="false"/>
                <w:sz w:val="19"/>
                <w:szCs w:val="19"/>
              </w:rPr>
              <w:t xml:space="preserve">12</w:t>
            </w:r>
          </w:p>
        </w:tc>
      </w:tr>
      <w:tr>
        <w:tc>
          <w:tcPr>
            <w:tcW w:type="dxa" w:w="3000"/>
            <w:shd w:fill="F2F2F2" w:val="clear"/>
            <w:tcMar>
              <w:top w:type="dxa" w:w="60"/>
              <w:left w:type="dxa" w:w="100"/>
              <w:bottom w:type="dxa" w:w="60"/>
              <w:right w:type="dxa" w:w="100"/>
            </w:tcMar>
          </w:tcPr>
          <w:p>
            <w:pPr>
              <w:jc w:val="left"/>
            </w:pPr>
            <w:r>
              <w:rPr>
                <w:b w:val="false"/>
                <w:bCs w:val="false"/>
                <w:sz w:val="19"/>
                <w:szCs w:val="19"/>
              </w:rPr>
              <w:t xml:space="preserve">1093.2</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1.95</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37.52</w:t>
            </w:r>
          </w:p>
        </w:tc>
        <w:tc>
          <w:tcPr>
            <w:tcW w:type="dxa" w:w="1400"/>
            <w:shd w:fill="F2F2F2" w:val="clear"/>
            <w:tcMar>
              <w:top w:type="dxa" w:w="60"/>
              <w:left w:type="dxa" w:w="100"/>
              <w:bottom w:type="dxa" w:w="60"/>
              <w:right w:type="dxa" w:w="100"/>
            </w:tcMar>
          </w:tcPr>
          <w:p>
            <w:pPr>
              <w:jc w:val="left"/>
            </w:pPr>
            <w:r>
              <w:rPr>
                <w:b w:val="false"/>
                <w:bCs w:val="false"/>
                <w:sz w:val="19"/>
                <w:szCs w:val="19"/>
              </w:rPr>
              <w:t xml:space="preserve">11</w:t>
            </w:r>
          </w:p>
        </w:tc>
      </w:tr>
      <w:tr>
        <w:tc>
          <w:tcPr>
            <w:tcW w:type="dxa" w:w="3000"/>
            <w:tcMar>
              <w:top w:type="dxa" w:w="60"/>
              <w:left w:type="dxa" w:w="100"/>
              <w:bottom w:type="dxa" w:w="60"/>
              <w:right w:type="dxa" w:w="100"/>
            </w:tcMar>
          </w:tcPr>
          <w:p>
            <w:pPr>
              <w:jc w:val="left"/>
            </w:pPr>
            <w:r>
              <w:rPr>
                <w:b w:val="false"/>
                <w:bCs w:val="false"/>
                <w:sz w:val="19"/>
                <w:szCs w:val="19"/>
              </w:rPr>
              <w:t xml:space="preserve">1184.6</w:t>
            </w:r>
          </w:p>
        </w:tc>
        <w:tc>
          <w:tcPr>
            <w:tcW w:type="dxa" w:w="2800"/>
            <w:tcMar>
              <w:top w:type="dxa" w:w="60"/>
              <w:left w:type="dxa" w:w="100"/>
              <w:bottom w:type="dxa" w:w="60"/>
              <w:right w:type="dxa" w:w="100"/>
            </w:tcMar>
          </w:tcPr>
          <w:p>
            <w:pPr>
              <w:jc w:val="left"/>
            </w:pPr>
            <w:r>
              <w:rPr>
                <w:b w:val="false"/>
                <w:bCs w:val="false"/>
                <w:sz w:val="19"/>
                <w:szCs w:val="19"/>
              </w:rPr>
              <w:t xml:space="preserve">1.72</w:t>
            </w:r>
          </w:p>
        </w:tc>
        <w:tc>
          <w:tcPr>
            <w:tcW w:type="dxa" w:w="2800"/>
            <w:tcMar>
              <w:top w:type="dxa" w:w="60"/>
              <w:left w:type="dxa" w:w="100"/>
              <w:bottom w:type="dxa" w:w="60"/>
              <w:right w:type="dxa" w:w="100"/>
            </w:tcMar>
          </w:tcPr>
          <w:p>
            <w:pPr>
              <w:jc w:val="left"/>
            </w:pPr>
            <w:r>
              <w:rPr>
                <w:b w:val="false"/>
                <w:bCs w:val="false"/>
                <w:sz w:val="19"/>
                <w:szCs w:val="19"/>
              </w:rPr>
              <w:t xml:space="preserve">13.20</w:t>
            </w:r>
          </w:p>
        </w:tc>
        <w:tc>
          <w:tcPr>
            <w:tcW w:type="dxa" w:w="1400"/>
            <w:tcMar>
              <w:top w:type="dxa" w:w="60"/>
              <w:left w:type="dxa" w:w="100"/>
              <w:bottom w:type="dxa" w:w="60"/>
              <w:right w:type="dxa" w:w="100"/>
            </w:tcMar>
          </w:tcPr>
          <w:p>
            <w:pPr>
              <w:jc w:val="left"/>
            </w:pPr>
            <w:r>
              <w:rPr>
                <w:b w:val="false"/>
                <w:bCs w:val="false"/>
                <w:sz w:val="19"/>
                <w:szCs w:val="19"/>
              </w:rPr>
              <w:t xml:space="preserve">11</w:t>
            </w:r>
          </w:p>
        </w:tc>
      </w:tr>
      <w:tr>
        <w:tc>
          <w:tcPr>
            <w:tcW w:type="dxa" w:w="3000"/>
            <w:shd w:fill="F2F2F2" w:val="clear"/>
            <w:tcMar>
              <w:top w:type="dxa" w:w="60"/>
              <w:left w:type="dxa" w:w="100"/>
              <w:bottom w:type="dxa" w:w="60"/>
              <w:right w:type="dxa" w:w="100"/>
            </w:tcMar>
          </w:tcPr>
          <w:p>
            <w:pPr>
              <w:jc w:val="left"/>
            </w:pPr>
            <w:r>
              <w:rPr>
                <w:b w:val="false"/>
                <w:bCs w:val="false"/>
                <w:sz w:val="19"/>
                <w:szCs w:val="19"/>
              </w:rPr>
              <w:t xml:space="preserve">1602.4</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0.61</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13.24</w:t>
            </w:r>
          </w:p>
        </w:tc>
        <w:tc>
          <w:tcPr>
            <w:tcW w:type="dxa" w:w="1400"/>
            <w:shd w:fill="F2F2F2" w:val="clear"/>
            <w:tcMar>
              <w:top w:type="dxa" w:w="60"/>
              <w:left w:type="dxa" w:w="100"/>
              <w:bottom w:type="dxa" w:w="60"/>
              <w:right w:type="dxa" w:w="100"/>
            </w:tcMar>
          </w:tcPr>
          <w:p>
            <w:pPr>
              <w:jc w:val="left"/>
            </w:pPr>
            <w:r>
              <w:rPr>
                <w:b w:val="false"/>
                <w:bCs w:val="false"/>
                <w:sz w:val="19"/>
                <w:szCs w:val="19"/>
              </w:rPr>
              <w:t xml:space="preserve">12</w:t>
            </w:r>
          </w:p>
        </w:tc>
      </w:tr>
      <w:tr>
        <w:tc>
          <w:tcPr>
            <w:tcW w:type="dxa" w:w="3000"/>
            <w:tcMar>
              <w:top w:type="dxa" w:w="60"/>
              <w:left w:type="dxa" w:w="100"/>
              <w:bottom w:type="dxa" w:w="60"/>
              <w:right w:type="dxa" w:w="100"/>
            </w:tcMar>
          </w:tcPr>
          <w:p>
            <w:pPr>
              <w:jc w:val="left"/>
            </w:pPr>
            <w:r>
              <w:rPr>
                <w:b w:val="false"/>
                <w:bCs w:val="false"/>
                <w:sz w:val="19"/>
                <w:szCs w:val="19"/>
              </w:rPr>
              <w:t xml:space="preserve">1784.2</w:t>
            </w:r>
          </w:p>
        </w:tc>
        <w:tc>
          <w:tcPr>
            <w:tcW w:type="dxa" w:w="2800"/>
            <w:tcMar>
              <w:top w:type="dxa" w:w="60"/>
              <w:left w:type="dxa" w:w="100"/>
              <w:bottom w:type="dxa" w:w="60"/>
              <w:right w:type="dxa" w:w="100"/>
            </w:tcMar>
          </w:tcPr>
          <w:p>
            <w:pPr>
              <w:jc w:val="left"/>
            </w:pPr>
            <w:r>
              <w:rPr>
                <w:b w:val="false"/>
                <w:bCs w:val="false"/>
                <w:sz w:val="19"/>
                <w:szCs w:val="19"/>
              </w:rPr>
              <w:t xml:space="preserve">0.00</w:t>
            </w:r>
          </w:p>
        </w:tc>
        <w:tc>
          <w:tcPr>
            <w:tcW w:type="dxa" w:w="2800"/>
            <w:tcMar>
              <w:top w:type="dxa" w:w="60"/>
              <w:left w:type="dxa" w:w="100"/>
              <w:bottom w:type="dxa" w:w="60"/>
              <w:right w:type="dxa" w:w="100"/>
            </w:tcMar>
          </w:tcPr>
          <w:p>
            <w:pPr>
              <w:jc w:val="left"/>
            </w:pPr>
            <w:r>
              <w:rPr>
                <w:b w:val="false"/>
                <w:bCs w:val="false"/>
                <w:sz w:val="19"/>
                <w:szCs w:val="19"/>
              </w:rPr>
              <w:t xml:space="preserve">14.86</w:t>
            </w:r>
          </w:p>
        </w:tc>
        <w:tc>
          <w:tcPr>
            <w:tcW w:type="dxa" w:w="1400"/>
            <w:tcMar>
              <w:top w:type="dxa" w:w="60"/>
              <w:left w:type="dxa" w:w="100"/>
              <w:bottom w:type="dxa" w:w="60"/>
              <w:right w:type="dxa" w:w="100"/>
            </w:tcMar>
          </w:tcPr>
          <w:p>
            <w:pPr>
              <w:jc w:val="left"/>
            </w:pPr>
            <w:r>
              <w:rPr>
                <w:b w:val="false"/>
                <w:bCs w:val="false"/>
                <w:sz w:val="19"/>
                <w:szCs w:val="19"/>
              </w:rPr>
              <w:t xml:space="preserve">6</w:t>
            </w:r>
          </w:p>
        </w:tc>
      </w:tr>
    </w:tbl>
    <w:p>
      <w:pPr>
        <w:spacing w:after="120"/>
      </w:pPr>
      <w:r>
        <w:t xml:space="preserve">Position is highly reproducible for all 7 peaks (std dev ≤ 1.95 cm⁻¹). Intensity is more variable: three peaks (999.9, 1093.2, 1784.2 cm⁻¹) show CV &gt; 15%, and 1784.2 cm⁻¹ was only detected in 6 of 12 spots — the weakest-supported peak in the set. This is quoted as-is from the file; it is not smoothed over in later confidence ratings.</w:t>
      </w:r>
    </w:p>
    <w:p>
      <w:r>
        <w:br w:type="page"/>
      </w:r>
    </w:p>
    <w:p>
      <w:pPr>
        <w:pStyle w:val="Heading1"/>
        <w:spacing w:after="160" w:before="360"/>
      </w:pPr>
      <w:r>
        <w:t xml:space="preserve">3. DFT-Simulated Raman Spectra (Fragment Models)</w:t>
      </w:r>
    </w:p>
    <w:p>
      <w:pPr>
        <w:spacing w:after="120"/>
      </w:pPr>
      <w:r>
        <w:t xml:space="preserve">The project's own DFT figure for the three LTA building-block fragments (glycerol-phosphate, D-alanine, N-acetyl-D-glucosamine), B3LYP/6-31G(d), ×0.96 scaled.</w:t>
      </w:r>
    </w:p>
    <w:p>
      <w:pPr>
        <w:spacing w:after="120" w:before="12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33775"/>
                    </a:xfrm>
                    <a:prstGeom prst="rect">
                      <a:avLst/>
                    </a:prstGeom>
                  </pic:spPr>
                </pic:pic>
              </a:graphicData>
            </a:graphic>
          </wp:inline>
        </w:drawing>
      </w:r>
    </w:p>
    <w:p>
      <w:pPr>
        <w:spacing w:after="240"/>
        <w:jc w:val="center"/>
      </w:pPr>
      <w:r>
        <w:rPr>
          <w:i/>
          <w:iCs/>
          <w:sz w:val="18"/>
          <w:szCs w:val="18"/>
        </w:rPr>
        <w:t xml:space="preserve">Figure 3.1 — Project DFT figure for the three LTA fragments (source: LTA_Plots/LTA_final_figure.png).</w:t>
      </w:r>
    </w:p>
    <w:p>
      <w:pPr>
        <w:pStyle w:val="Heading2"/>
        <w:spacing w:after="120" w:before="240"/>
      </w:pPr>
      <w:r>
        <w:t xml:space="preserve">3.1 Interpolated curve vs. discrete vibrational modes — verified</w:t>
      </w:r>
    </w:p>
    <w:p>
      <w:pPr>
        <w:spacing w:after="120"/>
      </w:pPr>
      <w:r>
        <w:t xml:space="preserve">Each fragment's *_raman_act.xlsx output was checked for point spacing. All three are uniformly spaced: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3200"/>
      </w:tblGrid>
      <w:tr>
        <w:trPr>
          <w:tblHeader/>
        </w:trPr>
        <w:tc>
          <w:tcPr>
            <w:tcW w:type="dxa" w:w="4000"/>
            <w:shd w:fill="1F4E5F" w:val="clear"/>
            <w:tcMar>
              <w:top w:type="dxa" w:w="60"/>
              <w:left w:type="dxa" w:w="100"/>
              <w:bottom w:type="dxa" w:w="60"/>
              <w:right w:type="dxa" w:w="100"/>
            </w:tcMar>
          </w:tcPr>
          <w:p>
            <w:pPr>
              <w:jc w:val="left"/>
            </w:pPr>
            <w:r>
              <w:rPr>
                <w:b/>
                <w:bCs/>
                <w:color w:val="FFFFFF"/>
                <w:sz w:val="19"/>
                <w:szCs w:val="19"/>
              </w:rPr>
              <w:t xml:space="preserve">Fragment</w:t>
            </w:r>
          </w:p>
        </w:tc>
        <w:tc>
          <w:tcPr>
            <w:tcW w:type="dxa" w:w="2800"/>
            <w:shd w:fill="1F4E5F" w:val="clear"/>
            <w:tcMar>
              <w:top w:type="dxa" w:w="60"/>
              <w:left w:type="dxa" w:w="100"/>
              <w:bottom w:type="dxa" w:w="60"/>
              <w:right w:type="dxa" w:w="100"/>
            </w:tcMar>
          </w:tcPr>
          <w:p>
            <w:pPr>
              <w:jc w:val="left"/>
            </w:pPr>
            <w:r>
              <w:rPr>
                <w:b/>
                <w:bCs/>
                <w:color w:val="FFFFFF"/>
                <w:sz w:val="19"/>
                <w:szCs w:val="19"/>
              </w:rPr>
              <w:t xml:space="preserve">Points</w:t>
            </w:r>
          </w:p>
        </w:tc>
        <w:tc>
          <w:tcPr>
            <w:tcW w:type="dxa" w:w="3200"/>
            <w:shd w:fill="1F4E5F" w:val="clear"/>
            <w:tcMar>
              <w:top w:type="dxa" w:w="60"/>
              <w:left w:type="dxa" w:w="100"/>
              <w:bottom w:type="dxa" w:w="60"/>
              <w:right w:type="dxa" w:w="100"/>
            </w:tcMar>
          </w:tcPr>
          <w:p>
            <w:pPr>
              <w:jc w:val="left"/>
            </w:pPr>
            <w:r>
              <w:rPr>
                <w:b/>
                <w:bCs/>
                <w:color w:val="FFFFFF"/>
                <w:sz w:val="19"/>
                <w:szCs w:val="19"/>
              </w:rPr>
              <w:t xml:space="preserve">Uniform step</w:t>
            </w:r>
          </w:p>
        </w:tc>
      </w:tr>
      <w:tr>
        <w:tc>
          <w:tcPr>
            <w:tcW w:type="dxa" w:w="4000"/>
            <w:tcMar>
              <w:top w:type="dxa" w:w="60"/>
              <w:left w:type="dxa" w:w="100"/>
              <w:bottom w:type="dxa" w:w="60"/>
              <w:right w:type="dxa" w:w="100"/>
            </w:tcMar>
          </w:tcPr>
          <w:p>
            <w:pPr>
              <w:jc w:val="left"/>
            </w:pPr>
            <w:r>
              <w:rPr>
                <w:b w:val="false"/>
                <w:bCs w:val="false"/>
                <w:sz w:val="19"/>
                <w:szCs w:val="19"/>
              </w:rPr>
              <w:t xml:space="preserve">Glycerol-phosphate</w:t>
            </w:r>
          </w:p>
        </w:tc>
        <w:tc>
          <w:tcPr>
            <w:tcW w:type="dxa" w:w="2800"/>
            <w:tcMar>
              <w:top w:type="dxa" w:w="60"/>
              <w:left w:type="dxa" w:w="100"/>
              <w:bottom w:type="dxa" w:w="60"/>
              <w:right w:type="dxa" w:w="100"/>
            </w:tcMar>
          </w:tcPr>
          <w:p>
            <w:pPr>
              <w:jc w:val="left"/>
            </w:pPr>
            <w:r>
              <w:rPr>
                <w:b w:val="false"/>
                <w:bCs w:val="false"/>
                <w:sz w:val="19"/>
                <w:szCs w:val="19"/>
              </w:rPr>
              <w:t xml:space="preserve">444</w:t>
            </w:r>
          </w:p>
        </w:tc>
        <w:tc>
          <w:tcPr>
            <w:tcW w:type="dxa" w:w="3200"/>
            <w:tcMar>
              <w:top w:type="dxa" w:w="60"/>
              <w:left w:type="dxa" w:w="100"/>
              <w:bottom w:type="dxa" w:w="60"/>
              <w:right w:type="dxa" w:w="100"/>
            </w:tcMar>
          </w:tcPr>
          <w:p>
            <w:pPr>
              <w:jc w:val="left"/>
            </w:pPr>
            <w:r>
              <w:rPr>
                <w:b w:val="false"/>
                <w:bCs w:val="false"/>
                <w:sz w:val="19"/>
                <w:szCs w:val="19"/>
              </w:rPr>
              <w:t xml:space="preserve">9.0 cm⁻¹</w:t>
            </w:r>
          </w:p>
        </w:tc>
      </w:tr>
      <w:tr>
        <w:tc>
          <w:tcPr>
            <w:tcW w:type="dxa" w:w="4000"/>
            <w:shd w:fill="F2F2F2" w:val="clear"/>
            <w:tcMar>
              <w:top w:type="dxa" w:w="60"/>
              <w:left w:type="dxa" w:w="100"/>
              <w:bottom w:type="dxa" w:w="60"/>
              <w:right w:type="dxa" w:w="100"/>
            </w:tcMar>
          </w:tcPr>
          <w:p>
            <w:pPr>
              <w:jc w:val="left"/>
            </w:pPr>
            <w:r>
              <w:rPr>
                <w:b w:val="false"/>
                <w:bCs w:val="false"/>
                <w:sz w:val="19"/>
                <w:szCs w:val="19"/>
              </w:rPr>
              <w:t xml:space="preserve">D-Alanine</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500</w:t>
            </w:r>
          </w:p>
        </w:tc>
        <w:tc>
          <w:tcPr>
            <w:tcW w:type="dxa" w:w="3200"/>
            <w:shd w:fill="F2F2F2" w:val="clear"/>
            <w:tcMar>
              <w:top w:type="dxa" w:w="60"/>
              <w:left w:type="dxa" w:w="100"/>
              <w:bottom w:type="dxa" w:w="60"/>
              <w:right w:type="dxa" w:w="100"/>
            </w:tcMar>
          </w:tcPr>
          <w:p>
            <w:pPr>
              <w:jc w:val="left"/>
            </w:pPr>
            <w:r>
              <w:rPr>
                <w:b w:val="false"/>
                <w:bCs w:val="false"/>
                <w:sz w:val="19"/>
                <w:szCs w:val="19"/>
              </w:rPr>
              <w:t xml:space="preserve">8.0 cm⁻¹</w:t>
            </w:r>
          </w:p>
        </w:tc>
      </w:tr>
      <w:tr>
        <w:tc>
          <w:tcPr>
            <w:tcW w:type="dxa" w:w="4000"/>
            <w:tcMar>
              <w:top w:type="dxa" w:w="60"/>
              <w:left w:type="dxa" w:w="100"/>
              <w:bottom w:type="dxa" w:w="60"/>
              <w:right w:type="dxa" w:w="100"/>
            </w:tcMar>
          </w:tcPr>
          <w:p>
            <w:pPr>
              <w:jc w:val="left"/>
            </w:pPr>
            <w:r>
              <w:rPr>
                <w:b w:val="false"/>
                <w:bCs w:val="false"/>
                <w:sz w:val="19"/>
                <w:szCs w:val="19"/>
              </w:rPr>
              <w:t xml:space="preserve">GlcNAc</w:t>
            </w:r>
          </w:p>
        </w:tc>
        <w:tc>
          <w:tcPr>
            <w:tcW w:type="dxa" w:w="2800"/>
            <w:tcMar>
              <w:top w:type="dxa" w:w="60"/>
              <w:left w:type="dxa" w:w="100"/>
              <w:bottom w:type="dxa" w:w="60"/>
              <w:right w:type="dxa" w:w="100"/>
            </w:tcMar>
          </w:tcPr>
          <w:p>
            <w:pPr>
              <w:jc w:val="left"/>
            </w:pPr>
            <w:r>
              <w:rPr>
                <w:b w:val="false"/>
                <w:bCs w:val="false"/>
                <w:sz w:val="19"/>
                <w:szCs w:val="19"/>
              </w:rPr>
              <w:t xml:space="preserve">500</w:t>
            </w:r>
          </w:p>
        </w:tc>
        <w:tc>
          <w:tcPr>
            <w:tcW w:type="dxa" w:w="3200"/>
            <w:tcMar>
              <w:top w:type="dxa" w:w="60"/>
              <w:left w:type="dxa" w:w="100"/>
              <w:bottom w:type="dxa" w:w="60"/>
              <w:right w:type="dxa" w:w="100"/>
            </w:tcMar>
          </w:tcPr>
          <w:p>
            <w:pPr>
              <w:jc w:val="left"/>
            </w:pPr>
            <w:r>
              <w:rPr>
                <w:b w:val="false"/>
                <w:bCs w:val="false"/>
                <w:sz w:val="19"/>
                <w:szCs w:val="19"/>
              </w:rPr>
              <w:t xml:space="preserve">8.0 cm⁻¹</w:t>
            </w:r>
          </w:p>
        </w:tc>
      </w:tr>
    </w:tbl>
    <w:p>
      <w:pPr>
        <w:pBdr>
          <w:left w:val="single" w:color="C0504D" w:sz="18" w:space="8"/>
        </w:pBdr>
        <w:spacing w:after="200" w:before="120"/>
        <w:ind w:left="200"/>
      </w:pPr>
      <w:r>
        <w:rPr>
          <w:i/>
          <w:iCs/>
        </w:rPr>
        <w:t xml:space="preserve">A real Gaussian frequency calculation produces one line per normal mode, at irregular, molecule-specific frequencies. A uniform 8–9 cm⁻¹ grid across 440–500 points is the signature of an interpolated/broadened curve, not a discrete mode list. This is confirmed directly from the files, not assumed. Consequently, no "DFT mode number" or symmetry label can be reported anywhere in this document — none exists in the available output — and every DFT peak position used below is a local maximum of this broadened curve, not a raw calculated frequency with its own linewidth or symmetry assignment.</w:t>
      </w:r>
    </w:p>
    <w:p>
      <w:pPr>
        <w:pStyle w:val="Heading1"/>
        <w:spacing w:after="160" w:before="360"/>
      </w:pPr>
      <w:r>
        <w:t xml:space="preserve">4. Experimental-vs-DFT Overlay and Peak-Matching</w:t>
      </w:r>
    </w:p>
    <w:p>
      <w:pPr>
        <w:spacing w:after="120"/>
      </w:pPr>
      <w:r>
        <w:t xml:space="preserve">Method: local maxima (candidate peak positions) were extracted from each of the three broadened DFT curves using scipy.signal.find_peaks (prominence ≥ 2% of that fragment's peak height), scaled ×0.96, and restricted to the 200–1900 cm⁻¹ window actually covered by the experimental spectrum. This produced 75 DFT candidate peak positions across the three fragments. Each of the 7 experimental characteristic peaks (Section 2) was then matched to its single nearest DFT candidate, with a fixed 15 cm⁻¹ tolerance stated up front (not chosen after seeing the results).</w:t>
      </w:r>
    </w:p>
    <w:p>
      <w:pPr>
        <w:spacing w:after="120" w:before="120"/>
        <w:jc w:val="center"/>
      </w:pPr>
      <w:r>
        <w:drawing>
          <wp:inline distT="0" distB="0" distL="0" distR="0">
            <wp:extent cx="6286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914650"/>
                    </a:xfrm>
                    <a:prstGeom prst="rect">
                      <a:avLst/>
                    </a:prstGeom>
                  </pic:spPr>
                </pic:pic>
              </a:graphicData>
            </a:graphic>
          </wp:inline>
        </w:drawing>
      </w:r>
    </w:p>
    <w:p>
      <w:pPr>
        <w:spacing w:after="240"/>
        <w:jc w:val="center"/>
      </w:pPr>
      <w:r>
        <w:rPr>
          <w:i/>
          <w:iCs/>
          <w:sz w:val="18"/>
          <w:szCs w:val="18"/>
        </w:rPr>
        <w:t xml:space="preserve">Figure 4.1 — Experimental averaged powder Raman (black, left axis) overlaid with the three normalised DFT fragment curves (right axis).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50"/>
        <w:gridCol w:w="2390"/>
        <w:gridCol w:w="2910"/>
        <w:gridCol w:w="1370"/>
        <w:gridCol w:w="1720"/>
      </w:tblGrid>
      <w:tr>
        <w:trPr>
          <w:tblHeader/>
        </w:trPr>
        <w:tc>
          <w:tcPr>
            <w:tcW w:type="dxa" w:w="2050"/>
            <w:shd w:fill="1F4E5F" w:val="clear"/>
            <w:tcMar>
              <w:top w:type="dxa" w:w="60"/>
              <w:left w:type="dxa" w:w="100"/>
              <w:bottom w:type="dxa" w:w="60"/>
              <w:right w:type="dxa" w:w="100"/>
            </w:tcMar>
          </w:tcPr>
          <w:p>
            <w:pPr>
              <w:jc w:val="left"/>
            </w:pPr>
            <w:r>
              <w:rPr>
                <w:b/>
                <w:bCs/>
                <w:color w:val="FFFFFF"/>
                <w:sz w:val="19"/>
                <w:szCs w:val="19"/>
              </w:rPr>
              <w:t xml:space="preserve">Experimental (cm⁻¹)</w:t>
            </w:r>
          </w:p>
        </w:tc>
        <w:tc>
          <w:tcPr>
            <w:tcW w:type="dxa" w:w="2390"/>
            <w:shd w:fill="1F4E5F" w:val="clear"/>
            <w:tcMar>
              <w:top w:type="dxa" w:w="60"/>
              <w:left w:type="dxa" w:w="100"/>
              <w:bottom w:type="dxa" w:w="60"/>
              <w:right w:type="dxa" w:w="100"/>
            </w:tcMar>
          </w:tcPr>
          <w:p>
            <w:pPr>
              <w:jc w:val="left"/>
            </w:pPr>
            <w:r>
              <w:rPr>
                <w:b/>
                <w:bCs/>
                <w:color w:val="FFFFFF"/>
                <w:sz w:val="19"/>
                <w:szCs w:val="19"/>
              </w:rPr>
              <w:t xml:space="preserve">Nearest DFT (cm⁻¹, ×0.96)</w:t>
            </w:r>
          </w:p>
        </w:tc>
        <w:tc>
          <w:tcPr>
            <w:tcW w:type="dxa" w:w="2910"/>
            <w:shd w:fill="1F4E5F" w:val="clear"/>
            <w:tcMar>
              <w:top w:type="dxa" w:w="60"/>
              <w:left w:type="dxa" w:w="100"/>
              <w:bottom w:type="dxa" w:w="60"/>
              <w:right w:type="dxa" w:w="100"/>
            </w:tcMar>
          </w:tcPr>
          <w:p>
            <w:pPr>
              <w:jc w:val="left"/>
            </w:pPr>
            <w:r>
              <w:rPr>
                <w:b/>
                <w:bCs/>
                <w:color w:val="FFFFFF"/>
                <w:sz w:val="19"/>
                <w:szCs w:val="19"/>
              </w:rPr>
              <w:t xml:space="preserve">Fragment</w:t>
            </w:r>
          </w:p>
        </w:tc>
        <w:tc>
          <w:tcPr>
            <w:tcW w:type="dxa" w:w="1370"/>
            <w:shd w:fill="1F4E5F" w:val="clear"/>
            <w:tcMar>
              <w:top w:type="dxa" w:w="60"/>
              <w:left w:type="dxa" w:w="100"/>
              <w:bottom w:type="dxa" w:w="60"/>
              <w:right w:type="dxa" w:w="100"/>
            </w:tcMar>
          </w:tcPr>
          <w:p>
            <w:pPr>
              <w:jc w:val="left"/>
            </w:pPr>
            <w:r>
              <w:rPr>
                <w:b/>
                <w:bCs/>
                <w:color w:val="FFFFFF"/>
                <w:sz w:val="19"/>
                <w:szCs w:val="19"/>
              </w:rPr>
              <w:t xml:space="preserve">Δ (cm⁻¹)</w:t>
            </w:r>
          </w:p>
        </w:tc>
        <w:tc>
          <w:tcPr>
            <w:tcW w:type="dxa" w:w="1720"/>
            <w:shd w:fill="1F4E5F" w:val="clear"/>
            <w:tcMar>
              <w:top w:type="dxa" w:w="60"/>
              <w:left w:type="dxa" w:w="100"/>
              <w:bottom w:type="dxa" w:w="60"/>
              <w:right w:type="dxa" w:w="100"/>
            </w:tcMar>
          </w:tcPr>
          <w:p>
            <w:pPr>
              <w:jc w:val="left"/>
            </w:pPr>
            <w:r>
              <w:rPr>
                <w:b/>
                <w:bCs/>
                <w:color w:val="FFFFFF"/>
                <w:sz w:val="19"/>
                <w:szCs w:val="19"/>
              </w:rPr>
              <w:t xml:space="preserve">Within tolerance</w:t>
            </w:r>
          </w:p>
        </w:tc>
      </w:tr>
      <w:tr>
        <w:tc>
          <w:tcPr>
            <w:tcW w:type="dxa" w:w="2050"/>
            <w:tcMar>
              <w:top w:type="dxa" w:w="60"/>
              <w:left w:type="dxa" w:w="100"/>
              <w:bottom w:type="dxa" w:w="60"/>
              <w:right w:type="dxa" w:w="100"/>
            </w:tcMar>
          </w:tcPr>
          <w:p>
            <w:pPr>
              <w:jc w:val="left"/>
            </w:pPr>
            <w:r>
              <w:rPr>
                <w:b w:val="false"/>
                <w:bCs w:val="false"/>
                <w:sz w:val="19"/>
                <w:szCs w:val="19"/>
              </w:rPr>
              <w:t xml:space="preserve">620.1</w:t>
            </w:r>
          </w:p>
        </w:tc>
        <w:tc>
          <w:tcPr>
            <w:tcW w:type="dxa" w:w="2390"/>
            <w:tcMar>
              <w:top w:type="dxa" w:w="60"/>
              <w:left w:type="dxa" w:w="100"/>
              <w:bottom w:type="dxa" w:w="60"/>
              <w:right w:type="dxa" w:w="100"/>
            </w:tcMar>
          </w:tcPr>
          <w:p>
            <w:pPr>
              <w:jc w:val="left"/>
            </w:pPr>
            <w:r>
              <w:rPr>
                <w:b w:val="false"/>
                <w:bCs w:val="false"/>
                <w:sz w:val="19"/>
                <w:szCs w:val="19"/>
              </w:rPr>
              <w:t xml:space="preserve">625.9</w:t>
            </w:r>
          </w:p>
        </w:tc>
        <w:tc>
          <w:tcPr>
            <w:tcW w:type="dxa" w:w="2910"/>
            <w:tcMar>
              <w:top w:type="dxa" w:w="60"/>
              <w:left w:type="dxa" w:w="100"/>
              <w:bottom w:type="dxa" w:w="60"/>
              <w:right w:type="dxa" w:w="100"/>
            </w:tcMar>
          </w:tcPr>
          <w:p>
            <w:pPr>
              <w:jc w:val="left"/>
            </w:pPr>
            <w:r>
              <w:rPr>
                <w:b w:val="false"/>
                <w:bCs w:val="false"/>
                <w:sz w:val="19"/>
                <w:szCs w:val="19"/>
              </w:rPr>
              <w:t xml:space="preserve">Glycerol-phosphate</w:t>
            </w:r>
          </w:p>
        </w:tc>
        <w:tc>
          <w:tcPr>
            <w:tcW w:type="dxa" w:w="1370"/>
            <w:tcMar>
              <w:top w:type="dxa" w:w="60"/>
              <w:left w:type="dxa" w:w="100"/>
              <w:bottom w:type="dxa" w:w="60"/>
              <w:right w:type="dxa" w:w="100"/>
            </w:tcMar>
          </w:tcPr>
          <w:p>
            <w:pPr>
              <w:jc w:val="left"/>
            </w:pPr>
            <w:r>
              <w:rPr>
                <w:b w:val="false"/>
                <w:bCs w:val="false"/>
                <w:sz w:val="19"/>
                <w:szCs w:val="19"/>
              </w:rPr>
              <w:t xml:space="preserve">5.8</w:t>
            </w:r>
          </w:p>
        </w:tc>
        <w:tc>
          <w:tcPr>
            <w:tcW w:type="dxa" w:w="1720"/>
            <w:tcMar>
              <w:top w:type="dxa" w:w="60"/>
              <w:left w:type="dxa" w:w="100"/>
              <w:bottom w:type="dxa" w:w="60"/>
              <w:right w:type="dxa" w:w="100"/>
            </w:tcMar>
          </w:tcPr>
          <w:p>
            <w:pPr>
              <w:jc w:val="left"/>
            </w:pPr>
            <w:r>
              <w:rPr>
                <w:b w:val="false"/>
                <w:bCs w:val="false"/>
                <w:sz w:val="19"/>
                <w:szCs w:val="19"/>
              </w:rPr>
              <w:t xml:space="preserve">Yes (≤15 cm⁻¹)</w:t>
            </w:r>
          </w:p>
        </w:tc>
      </w:tr>
      <w:tr>
        <w:tc>
          <w:tcPr>
            <w:tcW w:type="dxa" w:w="2050"/>
            <w:shd w:fill="F2F2F2" w:val="clear"/>
            <w:tcMar>
              <w:top w:type="dxa" w:w="60"/>
              <w:left w:type="dxa" w:w="100"/>
              <w:bottom w:type="dxa" w:w="60"/>
              <w:right w:type="dxa" w:w="100"/>
            </w:tcMar>
          </w:tcPr>
          <w:p>
            <w:pPr>
              <w:jc w:val="left"/>
            </w:pPr>
            <w:r>
              <w:rPr>
                <w:b w:val="false"/>
                <w:bCs w:val="false"/>
                <w:sz w:val="19"/>
                <w:szCs w:val="19"/>
              </w:rPr>
              <w:t xml:space="preserve">794.5</w:t>
            </w:r>
          </w:p>
        </w:tc>
        <w:tc>
          <w:tcPr>
            <w:tcW w:type="dxa" w:w="2390"/>
            <w:shd w:fill="F2F2F2" w:val="clear"/>
            <w:tcMar>
              <w:top w:type="dxa" w:w="60"/>
              <w:left w:type="dxa" w:w="100"/>
              <w:bottom w:type="dxa" w:w="60"/>
              <w:right w:type="dxa" w:w="100"/>
            </w:tcMar>
          </w:tcPr>
          <w:p>
            <w:pPr>
              <w:jc w:val="left"/>
            </w:pPr>
            <w:r>
              <w:rPr>
                <w:b w:val="false"/>
                <w:bCs w:val="false"/>
                <w:sz w:val="19"/>
                <w:szCs w:val="19"/>
              </w:rPr>
              <w:t xml:space="preserve">816</w:t>
            </w:r>
          </w:p>
        </w:tc>
        <w:tc>
          <w:tcPr>
            <w:tcW w:type="dxa" w:w="2910"/>
            <w:shd w:fill="F2F2F2" w:val="clear"/>
            <w:tcMar>
              <w:top w:type="dxa" w:w="60"/>
              <w:left w:type="dxa" w:w="100"/>
              <w:bottom w:type="dxa" w:w="60"/>
              <w:right w:type="dxa" w:w="100"/>
            </w:tcMar>
          </w:tcPr>
          <w:p>
            <w:pPr>
              <w:jc w:val="left"/>
            </w:pPr>
            <w:r>
              <w:rPr>
                <w:b w:val="false"/>
                <w:bCs w:val="false"/>
                <w:sz w:val="19"/>
                <w:szCs w:val="19"/>
              </w:rPr>
              <w:t xml:space="preserve">Glycerol-phosphate</w:t>
            </w:r>
          </w:p>
        </w:tc>
        <w:tc>
          <w:tcPr>
            <w:tcW w:type="dxa" w:w="1370"/>
            <w:shd w:fill="F2F2F2" w:val="clear"/>
            <w:tcMar>
              <w:top w:type="dxa" w:w="60"/>
              <w:left w:type="dxa" w:w="100"/>
              <w:bottom w:type="dxa" w:w="60"/>
              <w:right w:type="dxa" w:w="100"/>
            </w:tcMar>
          </w:tcPr>
          <w:p>
            <w:pPr>
              <w:jc w:val="left"/>
            </w:pPr>
            <w:r>
              <w:rPr>
                <w:b w:val="false"/>
                <w:bCs w:val="false"/>
                <w:sz w:val="19"/>
                <w:szCs w:val="19"/>
              </w:rPr>
              <w:t xml:space="preserve">21.5</w:t>
            </w:r>
          </w:p>
        </w:tc>
        <w:tc>
          <w:tcPr>
            <w:tcW w:type="dxa" w:w="1720"/>
            <w:shd w:fill="F2F2F2" w:val="clear"/>
            <w:tcMar>
              <w:top w:type="dxa" w:w="60"/>
              <w:left w:type="dxa" w:w="100"/>
              <w:bottom w:type="dxa" w:w="60"/>
              <w:right w:type="dxa" w:w="100"/>
            </w:tcMar>
          </w:tcPr>
          <w:p>
            <w:pPr>
              <w:jc w:val="left"/>
            </w:pPr>
            <w:r>
              <w:rPr>
                <w:b w:val="false"/>
                <w:bCs w:val="false"/>
                <w:sz w:val="19"/>
                <w:szCs w:val="19"/>
              </w:rPr>
              <w:t xml:space="preserve">No</w:t>
            </w:r>
          </w:p>
        </w:tc>
      </w:tr>
      <w:tr>
        <w:tc>
          <w:tcPr>
            <w:tcW w:type="dxa" w:w="2050"/>
            <w:tcMar>
              <w:top w:type="dxa" w:w="60"/>
              <w:left w:type="dxa" w:w="100"/>
              <w:bottom w:type="dxa" w:w="60"/>
              <w:right w:type="dxa" w:w="100"/>
            </w:tcMar>
          </w:tcPr>
          <w:p>
            <w:pPr>
              <w:jc w:val="left"/>
            </w:pPr>
            <w:r>
              <w:rPr>
                <w:b w:val="false"/>
                <w:bCs w:val="false"/>
                <w:sz w:val="19"/>
                <w:szCs w:val="19"/>
              </w:rPr>
              <w:t xml:space="preserve">999.9</w:t>
            </w:r>
          </w:p>
        </w:tc>
        <w:tc>
          <w:tcPr>
            <w:tcW w:type="dxa" w:w="2390"/>
            <w:tcMar>
              <w:top w:type="dxa" w:w="60"/>
              <w:left w:type="dxa" w:w="100"/>
              <w:bottom w:type="dxa" w:w="60"/>
              <w:right w:type="dxa" w:w="100"/>
            </w:tcMar>
          </w:tcPr>
          <w:p>
            <w:pPr>
              <w:jc w:val="left"/>
            </w:pPr>
            <w:r>
              <w:rPr>
                <w:b w:val="false"/>
                <w:bCs w:val="false"/>
                <w:sz w:val="19"/>
                <w:szCs w:val="19"/>
              </w:rPr>
              <w:t xml:space="preserve">990.7</w:t>
            </w:r>
          </w:p>
        </w:tc>
        <w:tc>
          <w:tcPr>
            <w:tcW w:type="dxa" w:w="2910"/>
            <w:tcMar>
              <w:top w:type="dxa" w:w="60"/>
              <w:left w:type="dxa" w:w="100"/>
              <w:bottom w:type="dxa" w:w="60"/>
              <w:right w:type="dxa" w:w="100"/>
            </w:tcMar>
          </w:tcPr>
          <w:p>
            <w:pPr>
              <w:jc w:val="left"/>
            </w:pPr>
            <w:r>
              <w:rPr>
                <w:b w:val="false"/>
                <w:bCs w:val="false"/>
                <w:sz w:val="19"/>
                <w:szCs w:val="19"/>
              </w:rPr>
              <w:t xml:space="preserve">D-Alanine</w:t>
            </w:r>
          </w:p>
        </w:tc>
        <w:tc>
          <w:tcPr>
            <w:tcW w:type="dxa" w:w="1370"/>
            <w:tcMar>
              <w:top w:type="dxa" w:w="60"/>
              <w:left w:type="dxa" w:w="100"/>
              <w:bottom w:type="dxa" w:w="60"/>
              <w:right w:type="dxa" w:w="100"/>
            </w:tcMar>
          </w:tcPr>
          <w:p>
            <w:pPr>
              <w:jc w:val="left"/>
            </w:pPr>
            <w:r>
              <w:rPr>
                <w:b w:val="false"/>
                <w:bCs w:val="false"/>
                <w:sz w:val="19"/>
                <w:szCs w:val="19"/>
              </w:rPr>
              <w:t xml:space="preserve">9.2</w:t>
            </w:r>
          </w:p>
        </w:tc>
        <w:tc>
          <w:tcPr>
            <w:tcW w:type="dxa" w:w="1720"/>
            <w:tcMar>
              <w:top w:type="dxa" w:w="60"/>
              <w:left w:type="dxa" w:w="100"/>
              <w:bottom w:type="dxa" w:w="60"/>
              <w:right w:type="dxa" w:w="100"/>
            </w:tcMar>
          </w:tcPr>
          <w:p>
            <w:pPr>
              <w:jc w:val="left"/>
            </w:pPr>
            <w:r>
              <w:rPr>
                <w:b w:val="false"/>
                <w:bCs w:val="false"/>
                <w:sz w:val="19"/>
                <w:szCs w:val="19"/>
              </w:rPr>
              <w:t xml:space="preserve">Yes (≤15 cm⁻¹)</w:t>
            </w:r>
          </w:p>
        </w:tc>
      </w:tr>
      <w:tr>
        <w:tc>
          <w:tcPr>
            <w:tcW w:type="dxa" w:w="2050"/>
            <w:shd w:fill="F2F2F2" w:val="clear"/>
            <w:tcMar>
              <w:top w:type="dxa" w:w="60"/>
              <w:left w:type="dxa" w:w="100"/>
              <w:bottom w:type="dxa" w:w="60"/>
              <w:right w:type="dxa" w:w="100"/>
            </w:tcMar>
          </w:tcPr>
          <w:p>
            <w:pPr>
              <w:jc w:val="left"/>
            </w:pPr>
            <w:r>
              <w:rPr>
                <w:b w:val="false"/>
                <w:bCs w:val="false"/>
                <w:sz w:val="19"/>
                <w:szCs w:val="19"/>
              </w:rPr>
              <w:t xml:space="preserve">1093.2</w:t>
            </w:r>
          </w:p>
        </w:tc>
        <w:tc>
          <w:tcPr>
            <w:tcW w:type="dxa" w:w="2390"/>
            <w:shd w:fill="F2F2F2" w:val="clear"/>
            <w:tcMar>
              <w:top w:type="dxa" w:w="60"/>
              <w:left w:type="dxa" w:w="100"/>
              <w:bottom w:type="dxa" w:w="60"/>
              <w:right w:type="dxa" w:w="100"/>
            </w:tcMar>
          </w:tcPr>
          <w:p>
            <w:pPr>
              <w:jc w:val="left"/>
            </w:pPr>
            <w:r>
              <w:rPr>
                <w:b w:val="false"/>
                <w:bCs w:val="false"/>
                <w:sz w:val="19"/>
                <w:szCs w:val="19"/>
              </w:rPr>
              <w:t xml:space="preserve">1105.9</w:t>
            </w:r>
          </w:p>
        </w:tc>
        <w:tc>
          <w:tcPr>
            <w:tcW w:type="dxa" w:w="2910"/>
            <w:shd w:fill="F2F2F2" w:val="clear"/>
            <w:tcMar>
              <w:top w:type="dxa" w:w="60"/>
              <w:left w:type="dxa" w:w="100"/>
              <w:bottom w:type="dxa" w:w="60"/>
              <w:right w:type="dxa" w:w="100"/>
            </w:tcMar>
          </w:tcPr>
          <w:p>
            <w:pPr>
              <w:jc w:val="left"/>
            </w:pPr>
            <w:r>
              <w:rPr>
                <w:b w:val="false"/>
                <w:bCs w:val="false"/>
                <w:sz w:val="19"/>
                <w:szCs w:val="19"/>
              </w:rPr>
              <w:t xml:space="preserve">GlcNAc (N-acetyl-D-glucosamine)</w:t>
            </w:r>
          </w:p>
        </w:tc>
        <w:tc>
          <w:tcPr>
            <w:tcW w:type="dxa" w:w="1370"/>
            <w:shd w:fill="F2F2F2" w:val="clear"/>
            <w:tcMar>
              <w:top w:type="dxa" w:w="60"/>
              <w:left w:type="dxa" w:w="100"/>
              <w:bottom w:type="dxa" w:w="60"/>
              <w:right w:type="dxa" w:w="100"/>
            </w:tcMar>
          </w:tcPr>
          <w:p>
            <w:pPr>
              <w:jc w:val="left"/>
            </w:pPr>
            <w:r>
              <w:rPr>
                <w:b w:val="false"/>
                <w:bCs w:val="false"/>
                <w:sz w:val="19"/>
                <w:szCs w:val="19"/>
              </w:rPr>
              <w:t xml:space="preserve">12.7</w:t>
            </w:r>
          </w:p>
        </w:tc>
        <w:tc>
          <w:tcPr>
            <w:tcW w:type="dxa" w:w="1720"/>
            <w:shd w:fill="F2F2F2" w:val="clear"/>
            <w:tcMar>
              <w:top w:type="dxa" w:w="60"/>
              <w:left w:type="dxa" w:w="100"/>
              <w:bottom w:type="dxa" w:w="60"/>
              <w:right w:type="dxa" w:w="100"/>
            </w:tcMar>
          </w:tcPr>
          <w:p>
            <w:pPr>
              <w:jc w:val="left"/>
            </w:pPr>
            <w:r>
              <w:rPr>
                <w:b w:val="false"/>
                <w:bCs w:val="false"/>
                <w:sz w:val="19"/>
                <w:szCs w:val="19"/>
              </w:rPr>
              <w:t xml:space="preserve">Yes (≤15 cm⁻¹)</w:t>
            </w:r>
          </w:p>
        </w:tc>
      </w:tr>
      <w:tr>
        <w:tc>
          <w:tcPr>
            <w:tcW w:type="dxa" w:w="2050"/>
            <w:tcMar>
              <w:top w:type="dxa" w:w="60"/>
              <w:left w:type="dxa" w:w="100"/>
              <w:bottom w:type="dxa" w:w="60"/>
              <w:right w:type="dxa" w:w="100"/>
            </w:tcMar>
          </w:tcPr>
          <w:p>
            <w:pPr>
              <w:jc w:val="left"/>
            </w:pPr>
            <w:r>
              <w:rPr>
                <w:b w:val="false"/>
                <w:bCs w:val="false"/>
                <w:sz w:val="19"/>
                <w:szCs w:val="19"/>
              </w:rPr>
              <w:t xml:space="preserve">1184.6</w:t>
            </w:r>
          </w:p>
        </w:tc>
        <w:tc>
          <w:tcPr>
            <w:tcW w:type="dxa" w:w="2390"/>
            <w:tcMar>
              <w:top w:type="dxa" w:w="60"/>
              <w:left w:type="dxa" w:w="100"/>
              <w:bottom w:type="dxa" w:w="60"/>
              <w:right w:type="dxa" w:w="100"/>
            </w:tcMar>
          </w:tcPr>
          <w:p>
            <w:pPr>
              <w:jc w:val="left"/>
            </w:pPr>
            <w:r>
              <w:rPr>
                <w:b w:val="false"/>
                <w:bCs w:val="false"/>
                <w:sz w:val="19"/>
                <w:szCs w:val="19"/>
              </w:rPr>
              <w:t xml:space="preserve">1178.9</w:t>
            </w:r>
          </w:p>
        </w:tc>
        <w:tc>
          <w:tcPr>
            <w:tcW w:type="dxa" w:w="2910"/>
            <w:tcMar>
              <w:top w:type="dxa" w:w="60"/>
              <w:left w:type="dxa" w:w="100"/>
              <w:bottom w:type="dxa" w:w="60"/>
              <w:right w:type="dxa" w:w="100"/>
            </w:tcMar>
          </w:tcPr>
          <w:p>
            <w:pPr>
              <w:jc w:val="left"/>
            </w:pPr>
            <w:r>
              <w:rPr>
                <w:b w:val="false"/>
                <w:bCs w:val="false"/>
                <w:sz w:val="19"/>
                <w:szCs w:val="19"/>
              </w:rPr>
              <w:t xml:space="preserve">Glycerol-phosphate</w:t>
            </w:r>
          </w:p>
        </w:tc>
        <w:tc>
          <w:tcPr>
            <w:tcW w:type="dxa" w:w="1370"/>
            <w:tcMar>
              <w:top w:type="dxa" w:w="60"/>
              <w:left w:type="dxa" w:w="100"/>
              <w:bottom w:type="dxa" w:w="60"/>
              <w:right w:type="dxa" w:w="100"/>
            </w:tcMar>
          </w:tcPr>
          <w:p>
            <w:pPr>
              <w:jc w:val="left"/>
            </w:pPr>
            <w:r>
              <w:rPr>
                <w:b w:val="false"/>
                <w:bCs w:val="false"/>
                <w:sz w:val="19"/>
                <w:szCs w:val="19"/>
              </w:rPr>
              <w:t xml:space="preserve">5.7</w:t>
            </w:r>
          </w:p>
        </w:tc>
        <w:tc>
          <w:tcPr>
            <w:tcW w:type="dxa" w:w="1720"/>
            <w:tcMar>
              <w:top w:type="dxa" w:w="60"/>
              <w:left w:type="dxa" w:w="100"/>
              <w:bottom w:type="dxa" w:w="60"/>
              <w:right w:type="dxa" w:w="100"/>
            </w:tcMar>
          </w:tcPr>
          <w:p>
            <w:pPr>
              <w:jc w:val="left"/>
            </w:pPr>
            <w:r>
              <w:rPr>
                <w:b w:val="false"/>
                <w:bCs w:val="false"/>
                <w:sz w:val="19"/>
                <w:szCs w:val="19"/>
              </w:rPr>
              <w:t xml:space="preserve">Yes (≤15 cm⁻¹)</w:t>
            </w:r>
          </w:p>
        </w:tc>
      </w:tr>
      <w:tr>
        <w:tc>
          <w:tcPr>
            <w:tcW w:type="dxa" w:w="2050"/>
            <w:shd w:fill="F2F2F2" w:val="clear"/>
            <w:tcMar>
              <w:top w:type="dxa" w:w="60"/>
              <w:left w:type="dxa" w:w="100"/>
              <w:bottom w:type="dxa" w:w="60"/>
              <w:right w:type="dxa" w:w="100"/>
            </w:tcMar>
          </w:tcPr>
          <w:p>
            <w:pPr>
              <w:jc w:val="left"/>
            </w:pPr>
            <w:r>
              <w:rPr>
                <w:b w:val="false"/>
                <w:bCs w:val="false"/>
                <w:sz w:val="19"/>
                <w:szCs w:val="19"/>
              </w:rPr>
              <w:t xml:space="preserve">1602.4</w:t>
            </w:r>
          </w:p>
        </w:tc>
        <w:tc>
          <w:tcPr>
            <w:tcW w:type="dxa" w:w="2390"/>
            <w:shd w:fill="F2F2F2" w:val="clear"/>
            <w:tcMar>
              <w:top w:type="dxa" w:w="60"/>
              <w:left w:type="dxa" w:w="100"/>
              <w:bottom w:type="dxa" w:w="60"/>
              <w:right w:type="dxa" w:w="100"/>
            </w:tcMar>
          </w:tcPr>
          <w:p>
            <w:pPr>
              <w:jc w:val="left"/>
            </w:pPr>
            <w:r>
              <w:rPr>
                <w:b w:val="false"/>
                <w:bCs w:val="false"/>
                <w:sz w:val="19"/>
                <w:szCs w:val="19"/>
              </w:rPr>
              <w:t xml:space="preserve">1605.1</w:t>
            </w:r>
          </w:p>
        </w:tc>
        <w:tc>
          <w:tcPr>
            <w:tcW w:type="dxa" w:w="2910"/>
            <w:shd w:fill="F2F2F2" w:val="clear"/>
            <w:tcMar>
              <w:top w:type="dxa" w:w="60"/>
              <w:left w:type="dxa" w:w="100"/>
              <w:bottom w:type="dxa" w:w="60"/>
              <w:right w:type="dxa" w:w="100"/>
            </w:tcMar>
          </w:tcPr>
          <w:p>
            <w:pPr>
              <w:jc w:val="left"/>
            </w:pPr>
            <w:r>
              <w:rPr>
                <w:b w:val="false"/>
                <w:bCs w:val="false"/>
                <w:sz w:val="19"/>
                <w:szCs w:val="19"/>
              </w:rPr>
              <w:t xml:space="preserve">GlcNAc (N-acetyl-D-glucosamine)</w:t>
            </w:r>
          </w:p>
        </w:tc>
        <w:tc>
          <w:tcPr>
            <w:tcW w:type="dxa" w:w="1370"/>
            <w:shd w:fill="F2F2F2" w:val="clear"/>
            <w:tcMar>
              <w:top w:type="dxa" w:w="60"/>
              <w:left w:type="dxa" w:w="100"/>
              <w:bottom w:type="dxa" w:w="60"/>
              <w:right w:type="dxa" w:w="100"/>
            </w:tcMar>
          </w:tcPr>
          <w:p>
            <w:pPr>
              <w:jc w:val="left"/>
            </w:pPr>
            <w:r>
              <w:rPr>
                <w:b w:val="false"/>
                <w:bCs w:val="false"/>
                <w:sz w:val="19"/>
                <w:szCs w:val="19"/>
              </w:rPr>
              <w:t xml:space="preserve">2.7</w:t>
            </w:r>
          </w:p>
        </w:tc>
        <w:tc>
          <w:tcPr>
            <w:tcW w:type="dxa" w:w="1720"/>
            <w:shd w:fill="F2F2F2" w:val="clear"/>
            <w:tcMar>
              <w:top w:type="dxa" w:w="60"/>
              <w:left w:type="dxa" w:w="100"/>
              <w:bottom w:type="dxa" w:w="60"/>
              <w:right w:type="dxa" w:w="100"/>
            </w:tcMar>
          </w:tcPr>
          <w:p>
            <w:pPr>
              <w:jc w:val="left"/>
            </w:pPr>
            <w:r>
              <w:rPr>
                <w:b w:val="false"/>
                <w:bCs w:val="false"/>
                <w:sz w:val="19"/>
                <w:szCs w:val="19"/>
              </w:rPr>
              <w:t xml:space="preserve">Yes (≤15 cm⁻¹)</w:t>
            </w:r>
          </w:p>
        </w:tc>
      </w:tr>
      <w:tr>
        <w:tc>
          <w:tcPr>
            <w:tcW w:type="dxa" w:w="2050"/>
            <w:tcMar>
              <w:top w:type="dxa" w:w="60"/>
              <w:left w:type="dxa" w:w="100"/>
              <w:bottom w:type="dxa" w:w="60"/>
              <w:right w:type="dxa" w:w="100"/>
            </w:tcMar>
          </w:tcPr>
          <w:p>
            <w:pPr>
              <w:jc w:val="left"/>
            </w:pPr>
            <w:r>
              <w:rPr>
                <w:b w:val="false"/>
                <w:bCs w:val="false"/>
                <w:sz w:val="19"/>
                <w:szCs w:val="19"/>
              </w:rPr>
              <w:t xml:space="preserve">1784.2</w:t>
            </w:r>
          </w:p>
        </w:tc>
        <w:tc>
          <w:tcPr>
            <w:tcW w:type="dxa" w:w="2390"/>
            <w:tcMar>
              <w:top w:type="dxa" w:w="60"/>
              <w:left w:type="dxa" w:w="100"/>
              <w:bottom w:type="dxa" w:w="60"/>
              <w:right w:type="dxa" w:w="100"/>
            </w:tcMar>
          </w:tcPr>
          <w:p>
            <w:pPr>
              <w:jc w:val="left"/>
            </w:pPr>
            <w:r>
              <w:rPr>
                <w:b w:val="false"/>
                <w:bCs w:val="false"/>
                <w:sz w:val="19"/>
                <w:szCs w:val="19"/>
              </w:rPr>
              <w:t xml:space="preserve">1689.6</w:t>
            </w:r>
          </w:p>
        </w:tc>
        <w:tc>
          <w:tcPr>
            <w:tcW w:type="dxa" w:w="2910"/>
            <w:tcMar>
              <w:top w:type="dxa" w:w="60"/>
              <w:left w:type="dxa" w:w="100"/>
              <w:bottom w:type="dxa" w:w="60"/>
              <w:right w:type="dxa" w:w="100"/>
            </w:tcMar>
          </w:tcPr>
          <w:p>
            <w:pPr>
              <w:jc w:val="left"/>
            </w:pPr>
            <w:r>
              <w:rPr>
                <w:b w:val="false"/>
                <w:bCs w:val="false"/>
                <w:sz w:val="19"/>
                <w:szCs w:val="19"/>
              </w:rPr>
              <w:t xml:space="preserve">D-Alanine</w:t>
            </w:r>
          </w:p>
        </w:tc>
        <w:tc>
          <w:tcPr>
            <w:tcW w:type="dxa" w:w="1370"/>
            <w:tcMar>
              <w:top w:type="dxa" w:w="60"/>
              <w:left w:type="dxa" w:w="100"/>
              <w:bottom w:type="dxa" w:w="60"/>
              <w:right w:type="dxa" w:w="100"/>
            </w:tcMar>
          </w:tcPr>
          <w:p>
            <w:pPr>
              <w:jc w:val="left"/>
            </w:pPr>
            <w:r>
              <w:rPr>
                <w:b w:val="false"/>
                <w:bCs w:val="false"/>
                <w:sz w:val="19"/>
                <w:szCs w:val="19"/>
              </w:rPr>
              <w:t xml:space="preserve">94.6</w:t>
            </w:r>
          </w:p>
        </w:tc>
        <w:tc>
          <w:tcPr>
            <w:tcW w:type="dxa" w:w="1720"/>
            <w:tcMar>
              <w:top w:type="dxa" w:w="60"/>
              <w:left w:type="dxa" w:w="100"/>
              <w:bottom w:type="dxa" w:w="60"/>
              <w:right w:type="dxa" w:w="100"/>
            </w:tcMar>
          </w:tcPr>
          <w:p>
            <w:pPr>
              <w:jc w:val="left"/>
            </w:pPr>
            <w:r>
              <w:rPr>
                <w:b w:val="false"/>
                <w:bCs w:val="false"/>
                <w:sz w:val="19"/>
                <w:szCs w:val="19"/>
              </w:rPr>
              <w:t xml:space="preserve">No</w:t>
            </w:r>
          </w:p>
        </w:tc>
      </w:tr>
    </w:tbl>
    <w:p>
      <w:pPr>
        <w:spacing w:after="120"/>
      </w:pPr>
      <w:r>
        <w:rPr>
          <w:b/>
          <w:bCs/>
        </w:rPr>
        <w:t xml:space="preserve">Result: 5 of 7 experimental peaks matched a DFT candidate within 15 cm⁻¹. For the matched peaks only: MAE = 7.2 cm⁻¹, RMSE = 8 cm⁻¹. Across all 7 peaks regardless of tolerance: MAE = 21.7 cm⁻¹, RMSE = 37.3 cm⁻¹.</w:t>
      </w:r>
    </w:p>
    <w:p>
      <w:pPr>
        <w:spacing w:after="120"/>
      </w:pPr>
      <w:r>
        <w:t xml:space="preserve">One-to-one check: 0 of the DFT peaks used above were claimed as the nearest match for more than one experimental peak — the 5 matches are mutually independent, not an artifact of one strong DFT peak absorbing several experimental peaks.</w:t>
      </w:r>
    </w:p>
    <w:p>
      <w:pPr>
        <w:pBdr>
          <w:left w:val="single" w:color="C0504D" w:sz="18" w:space="8"/>
        </w:pBdr>
        <w:spacing w:after="200" w:before="120"/>
        <w:ind w:left="200"/>
      </w:pPr>
      <w:r>
        <w:rPr>
          <w:i/>
          <w:iCs/>
        </w:rPr>
        <w:t xml:space="preserve">The 2 unmatched peaks (794.5 and 1784.2 cm⁻¹) are reported as unmatched, not forced onto a distant DFT candidate. 1784.2 cm⁻¹ is also the weakest-supported experimental peak (detected in only 6/12 spots, Section 2.1).</w:t>
      </w:r>
    </w:p>
    <w:p>
      <w:r>
        <w:br w:type="page"/>
      </w:r>
    </w:p>
    <w:p>
      <w:pPr>
        <w:pStyle w:val="Heading1"/>
        <w:spacing w:after="160" w:before="360"/>
      </w:pPr>
      <w:r>
        <w:t xml:space="preserve">5. High-Confidence LTA Reference-Band Table</w:t>
      </w:r>
    </w:p>
    <w:p>
      <w:pPr>
        <w:spacing w:after="120"/>
      </w:pPr>
      <w:r>
        <w:t xml:space="preserve">Confidence is rated from the evidence actually available: reproducibility across the 12 spots (Section 2.1), agreement with a DFT candidate (Section 4), and whether the underlying DFT source carries a verifiable mode identity (it does not — Section 3.1). No band in this table is rated "High confidence": the comparison is fragment-vs-whole-polymer and curve-vs-mode limited by design, not by a scoring choice.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50"/>
        <w:gridCol w:w="1300"/>
        <w:gridCol w:w="1030"/>
        <w:gridCol w:w="3110"/>
        <w:gridCol w:w="2240"/>
        <w:gridCol w:w="1210"/>
      </w:tblGrid>
      <w:tr>
        <w:trPr>
          <w:tblHeader/>
        </w:trPr>
        <w:tc>
          <w:tcPr>
            <w:tcW w:type="dxa" w:w="1550"/>
            <w:shd w:fill="1F4E5F" w:val="clear"/>
            <w:tcMar>
              <w:top w:type="dxa" w:w="60"/>
              <w:left w:type="dxa" w:w="100"/>
              <w:bottom w:type="dxa" w:w="60"/>
              <w:right w:type="dxa" w:w="100"/>
            </w:tcMar>
          </w:tcPr>
          <w:p>
            <w:pPr>
              <w:jc w:val="left"/>
            </w:pPr>
            <w:r>
              <w:rPr>
                <w:b/>
                <w:bCs/>
                <w:color w:val="FFFFFF"/>
                <w:sz w:val="19"/>
                <w:szCs w:val="19"/>
              </w:rPr>
              <w:t xml:space="preserve">Experimental LTA (cm⁻¹)</w:t>
            </w:r>
          </w:p>
        </w:tc>
        <w:tc>
          <w:tcPr>
            <w:tcW w:type="dxa" w:w="1300"/>
            <w:shd w:fill="1F4E5F" w:val="clear"/>
            <w:tcMar>
              <w:top w:type="dxa" w:w="60"/>
              <w:left w:type="dxa" w:w="100"/>
              <w:bottom w:type="dxa" w:w="60"/>
              <w:right w:type="dxa" w:w="100"/>
            </w:tcMar>
          </w:tcPr>
          <w:p>
            <w:pPr>
              <w:jc w:val="left"/>
            </w:pPr>
            <w:r>
              <w:rPr>
                <w:b/>
                <w:bCs/>
                <w:color w:val="FFFFFF"/>
                <w:sz w:val="19"/>
                <w:szCs w:val="19"/>
              </w:rPr>
              <w:t xml:space="preserve">DFT (cm⁻¹)</w:t>
            </w:r>
          </w:p>
        </w:tc>
        <w:tc>
          <w:tcPr>
            <w:tcW w:type="dxa" w:w="1030"/>
            <w:shd w:fill="1F4E5F" w:val="clear"/>
            <w:tcMar>
              <w:top w:type="dxa" w:w="60"/>
              <w:left w:type="dxa" w:w="100"/>
              <w:bottom w:type="dxa" w:w="60"/>
              <w:right w:type="dxa" w:w="100"/>
            </w:tcMar>
          </w:tcPr>
          <w:p>
            <w:pPr>
              <w:jc w:val="left"/>
            </w:pPr>
            <w:r>
              <w:rPr>
                <w:b/>
                <w:bCs/>
                <w:color w:val="FFFFFF"/>
                <w:sz w:val="19"/>
                <w:szCs w:val="19"/>
              </w:rPr>
              <w:t xml:space="preserve">Δ (cm⁻¹)</w:t>
            </w:r>
          </w:p>
        </w:tc>
        <w:tc>
          <w:tcPr>
            <w:tcW w:type="dxa" w:w="3110"/>
            <w:shd w:fill="1F4E5F" w:val="clear"/>
            <w:tcMar>
              <w:top w:type="dxa" w:w="60"/>
              <w:left w:type="dxa" w:w="100"/>
              <w:bottom w:type="dxa" w:w="60"/>
              <w:right w:type="dxa" w:w="100"/>
            </w:tcMar>
          </w:tcPr>
          <w:p>
            <w:pPr>
              <w:jc w:val="left"/>
            </w:pPr>
            <w:r>
              <w:rPr>
                <w:b/>
                <w:bCs/>
                <w:color w:val="FFFFFF"/>
                <w:sz w:val="19"/>
                <w:szCs w:val="19"/>
              </w:rPr>
              <w:t xml:space="preserve">Vibrational assignment</w:t>
            </w:r>
          </w:p>
        </w:tc>
        <w:tc>
          <w:tcPr>
            <w:tcW w:type="dxa" w:w="2240"/>
            <w:shd w:fill="1F4E5F" w:val="clear"/>
            <w:tcMar>
              <w:top w:type="dxa" w:w="60"/>
              <w:left w:type="dxa" w:w="100"/>
              <w:bottom w:type="dxa" w:w="60"/>
              <w:right w:type="dxa" w:w="100"/>
            </w:tcMar>
          </w:tcPr>
          <w:p>
            <w:pPr>
              <w:jc w:val="left"/>
            </w:pPr>
            <w:r>
              <w:rPr>
                <w:b/>
                <w:bCs/>
                <w:color w:val="FFFFFF"/>
                <w:sz w:val="19"/>
                <w:szCs w:val="19"/>
              </w:rPr>
              <w:t xml:space="preserve">DFT mode</w:t>
            </w:r>
          </w:p>
        </w:tc>
        <w:tc>
          <w:tcPr>
            <w:tcW w:type="dxa" w:w="1210"/>
            <w:shd w:fill="1F4E5F" w:val="clear"/>
            <w:tcMar>
              <w:top w:type="dxa" w:w="60"/>
              <w:left w:type="dxa" w:w="100"/>
              <w:bottom w:type="dxa" w:w="60"/>
              <w:right w:type="dxa" w:w="100"/>
            </w:tcMar>
          </w:tcPr>
          <w:p>
            <w:pPr>
              <w:jc w:val="left"/>
            </w:pPr>
            <w:r>
              <w:rPr>
                <w:b/>
                <w:bCs/>
                <w:color w:val="FFFFFF"/>
                <w:sz w:val="19"/>
                <w:szCs w:val="19"/>
              </w:rPr>
              <w:t xml:space="preserve">Confidence</w:t>
            </w:r>
          </w:p>
        </w:tc>
      </w:tr>
      <w:tr>
        <w:tc>
          <w:tcPr>
            <w:tcW w:type="dxa" w:w="1550"/>
            <w:tcMar>
              <w:top w:type="dxa" w:w="60"/>
              <w:left w:type="dxa" w:w="100"/>
              <w:bottom w:type="dxa" w:w="60"/>
              <w:right w:type="dxa" w:w="100"/>
            </w:tcMar>
          </w:tcPr>
          <w:p>
            <w:pPr>
              <w:jc w:val="left"/>
            </w:pPr>
            <w:r>
              <w:rPr>
                <w:b w:val="false"/>
                <w:bCs w:val="false"/>
                <w:sz w:val="19"/>
                <w:szCs w:val="19"/>
              </w:rPr>
              <w:t xml:space="preserve">620.1</w:t>
            </w:r>
          </w:p>
        </w:tc>
        <w:tc>
          <w:tcPr>
            <w:tcW w:type="dxa" w:w="1300"/>
            <w:tcMar>
              <w:top w:type="dxa" w:w="60"/>
              <w:left w:type="dxa" w:w="100"/>
              <w:bottom w:type="dxa" w:w="60"/>
              <w:right w:type="dxa" w:w="100"/>
            </w:tcMar>
          </w:tcPr>
          <w:p>
            <w:pPr>
              <w:jc w:val="left"/>
            </w:pPr>
            <w:r>
              <w:rPr>
                <w:b w:val="false"/>
                <w:bCs w:val="false"/>
                <w:sz w:val="19"/>
                <w:szCs w:val="19"/>
              </w:rPr>
              <w:t xml:space="preserve">625.9</w:t>
            </w:r>
          </w:p>
        </w:tc>
        <w:tc>
          <w:tcPr>
            <w:tcW w:type="dxa" w:w="1030"/>
            <w:tcMar>
              <w:top w:type="dxa" w:w="60"/>
              <w:left w:type="dxa" w:w="100"/>
              <w:bottom w:type="dxa" w:w="60"/>
              <w:right w:type="dxa" w:w="100"/>
            </w:tcMar>
          </w:tcPr>
          <w:p>
            <w:pPr>
              <w:jc w:val="left"/>
            </w:pPr>
            <w:r>
              <w:rPr>
                <w:b w:val="false"/>
                <w:bCs w:val="false"/>
                <w:sz w:val="19"/>
                <w:szCs w:val="19"/>
              </w:rPr>
              <w:t xml:space="preserve">5.8</w:t>
            </w:r>
          </w:p>
        </w:tc>
        <w:tc>
          <w:tcPr>
            <w:tcW w:type="dxa" w:w="3110"/>
            <w:tcMar>
              <w:top w:type="dxa" w:w="60"/>
              <w:left w:type="dxa" w:w="100"/>
              <w:bottom w:type="dxa" w:w="60"/>
              <w:right w:type="dxa" w:w="100"/>
            </w:tcMar>
          </w:tcPr>
          <w:p>
            <w:pPr>
              <w:jc w:val="left"/>
            </w:pPr>
            <w:r>
              <w:rPr>
                <w:b w:val="false"/>
                <w:bCs w:val="false"/>
                <w:sz w:val="19"/>
                <w:szCs w:val="19"/>
              </w:rPr>
              <w:t xml:space="preserve">Skeletal/backbone deformation region (general — no mode-specific assignment available)</w:t>
            </w:r>
          </w:p>
        </w:tc>
        <w:tc>
          <w:tcPr>
            <w:tcW w:type="dxa" w:w="2240"/>
            <w:tcMar>
              <w:top w:type="dxa" w:w="60"/>
              <w:left w:type="dxa" w:w="100"/>
              <w:bottom w:type="dxa" w:w="60"/>
              <w:right w:type="dxa" w:w="100"/>
            </w:tcMar>
          </w:tcPr>
          <w:p>
            <w:pPr>
              <w:jc w:val="left"/>
            </w:pPr>
            <w:r>
              <w:rPr>
                <w:b w:val="false"/>
                <w:bCs w:val="false"/>
                <w:sz w:val="19"/>
                <w:szCs w:val="19"/>
              </w:rPr>
              <w:t xml:space="preserve">Not available (fragment output has no mode number/symmetry label)</w:t>
            </w:r>
          </w:p>
        </w:tc>
        <w:tc>
          <w:tcPr>
            <w:tcW w:type="dxa" w:w="1210"/>
            <w:tcMar>
              <w:top w:type="dxa" w:w="60"/>
              <w:left w:type="dxa" w:w="100"/>
              <w:bottom w:type="dxa" w:w="60"/>
              <w:right w:type="dxa" w:w="100"/>
            </w:tcMar>
          </w:tcPr>
          <w:p>
            <w:pPr>
              <w:jc w:val="left"/>
            </w:pPr>
            <w:r>
              <w:rPr>
                <w:b w:val="false"/>
                <w:bCs w:val="false"/>
                <w:sz w:val="19"/>
                <w:szCs w:val="19"/>
              </w:rPr>
              <w:t xml:space="preserve">Moderate</w:t>
            </w:r>
          </w:p>
        </w:tc>
      </w:tr>
      <w:tr>
        <w:tc>
          <w:tcPr>
            <w:tcW w:type="dxa" w:w="1550"/>
            <w:shd w:fill="F2F2F2" w:val="clear"/>
            <w:tcMar>
              <w:top w:type="dxa" w:w="60"/>
              <w:left w:type="dxa" w:w="100"/>
              <w:bottom w:type="dxa" w:w="60"/>
              <w:right w:type="dxa" w:w="100"/>
            </w:tcMar>
          </w:tcPr>
          <w:p>
            <w:pPr>
              <w:jc w:val="left"/>
            </w:pPr>
            <w:r>
              <w:rPr>
                <w:b w:val="false"/>
                <w:bCs w:val="false"/>
                <w:sz w:val="19"/>
                <w:szCs w:val="19"/>
              </w:rPr>
              <w:t xml:space="preserve">794.5</w:t>
            </w:r>
          </w:p>
        </w:tc>
        <w:tc>
          <w:tcPr>
            <w:tcW w:type="dxa" w:w="1300"/>
            <w:shd w:fill="F2F2F2" w:val="clear"/>
            <w:tcMar>
              <w:top w:type="dxa" w:w="60"/>
              <w:left w:type="dxa" w:w="100"/>
              <w:bottom w:type="dxa" w:w="60"/>
              <w:right w:type="dxa" w:w="100"/>
            </w:tcMar>
          </w:tcPr>
          <w:p>
            <w:pPr>
              <w:jc w:val="left"/>
            </w:pPr>
            <w:r>
              <w:rPr>
                <w:b w:val="false"/>
                <w:bCs w:val="false"/>
                <w:sz w:val="19"/>
                <w:szCs w:val="19"/>
              </w:rPr>
              <w:t xml:space="preserve">— (no match ≤15 cm⁻¹)</w:t>
            </w:r>
          </w:p>
        </w:tc>
        <w:tc>
          <w:tcPr>
            <w:tcW w:type="dxa" w:w="1030"/>
            <w:shd w:fill="F2F2F2" w:val="clear"/>
            <w:tcMar>
              <w:top w:type="dxa" w:w="60"/>
              <w:left w:type="dxa" w:w="100"/>
              <w:bottom w:type="dxa" w:w="60"/>
              <w:right w:type="dxa" w:w="100"/>
            </w:tcMar>
          </w:tcPr>
          <w:p>
            <w:pPr>
              <w:jc w:val="left"/>
            </w:pPr>
            <w:r>
              <w:rPr>
                <w:b w:val="false"/>
                <w:bCs w:val="false"/>
                <w:sz w:val="19"/>
                <w:szCs w:val="19"/>
              </w:rPr>
              <w:t xml:space="preserve">—</w:t>
            </w:r>
          </w:p>
        </w:tc>
        <w:tc>
          <w:tcPr>
            <w:tcW w:type="dxa" w:w="3110"/>
            <w:shd w:fill="F2F2F2" w:val="clear"/>
            <w:tcMar>
              <w:top w:type="dxa" w:w="60"/>
              <w:left w:type="dxa" w:w="100"/>
              <w:bottom w:type="dxa" w:w="60"/>
              <w:right w:type="dxa" w:w="100"/>
            </w:tcMar>
          </w:tcPr>
          <w:p>
            <w:pPr>
              <w:jc w:val="left"/>
            </w:pPr>
            <w:r>
              <w:rPr>
                <w:b w:val="false"/>
                <w:bCs w:val="false"/>
                <w:sz w:val="19"/>
                <w:szCs w:val="19"/>
              </w:rPr>
              <w:t xml:space="preserve">Not determinable — no DFT candidate within tolerance</w:t>
            </w:r>
          </w:p>
        </w:tc>
        <w:tc>
          <w:tcPr>
            <w:tcW w:type="dxa" w:w="2240"/>
            <w:shd w:fill="F2F2F2" w:val="clear"/>
            <w:tcMar>
              <w:top w:type="dxa" w:w="60"/>
              <w:left w:type="dxa" w:w="100"/>
              <w:bottom w:type="dxa" w:w="60"/>
              <w:right w:type="dxa" w:w="100"/>
            </w:tcMar>
          </w:tcPr>
          <w:p>
            <w:pPr>
              <w:jc w:val="left"/>
            </w:pPr>
            <w:r>
              <w:rPr>
                <w:b w:val="false"/>
                <w:bCs w:val="false"/>
                <w:sz w:val="19"/>
                <w:szCs w:val="19"/>
              </w:rPr>
              <w:t xml:space="preserve">Not available (fragment output has no mode number/symmetry label)</w:t>
            </w:r>
          </w:p>
        </w:tc>
        <w:tc>
          <w:tcPr>
            <w:tcW w:type="dxa" w:w="1210"/>
            <w:shd w:fill="F2F2F2" w:val="clear"/>
            <w:tcMar>
              <w:top w:type="dxa" w:w="60"/>
              <w:left w:type="dxa" w:w="100"/>
              <w:bottom w:type="dxa" w:w="60"/>
              <w:right w:type="dxa" w:w="100"/>
            </w:tcMar>
          </w:tcPr>
          <w:p>
            <w:pPr>
              <w:jc w:val="left"/>
            </w:pPr>
            <w:r>
              <w:rPr>
                <w:b w:val="false"/>
                <w:bCs w:val="false"/>
                <w:sz w:val="19"/>
                <w:szCs w:val="19"/>
              </w:rPr>
              <w:t xml:space="preserve">Unconfirmed</w:t>
            </w:r>
          </w:p>
        </w:tc>
      </w:tr>
      <w:tr>
        <w:tc>
          <w:tcPr>
            <w:tcW w:type="dxa" w:w="1550"/>
            <w:tcMar>
              <w:top w:type="dxa" w:w="60"/>
              <w:left w:type="dxa" w:w="100"/>
              <w:bottom w:type="dxa" w:w="60"/>
              <w:right w:type="dxa" w:w="100"/>
            </w:tcMar>
          </w:tcPr>
          <w:p>
            <w:pPr>
              <w:jc w:val="left"/>
            </w:pPr>
            <w:r>
              <w:rPr>
                <w:b w:val="false"/>
                <w:bCs w:val="false"/>
                <w:sz w:val="19"/>
                <w:szCs w:val="19"/>
              </w:rPr>
              <w:t xml:space="preserve">999.9</w:t>
            </w:r>
          </w:p>
        </w:tc>
        <w:tc>
          <w:tcPr>
            <w:tcW w:type="dxa" w:w="1300"/>
            <w:tcMar>
              <w:top w:type="dxa" w:w="60"/>
              <w:left w:type="dxa" w:w="100"/>
              <w:bottom w:type="dxa" w:w="60"/>
              <w:right w:type="dxa" w:w="100"/>
            </w:tcMar>
          </w:tcPr>
          <w:p>
            <w:pPr>
              <w:jc w:val="left"/>
            </w:pPr>
            <w:r>
              <w:rPr>
                <w:b w:val="false"/>
                <w:bCs w:val="false"/>
                <w:sz w:val="19"/>
                <w:szCs w:val="19"/>
              </w:rPr>
              <w:t xml:space="preserve">990.7</w:t>
            </w:r>
          </w:p>
        </w:tc>
        <w:tc>
          <w:tcPr>
            <w:tcW w:type="dxa" w:w="1030"/>
            <w:tcMar>
              <w:top w:type="dxa" w:w="60"/>
              <w:left w:type="dxa" w:w="100"/>
              <w:bottom w:type="dxa" w:w="60"/>
              <w:right w:type="dxa" w:w="100"/>
            </w:tcMar>
          </w:tcPr>
          <w:p>
            <w:pPr>
              <w:jc w:val="left"/>
            </w:pPr>
            <w:r>
              <w:rPr>
                <w:b w:val="false"/>
                <w:bCs w:val="false"/>
                <w:sz w:val="19"/>
                <w:szCs w:val="19"/>
              </w:rPr>
              <w:t xml:space="preserve">9.2</w:t>
            </w:r>
          </w:p>
        </w:tc>
        <w:tc>
          <w:tcPr>
            <w:tcW w:type="dxa" w:w="3110"/>
            <w:tcMar>
              <w:top w:type="dxa" w:w="60"/>
              <w:left w:type="dxa" w:w="100"/>
              <w:bottom w:type="dxa" w:w="60"/>
              <w:right w:type="dxa" w:w="100"/>
            </w:tcMar>
          </w:tcPr>
          <w:p>
            <w:pPr>
              <w:jc w:val="left"/>
            </w:pPr>
            <w:r>
              <w:rPr>
                <w:b w:val="false"/>
                <w:bCs w:val="false"/>
                <w:sz w:val="19"/>
                <w:szCs w:val="19"/>
              </w:rPr>
              <w:t xml:space="preserve">C–C / C–N skeletal stretch region (general)</w:t>
            </w:r>
          </w:p>
        </w:tc>
        <w:tc>
          <w:tcPr>
            <w:tcW w:type="dxa" w:w="2240"/>
            <w:tcMar>
              <w:top w:type="dxa" w:w="60"/>
              <w:left w:type="dxa" w:w="100"/>
              <w:bottom w:type="dxa" w:w="60"/>
              <w:right w:type="dxa" w:w="100"/>
            </w:tcMar>
          </w:tcPr>
          <w:p>
            <w:pPr>
              <w:jc w:val="left"/>
            </w:pPr>
            <w:r>
              <w:rPr>
                <w:b w:val="false"/>
                <w:bCs w:val="false"/>
                <w:sz w:val="19"/>
                <w:szCs w:val="19"/>
              </w:rPr>
              <w:t xml:space="preserve">Not available (fragment output has no mode number/symmetry label)</w:t>
            </w:r>
          </w:p>
        </w:tc>
        <w:tc>
          <w:tcPr>
            <w:tcW w:type="dxa" w:w="1210"/>
            <w:tcMar>
              <w:top w:type="dxa" w:w="60"/>
              <w:left w:type="dxa" w:w="100"/>
              <w:bottom w:type="dxa" w:w="60"/>
              <w:right w:type="dxa" w:w="100"/>
            </w:tcMar>
          </w:tcPr>
          <w:p>
            <w:pPr>
              <w:jc w:val="left"/>
            </w:pPr>
            <w:r>
              <w:rPr>
                <w:b w:val="false"/>
                <w:bCs w:val="false"/>
                <w:sz w:val="19"/>
                <w:szCs w:val="19"/>
              </w:rPr>
              <w:t xml:space="preserve">Moderate</w:t>
            </w:r>
          </w:p>
        </w:tc>
      </w:tr>
      <w:tr>
        <w:tc>
          <w:tcPr>
            <w:tcW w:type="dxa" w:w="1550"/>
            <w:shd w:fill="F2F2F2" w:val="clear"/>
            <w:tcMar>
              <w:top w:type="dxa" w:w="60"/>
              <w:left w:type="dxa" w:w="100"/>
              <w:bottom w:type="dxa" w:w="60"/>
              <w:right w:type="dxa" w:w="100"/>
            </w:tcMar>
          </w:tcPr>
          <w:p>
            <w:pPr>
              <w:jc w:val="left"/>
            </w:pPr>
            <w:r>
              <w:rPr>
                <w:b w:val="false"/>
                <w:bCs w:val="false"/>
                <w:sz w:val="19"/>
                <w:szCs w:val="19"/>
              </w:rPr>
              <w:t xml:space="preserve">1093.2</w:t>
            </w:r>
          </w:p>
        </w:tc>
        <w:tc>
          <w:tcPr>
            <w:tcW w:type="dxa" w:w="1300"/>
            <w:shd w:fill="F2F2F2" w:val="clear"/>
            <w:tcMar>
              <w:top w:type="dxa" w:w="60"/>
              <w:left w:type="dxa" w:w="100"/>
              <w:bottom w:type="dxa" w:w="60"/>
              <w:right w:type="dxa" w:w="100"/>
            </w:tcMar>
          </w:tcPr>
          <w:p>
            <w:pPr>
              <w:jc w:val="left"/>
            </w:pPr>
            <w:r>
              <w:rPr>
                <w:b w:val="false"/>
                <w:bCs w:val="false"/>
                <w:sz w:val="19"/>
                <w:szCs w:val="19"/>
              </w:rPr>
              <w:t xml:space="preserve">1105.9</w:t>
            </w:r>
          </w:p>
        </w:tc>
        <w:tc>
          <w:tcPr>
            <w:tcW w:type="dxa" w:w="1030"/>
            <w:shd w:fill="F2F2F2" w:val="clear"/>
            <w:tcMar>
              <w:top w:type="dxa" w:w="60"/>
              <w:left w:type="dxa" w:w="100"/>
              <w:bottom w:type="dxa" w:w="60"/>
              <w:right w:type="dxa" w:w="100"/>
            </w:tcMar>
          </w:tcPr>
          <w:p>
            <w:pPr>
              <w:jc w:val="left"/>
            </w:pPr>
            <w:r>
              <w:rPr>
                <w:b w:val="false"/>
                <w:bCs w:val="false"/>
                <w:sz w:val="19"/>
                <w:szCs w:val="19"/>
              </w:rPr>
              <w:t xml:space="preserve">12.7</w:t>
            </w:r>
          </w:p>
        </w:tc>
        <w:tc>
          <w:tcPr>
            <w:tcW w:type="dxa" w:w="3110"/>
            <w:shd w:fill="F2F2F2" w:val="clear"/>
            <w:tcMar>
              <w:top w:type="dxa" w:w="60"/>
              <w:left w:type="dxa" w:w="100"/>
              <w:bottom w:type="dxa" w:w="60"/>
              <w:right w:type="dxa" w:w="100"/>
            </w:tcMar>
          </w:tcPr>
          <w:p>
            <w:pPr>
              <w:jc w:val="left"/>
            </w:pPr>
            <w:r>
              <w:rPr>
                <w:b w:val="false"/>
                <w:bCs w:val="false"/>
                <w:sz w:val="19"/>
                <w:szCs w:val="19"/>
              </w:rPr>
              <w:t xml:space="preserve">Falls inside the 1080–1095 cm⁻¹ phosphodiester (PO₂⁻ symmetric stretch) band the project's own literature tier (Sec. 6) marks LIT-CONFIRMED</w:t>
            </w:r>
          </w:p>
        </w:tc>
        <w:tc>
          <w:tcPr>
            <w:tcW w:type="dxa" w:w="2240"/>
            <w:shd w:fill="F2F2F2" w:val="clear"/>
            <w:tcMar>
              <w:top w:type="dxa" w:w="60"/>
              <w:left w:type="dxa" w:w="100"/>
              <w:bottom w:type="dxa" w:w="60"/>
              <w:right w:type="dxa" w:w="100"/>
            </w:tcMar>
          </w:tcPr>
          <w:p>
            <w:pPr>
              <w:jc w:val="left"/>
            </w:pPr>
            <w:r>
              <w:rPr>
                <w:b w:val="false"/>
                <w:bCs w:val="false"/>
                <w:sz w:val="19"/>
                <w:szCs w:val="19"/>
              </w:rPr>
              <w:t xml:space="preserve">Not available (fragment output has no mode number/symmetry label)</w:t>
            </w:r>
          </w:p>
        </w:tc>
        <w:tc>
          <w:tcPr>
            <w:tcW w:type="dxa" w:w="1210"/>
            <w:shd w:fill="F2F2F2" w:val="clear"/>
            <w:tcMar>
              <w:top w:type="dxa" w:w="60"/>
              <w:left w:type="dxa" w:w="100"/>
              <w:bottom w:type="dxa" w:w="60"/>
              <w:right w:type="dxa" w:w="100"/>
            </w:tcMar>
          </w:tcPr>
          <w:p>
            <w:pPr>
              <w:jc w:val="left"/>
            </w:pPr>
            <w:r>
              <w:rPr>
                <w:b w:val="false"/>
                <w:bCs w:val="false"/>
                <w:sz w:val="19"/>
                <w:szCs w:val="19"/>
              </w:rPr>
              <w:t xml:space="preserve">Low</w:t>
            </w:r>
          </w:p>
        </w:tc>
      </w:tr>
      <w:tr>
        <w:tc>
          <w:tcPr>
            <w:tcW w:type="dxa" w:w="1550"/>
            <w:tcMar>
              <w:top w:type="dxa" w:w="60"/>
              <w:left w:type="dxa" w:w="100"/>
              <w:bottom w:type="dxa" w:w="60"/>
              <w:right w:type="dxa" w:w="100"/>
            </w:tcMar>
          </w:tcPr>
          <w:p>
            <w:pPr>
              <w:jc w:val="left"/>
            </w:pPr>
            <w:r>
              <w:rPr>
                <w:b w:val="false"/>
                <w:bCs w:val="false"/>
                <w:sz w:val="19"/>
                <w:szCs w:val="19"/>
              </w:rPr>
              <w:t xml:space="preserve">1184.6</w:t>
            </w:r>
          </w:p>
        </w:tc>
        <w:tc>
          <w:tcPr>
            <w:tcW w:type="dxa" w:w="1300"/>
            <w:tcMar>
              <w:top w:type="dxa" w:w="60"/>
              <w:left w:type="dxa" w:w="100"/>
              <w:bottom w:type="dxa" w:w="60"/>
              <w:right w:type="dxa" w:w="100"/>
            </w:tcMar>
          </w:tcPr>
          <w:p>
            <w:pPr>
              <w:jc w:val="left"/>
            </w:pPr>
            <w:r>
              <w:rPr>
                <w:b w:val="false"/>
                <w:bCs w:val="false"/>
                <w:sz w:val="19"/>
                <w:szCs w:val="19"/>
              </w:rPr>
              <w:t xml:space="preserve">1178.9</w:t>
            </w:r>
          </w:p>
        </w:tc>
        <w:tc>
          <w:tcPr>
            <w:tcW w:type="dxa" w:w="1030"/>
            <w:tcMar>
              <w:top w:type="dxa" w:w="60"/>
              <w:left w:type="dxa" w:w="100"/>
              <w:bottom w:type="dxa" w:w="60"/>
              <w:right w:type="dxa" w:w="100"/>
            </w:tcMar>
          </w:tcPr>
          <w:p>
            <w:pPr>
              <w:jc w:val="left"/>
            </w:pPr>
            <w:r>
              <w:rPr>
                <w:b w:val="false"/>
                <w:bCs w:val="false"/>
                <w:sz w:val="19"/>
                <w:szCs w:val="19"/>
              </w:rPr>
              <w:t xml:space="preserve">5.7</w:t>
            </w:r>
          </w:p>
        </w:tc>
        <w:tc>
          <w:tcPr>
            <w:tcW w:type="dxa" w:w="3110"/>
            <w:tcMar>
              <w:top w:type="dxa" w:w="60"/>
              <w:left w:type="dxa" w:w="100"/>
              <w:bottom w:type="dxa" w:w="60"/>
              <w:right w:type="dxa" w:w="100"/>
            </w:tcMar>
          </w:tcPr>
          <w:p>
            <w:pPr>
              <w:jc w:val="left"/>
            </w:pPr>
            <w:r>
              <w:rPr>
                <w:b w:val="false"/>
                <w:bCs w:val="false"/>
                <w:sz w:val="19"/>
                <w:szCs w:val="19"/>
              </w:rPr>
              <w:t xml:space="preserve">C–O / C–O–C stretch region (general)</w:t>
            </w:r>
          </w:p>
        </w:tc>
        <w:tc>
          <w:tcPr>
            <w:tcW w:type="dxa" w:w="2240"/>
            <w:tcMar>
              <w:top w:type="dxa" w:w="60"/>
              <w:left w:type="dxa" w:w="100"/>
              <w:bottom w:type="dxa" w:w="60"/>
              <w:right w:type="dxa" w:w="100"/>
            </w:tcMar>
          </w:tcPr>
          <w:p>
            <w:pPr>
              <w:jc w:val="left"/>
            </w:pPr>
            <w:r>
              <w:rPr>
                <w:b w:val="false"/>
                <w:bCs w:val="false"/>
                <w:sz w:val="19"/>
                <w:szCs w:val="19"/>
              </w:rPr>
              <w:t xml:space="preserve">Not available (fragment output has no mode number/symmetry label)</w:t>
            </w:r>
          </w:p>
        </w:tc>
        <w:tc>
          <w:tcPr>
            <w:tcW w:type="dxa" w:w="1210"/>
            <w:tcMar>
              <w:top w:type="dxa" w:w="60"/>
              <w:left w:type="dxa" w:w="100"/>
              <w:bottom w:type="dxa" w:w="60"/>
              <w:right w:type="dxa" w:w="100"/>
            </w:tcMar>
          </w:tcPr>
          <w:p>
            <w:pPr>
              <w:jc w:val="left"/>
            </w:pPr>
            <w:r>
              <w:rPr>
                <w:b w:val="false"/>
                <w:bCs w:val="false"/>
                <w:sz w:val="19"/>
                <w:szCs w:val="19"/>
              </w:rPr>
              <w:t xml:space="preserve">Moderate</w:t>
            </w:r>
          </w:p>
        </w:tc>
      </w:tr>
      <w:tr>
        <w:tc>
          <w:tcPr>
            <w:tcW w:type="dxa" w:w="1550"/>
            <w:shd w:fill="F2F2F2" w:val="clear"/>
            <w:tcMar>
              <w:top w:type="dxa" w:w="60"/>
              <w:left w:type="dxa" w:w="100"/>
              <w:bottom w:type="dxa" w:w="60"/>
              <w:right w:type="dxa" w:w="100"/>
            </w:tcMar>
          </w:tcPr>
          <w:p>
            <w:pPr>
              <w:jc w:val="left"/>
            </w:pPr>
            <w:r>
              <w:rPr>
                <w:b w:val="false"/>
                <w:bCs w:val="false"/>
                <w:sz w:val="19"/>
                <w:szCs w:val="19"/>
              </w:rPr>
              <w:t xml:space="preserve">1602.4</w:t>
            </w:r>
          </w:p>
        </w:tc>
        <w:tc>
          <w:tcPr>
            <w:tcW w:type="dxa" w:w="1300"/>
            <w:shd w:fill="F2F2F2" w:val="clear"/>
            <w:tcMar>
              <w:top w:type="dxa" w:w="60"/>
              <w:left w:type="dxa" w:w="100"/>
              <w:bottom w:type="dxa" w:w="60"/>
              <w:right w:type="dxa" w:w="100"/>
            </w:tcMar>
          </w:tcPr>
          <w:p>
            <w:pPr>
              <w:jc w:val="left"/>
            </w:pPr>
            <w:r>
              <w:rPr>
                <w:b w:val="false"/>
                <w:bCs w:val="false"/>
                <w:sz w:val="19"/>
                <w:szCs w:val="19"/>
              </w:rPr>
              <w:t xml:space="preserve">1605.1</w:t>
            </w:r>
          </w:p>
        </w:tc>
        <w:tc>
          <w:tcPr>
            <w:tcW w:type="dxa" w:w="1030"/>
            <w:shd w:fill="F2F2F2" w:val="clear"/>
            <w:tcMar>
              <w:top w:type="dxa" w:w="60"/>
              <w:left w:type="dxa" w:w="100"/>
              <w:bottom w:type="dxa" w:w="60"/>
              <w:right w:type="dxa" w:w="100"/>
            </w:tcMar>
          </w:tcPr>
          <w:p>
            <w:pPr>
              <w:jc w:val="left"/>
            </w:pPr>
            <w:r>
              <w:rPr>
                <w:b w:val="false"/>
                <w:bCs w:val="false"/>
                <w:sz w:val="19"/>
                <w:szCs w:val="19"/>
              </w:rPr>
              <w:t xml:space="preserve">2.7</w:t>
            </w:r>
          </w:p>
        </w:tc>
        <w:tc>
          <w:tcPr>
            <w:tcW w:type="dxa" w:w="3110"/>
            <w:shd w:fill="F2F2F2" w:val="clear"/>
            <w:tcMar>
              <w:top w:type="dxa" w:w="60"/>
              <w:left w:type="dxa" w:w="100"/>
              <w:bottom w:type="dxa" w:w="60"/>
              <w:right w:type="dxa" w:w="100"/>
            </w:tcMar>
          </w:tcPr>
          <w:p>
            <w:pPr>
              <w:jc w:val="left"/>
            </w:pPr>
            <w:r>
              <w:rPr>
                <w:b w:val="false"/>
                <w:bCs w:val="false"/>
                <w:sz w:val="19"/>
                <w:szCs w:val="19"/>
              </w:rPr>
              <w:t xml:space="preserve">Coincides with a substrate (blank) SERS feature at the same position (Sec. 7/8) — treat with caution even at the powder-Raman level</w:t>
            </w:r>
          </w:p>
        </w:tc>
        <w:tc>
          <w:tcPr>
            <w:tcW w:type="dxa" w:w="2240"/>
            <w:shd w:fill="F2F2F2" w:val="clear"/>
            <w:tcMar>
              <w:top w:type="dxa" w:w="60"/>
              <w:left w:type="dxa" w:w="100"/>
              <w:bottom w:type="dxa" w:w="60"/>
              <w:right w:type="dxa" w:w="100"/>
            </w:tcMar>
          </w:tcPr>
          <w:p>
            <w:pPr>
              <w:jc w:val="left"/>
            </w:pPr>
            <w:r>
              <w:rPr>
                <w:b w:val="false"/>
                <w:bCs w:val="false"/>
                <w:sz w:val="19"/>
                <w:szCs w:val="19"/>
              </w:rPr>
              <w:t xml:space="preserve">Not available (fragment output has no mode number/symmetry label)</w:t>
            </w:r>
          </w:p>
        </w:tc>
        <w:tc>
          <w:tcPr>
            <w:tcW w:type="dxa" w:w="1210"/>
            <w:shd w:fill="F2F2F2" w:val="clear"/>
            <w:tcMar>
              <w:top w:type="dxa" w:w="60"/>
              <w:left w:type="dxa" w:w="100"/>
              <w:bottom w:type="dxa" w:w="60"/>
              <w:right w:type="dxa" w:w="100"/>
            </w:tcMar>
          </w:tcPr>
          <w:p>
            <w:pPr>
              <w:jc w:val="left"/>
            </w:pPr>
            <w:r>
              <w:rPr>
                <w:b w:val="false"/>
                <w:bCs w:val="false"/>
                <w:sz w:val="19"/>
                <w:szCs w:val="19"/>
              </w:rPr>
              <w:t xml:space="preserve">Moderate</w:t>
            </w:r>
          </w:p>
        </w:tc>
      </w:tr>
      <w:tr>
        <w:tc>
          <w:tcPr>
            <w:tcW w:type="dxa" w:w="1550"/>
            <w:tcMar>
              <w:top w:type="dxa" w:w="60"/>
              <w:left w:type="dxa" w:w="100"/>
              <w:bottom w:type="dxa" w:w="60"/>
              <w:right w:type="dxa" w:w="100"/>
            </w:tcMar>
          </w:tcPr>
          <w:p>
            <w:pPr>
              <w:jc w:val="left"/>
            </w:pPr>
            <w:r>
              <w:rPr>
                <w:b w:val="false"/>
                <w:bCs w:val="false"/>
                <w:sz w:val="19"/>
                <w:szCs w:val="19"/>
              </w:rPr>
              <w:t xml:space="preserve">1784.2</w:t>
            </w:r>
          </w:p>
        </w:tc>
        <w:tc>
          <w:tcPr>
            <w:tcW w:type="dxa" w:w="1300"/>
            <w:tcMar>
              <w:top w:type="dxa" w:w="60"/>
              <w:left w:type="dxa" w:w="100"/>
              <w:bottom w:type="dxa" w:w="60"/>
              <w:right w:type="dxa" w:w="100"/>
            </w:tcMar>
          </w:tcPr>
          <w:p>
            <w:pPr>
              <w:jc w:val="left"/>
            </w:pPr>
            <w:r>
              <w:rPr>
                <w:b w:val="false"/>
                <w:bCs w:val="false"/>
                <w:sz w:val="19"/>
                <w:szCs w:val="19"/>
              </w:rPr>
              <w:t xml:space="preserve">— (no match ≤15 cm⁻¹)</w:t>
            </w:r>
          </w:p>
        </w:tc>
        <w:tc>
          <w:tcPr>
            <w:tcW w:type="dxa" w:w="1030"/>
            <w:tcMar>
              <w:top w:type="dxa" w:w="60"/>
              <w:left w:type="dxa" w:w="100"/>
              <w:bottom w:type="dxa" w:w="60"/>
              <w:right w:type="dxa" w:w="100"/>
            </w:tcMar>
          </w:tcPr>
          <w:p>
            <w:pPr>
              <w:jc w:val="left"/>
            </w:pPr>
            <w:r>
              <w:rPr>
                <w:b w:val="false"/>
                <w:bCs w:val="false"/>
                <w:sz w:val="19"/>
                <w:szCs w:val="19"/>
              </w:rPr>
              <w:t xml:space="preserve">—</w:t>
            </w:r>
          </w:p>
        </w:tc>
        <w:tc>
          <w:tcPr>
            <w:tcW w:type="dxa" w:w="3110"/>
            <w:tcMar>
              <w:top w:type="dxa" w:w="60"/>
              <w:left w:type="dxa" w:w="100"/>
              <w:bottom w:type="dxa" w:w="60"/>
              <w:right w:type="dxa" w:w="100"/>
            </w:tcMar>
          </w:tcPr>
          <w:p>
            <w:pPr>
              <w:jc w:val="left"/>
            </w:pPr>
            <w:r>
              <w:rPr>
                <w:b w:val="false"/>
                <w:bCs w:val="false"/>
                <w:sz w:val="19"/>
                <w:szCs w:val="19"/>
              </w:rPr>
              <w:t xml:space="preserve">Not determinable — no DFT candidate within tolerance; weakest-reproducibility peak (6/12 spots)</w:t>
            </w:r>
          </w:p>
        </w:tc>
        <w:tc>
          <w:tcPr>
            <w:tcW w:type="dxa" w:w="2240"/>
            <w:tcMar>
              <w:top w:type="dxa" w:w="60"/>
              <w:left w:type="dxa" w:w="100"/>
              <w:bottom w:type="dxa" w:w="60"/>
              <w:right w:type="dxa" w:w="100"/>
            </w:tcMar>
          </w:tcPr>
          <w:p>
            <w:pPr>
              <w:jc w:val="left"/>
            </w:pPr>
            <w:r>
              <w:rPr>
                <w:b w:val="false"/>
                <w:bCs w:val="false"/>
                <w:sz w:val="19"/>
                <w:szCs w:val="19"/>
              </w:rPr>
              <w:t xml:space="preserve">Not available (fragment output has no mode number/symmetry label)</w:t>
            </w:r>
          </w:p>
        </w:tc>
        <w:tc>
          <w:tcPr>
            <w:tcW w:type="dxa" w:w="1210"/>
            <w:tcMar>
              <w:top w:type="dxa" w:w="60"/>
              <w:left w:type="dxa" w:w="100"/>
              <w:bottom w:type="dxa" w:w="60"/>
              <w:right w:type="dxa" w:w="100"/>
            </w:tcMar>
          </w:tcPr>
          <w:p>
            <w:pPr>
              <w:jc w:val="left"/>
            </w:pPr>
            <w:r>
              <w:rPr>
                <w:b w:val="false"/>
                <w:bCs w:val="false"/>
                <w:sz w:val="19"/>
                <w:szCs w:val="19"/>
              </w:rPr>
              <w:t xml:space="preserve">Unconfirmed</w:t>
            </w:r>
          </w:p>
        </w:tc>
      </w:tr>
    </w:tbl>
    <w:p>
      <w:pPr>
        <w:pBdr>
          <w:left w:val="single" w:color="C0504D" w:sz="18" w:space="8"/>
        </w:pBdr>
        <w:spacing w:after="200" w:before="120"/>
        <w:ind w:left="200"/>
      </w:pPr>
      <w:r>
        <w:rPr>
          <w:i/>
          <w:iCs/>
        </w:rPr>
        <w:t xml:space="preserve">"Vibrational assignment" text is either a general functional-group region already used elsewhere in the project's own documents, or explicitly marked not determinable. No specific literature mode assignment has been invented for this table.</w:t>
      </w:r>
    </w:p>
    <w:p>
      <w:pPr>
        <w:pStyle w:val="Heading1"/>
        <w:spacing w:after="160" w:before="360"/>
      </w:pPr>
      <w:r>
        <w:t xml:space="preserve">6. Literature Comparison</w:t>
      </w:r>
    </w:p>
    <w:p>
      <w:pPr>
        <w:spacing w:after="120"/>
      </w:pPr>
      <w:r>
        <w:t xml:space="preserve">Source: the evidence-tier table in Experiment_Plan_LTA.docx, the only project document that ties LTA Raman bands to external literature with a stated confidence tier.</w:t>
      </w:r>
    </w:p>
    <w:tbl>
      <w:tblPr>
        <w:tblW w:type="dxa" w:w="1019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140"/>
        <w:gridCol w:w="3050"/>
      </w:tblGrid>
      <w:tr>
        <w:trPr>
          <w:tblHeader/>
        </w:trPr>
        <w:tc>
          <w:tcPr>
            <w:tcW w:type="dxa" w:w="1700"/>
            <w:shd w:fill="1F4E5F" w:val="clear"/>
            <w:tcMar>
              <w:top w:type="dxa" w:w="60"/>
              <w:left w:type="dxa" w:w="100"/>
              <w:bottom w:type="dxa" w:w="60"/>
              <w:right w:type="dxa" w:w="100"/>
            </w:tcMar>
          </w:tcPr>
          <w:p>
            <w:pPr>
              <w:jc w:val="left"/>
            </w:pPr>
            <w:r>
              <w:rPr>
                <w:b/>
                <w:bCs/>
                <w:color w:val="FFFFFF"/>
                <w:sz w:val="19"/>
                <w:szCs w:val="19"/>
              </w:rPr>
              <w:t xml:space="preserve">Cited band (cm⁻¹)</w:t>
            </w:r>
          </w:p>
        </w:tc>
        <w:tc>
          <w:tcPr>
            <w:tcW w:type="dxa" w:w="3300"/>
            <w:shd w:fill="1F4E5F" w:val="clear"/>
            <w:tcMar>
              <w:top w:type="dxa" w:w="60"/>
              <w:left w:type="dxa" w:w="100"/>
              <w:bottom w:type="dxa" w:w="60"/>
              <w:right w:type="dxa" w:w="100"/>
            </w:tcMar>
          </w:tcPr>
          <w:p>
            <w:pPr>
              <w:jc w:val="left"/>
            </w:pPr>
            <w:r>
              <w:rPr>
                <w:b/>
                <w:bCs/>
                <w:color w:val="FFFFFF"/>
                <w:sz w:val="19"/>
                <w:szCs w:val="19"/>
              </w:rPr>
              <w:t xml:space="preserve">Note</w:t>
            </w:r>
          </w:p>
        </w:tc>
        <w:tc>
          <w:tcPr>
            <w:tcW w:type="dxa" w:w="2140"/>
            <w:shd w:fill="1F4E5F" w:val="clear"/>
            <w:tcMar>
              <w:top w:type="dxa" w:w="60"/>
              <w:left w:type="dxa" w:w="100"/>
              <w:bottom w:type="dxa" w:w="60"/>
              <w:right w:type="dxa" w:w="100"/>
            </w:tcMar>
          </w:tcPr>
          <w:p>
            <w:pPr>
              <w:jc w:val="left"/>
            </w:pPr>
            <w:r>
              <w:rPr>
                <w:b/>
                <w:bCs/>
                <w:color w:val="FFFFFF"/>
                <w:sz w:val="19"/>
                <w:szCs w:val="19"/>
              </w:rPr>
              <w:t xml:space="preserve">Evidence tier (as recorded in source)</w:t>
            </w:r>
          </w:p>
        </w:tc>
        <w:tc>
          <w:tcPr>
            <w:tcW w:type="dxa" w:w="3050"/>
            <w:shd w:fill="1F4E5F" w:val="clear"/>
            <w:tcMar>
              <w:top w:type="dxa" w:w="60"/>
              <w:left w:type="dxa" w:w="100"/>
              <w:bottom w:type="dxa" w:w="60"/>
              <w:right w:type="dxa" w:w="100"/>
            </w:tcMar>
          </w:tcPr>
          <w:p>
            <w:pPr>
              <w:jc w:val="left"/>
            </w:pPr>
            <w:r>
              <w:rPr>
                <w:b/>
                <w:bCs/>
                <w:color w:val="FFFFFF"/>
                <w:sz w:val="19"/>
                <w:szCs w:val="19"/>
              </w:rPr>
              <w:t xml:space="preserve">Cross-check against this report's data</w:t>
            </w:r>
          </w:p>
        </w:tc>
      </w:tr>
      <w:tr>
        <w:tc>
          <w:tcPr>
            <w:tcW w:type="dxa" w:w="1700"/>
            <w:tcMar>
              <w:top w:type="dxa" w:w="60"/>
              <w:left w:type="dxa" w:w="100"/>
              <w:bottom w:type="dxa" w:w="60"/>
              <w:right w:type="dxa" w:w="100"/>
            </w:tcMar>
          </w:tcPr>
          <w:p>
            <w:pPr>
              <w:jc w:val="left"/>
            </w:pPr>
            <w:r>
              <w:rPr>
                <w:b w:val="false"/>
                <w:bCs w:val="false"/>
                <w:sz w:val="19"/>
                <w:szCs w:val="19"/>
              </w:rPr>
              <w:t xml:space="preserve">1080–1095</w:t>
            </w:r>
          </w:p>
        </w:tc>
        <w:tc>
          <w:tcPr>
            <w:tcW w:type="dxa" w:w="3300"/>
            <w:tcMar>
              <w:top w:type="dxa" w:w="60"/>
              <w:left w:type="dxa" w:w="100"/>
              <w:bottom w:type="dxa" w:w="60"/>
              <w:right w:type="dxa" w:w="100"/>
            </w:tcMar>
          </w:tcPr>
          <w:p>
            <w:pPr>
              <w:jc w:val="left"/>
            </w:pPr>
            <w:r>
              <w:rPr>
                <w:b w:val="false"/>
                <w:bCs w:val="false"/>
                <w:sz w:val="19"/>
                <w:szCs w:val="19"/>
              </w:rPr>
              <w:t xml:space="preserve">PO₂⁻ symmetric stretch (phosphodiester backbone)</w:t>
            </w:r>
          </w:p>
        </w:tc>
        <w:tc>
          <w:tcPr>
            <w:tcW w:type="dxa" w:w="2140"/>
            <w:tcMar>
              <w:top w:type="dxa" w:w="60"/>
              <w:left w:type="dxa" w:w="100"/>
              <w:bottom w:type="dxa" w:w="60"/>
              <w:right w:type="dxa" w:w="100"/>
            </w:tcMar>
          </w:tcPr>
          <w:p>
            <w:pPr>
              <w:jc w:val="left"/>
            </w:pPr>
            <w:r>
              <w:rPr>
                <w:b w:val="false"/>
                <w:bCs w:val="false"/>
                <w:sz w:val="19"/>
                <w:szCs w:val="19"/>
              </w:rPr>
              <w:t xml:space="preserve">LIT-CONFIRMED</w:t>
            </w:r>
          </w:p>
        </w:tc>
        <w:tc>
          <w:tcPr>
            <w:tcW w:type="dxa" w:w="3050"/>
            <w:tcMar>
              <w:top w:type="dxa" w:w="60"/>
              <w:left w:type="dxa" w:w="100"/>
              <w:bottom w:type="dxa" w:w="60"/>
              <w:right w:type="dxa" w:w="100"/>
            </w:tcMar>
          </w:tcPr>
          <w:p>
            <w:pPr>
              <w:jc w:val="left"/>
            </w:pPr>
            <w:r>
              <w:rPr>
                <w:b w:val="false"/>
                <w:bCs w:val="false"/>
                <w:sz w:val="19"/>
                <w:szCs w:val="19"/>
              </w:rPr>
              <w:t xml:space="preserve">Overlaps experimental 1093.2 cm⁻¹ (Δ within the cited range)</w:t>
            </w:r>
          </w:p>
        </w:tc>
      </w:tr>
      <w:tr>
        <w:tc>
          <w:tcPr>
            <w:tcW w:type="dxa" w:w="1700"/>
            <w:shd w:fill="F2F2F2" w:val="clear"/>
            <w:tcMar>
              <w:top w:type="dxa" w:w="60"/>
              <w:left w:type="dxa" w:w="100"/>
              <w:bottom w:type="dxa" w:w="60"/>
              <w:right w:type="dxa" w:w="100"/>
            </w:tcMar>
          </w:tcPr>
          <w:p>
            <w:pPr>
              <w:jc w:val="left"/>
            </w:pPr>
            <w:r>
              <w:rPr>
                <w:b w:val="false"/>
                <w:bCs w:val="false"/>
                <w:sz w:val="19"/>
                <w:szCs w:val="19"/>
              </w:rPr>
              <w:t xml:space="preserve">1225–1250</w:t>
            </w:r>
          </w:p>
        </w:tc>
        <w:tc>
          <w:tcPr>
            <w:tcW w:type="dxa" w:w="3300"/>
            <w:shd w:fill="F2F2F2" w:val="clear"/>
            <w:tcMar>
              <w:top w:type="dxa" w:w="60"/>
              <w:left w:type="dxa" w:w="100"/>
              <w:bottom w:type="dxa" w:w="60"/>
              <w:right w:type="dxa" w:w="100"/>
            </w:tcMar>
          </w:tcPr>
          <w:p>
            <w:pPr>
              <w:jc w:val="left"/>
            </w:pPr>
            <w:r>
              <w:rPr>
                <w:b w:val="false"/>
                <w:bCs w:val="false"/>
                <w:sz w:val="19"/>
                <w:szCs w:val="19"/>
              </w:rPr>
              <w:t xml:space="preserve">(as stated in source document)</w:t>
            </w:r>
          </w:p>
        </w:tc>
        <w:tc>
          <w:tcPr>
            <w:tcW w:type="dxa" w:w="2140"/>
            <w:shd w:fill="F2F2F2" w:val="clear"/>
            <w:tcMar>
              <w:top w:type="dxa" w:w="60"/>
              <w:left w:type="dxa" w:w="100"/>
              <w:bottom w:type="dxa" w:w="60"/>
              <w:right w:type="dxa" w:w="100"/>
            </w:tcMar>
          </w:tcPr>
          <w:p>
            <w:pPr>
              <w:jc w:val="left"/>
            </w:pPr>
            <w:r>
              <w:rPr>
                <w:b w:val="false"/>
                <w:bCs w:val="false"/>
                <w:sz w:val="19"/>
                <w:szCs w:val="19"/>
              </w:rPr>
              <w:t xml:space="preserve">PREDICTION</w:t>
            </w:r>
          </w:p>
        </w:tc>
        <w:tc>
          <w:tcPr>
            <w:tcW w:type="dxa" w:w="3050"/>
            <w:shd w:fill="F2F2F2" w:val="clear"/>
            <w:tcMar>
              <w:top w:type="dxa" w:w="60"/>
              <w:left w:type="dxa" w:w="100"/>
              <w:bottom w:type="dxa" w:w="60"/>
              <w:right w:type="dxa" w:w="100"/>
            </w:tcMar>
          </w:tcPr>
          <w:p>
            <w:pPr>
              <w:jc w:val="left"/>
            </w:pPr>
            <w:r>
              <w:rPr>
                <w:b w:val="false"/>
                <w:bCs w:val="false"/>
                <w:sz w:val="19"/>
                <w:szCs w:val="19"/>
              </w:rPr>
              <w:t xml:space="preserve">No experimental characteristic peak falls in this range</w:t>
            </w:r>
          </w:p>
        </w:tc>
      </w:tr>
      <w:tr>
        <w:tc>
          <w:tcPr>
            <w:tcW w:type="dxa" w:w="1700"/>
            <w:tcMar>
              <w:top w:type="dxa" w:w="60"/>
              <w:left w:type="dxa" w:w="100"/>
              <w:bottom w:type="dxa" w:w="60"/>
              <w:right w:type="dxa" w:w="100"/>
            </w:tcMar>
          </w:tcPr>
          <w:p>
            <w:pPr>
              <w:jc w:val="left"/>
            </w:pPr>
            <w:r>
              <w:rPr>
                <w:b w:val="false"/>
                <w:bCs w:val="false"/>
                <w:sz w:val="19"/>
                <w:szCs w:val="19"/>
              </w:rPr>
              <w:t xml:space="preserve">1450</w:t>
            </w:r>
          </w:p>
        </w:tc>
        <w:tc>
          <w:tcPr>
            <w:tcW w:type="dxa" w:w="3300"/>
            <w:tcMar>
              <w:top w:type="dxa" w:w="60"/>
              <w:left w:type="dxa" w:w="100"/>
              <w:bottom w:type="dxa" w:w="60"/>
              <w:right w:type="dxa" w:w="100"/>
            </w:tcMar>
          </w:tcPr>
          <w:p>
            <w:pPr>
              <w:jc w:val="left"/>
            </w:pPr>
            <w:r>
              <w:rPr>
                <w:b w:val="false"/>
                <w:bCs w:val="false"/>
                <w:sz w:val="19"/>
                <w:szCs w:val="19"/>
              </w:rPr>
              <w:t xml:space="preserve">(as stated in source document)</w:t>
            </w:r>
          </w:p>
        </w:tc>
        <w:tc>
          <w:tcPr>
            <w:tcW w:type="dxa" w:w="2140"/>
            <w:tcMar>
              <w:top w:type="dxa" w:w="60"/>
              <w:left w:type="dxa" w:w="100"/>
              <w:bottom w:type="dxa" w:w="60"/>
              <w:right w:type="dxa" w:w="100"/>
            </w:tcMar>
          </w:tcPr>
          <w:p>
            <w:pPr>
              <w:jc w:val="left"/>
            </w:pPr>
            <w:r>
              <w:rPr>
                <w:b w:val="false"/>
                <w:bCs w:val="false"/>
                <w:sz w:val="19"/>
                <w:szCs w:val="19"/>
              </w:rPr>
              <w:t xml:space="preserve">LIT-MENTIONED</w:t>
            </w:r>
          </w:p>
        </w:tc>
        <w:tc>
          <w:tcPr>
            <w:tcW w:type="dxa" w:w="3050"/>
            <w:tcMar>
              <w:top w:type="dxa" w:w="60"/>
              <w:left w:type="dxa" w:w="100"/>
              <w:bottom w:type="dxa" w:w="60"/>
              <w:right w:type="dxa" w:w="100"/>
            </w:tcMar>
          </w:tcPr>
          <w:p>
            <w:pPr>
              <w:jc w:val="left"/>
            </w:pPr>
            <w:r>
              <w:rPr>
                <w:b w:val="false"/>
                <w:bCs w:val="false"/>
                <w:sz w:val="19"/>
                <w:szCs w:val="19"/>
              </w:rPr>
              <w:t xml:space="preserve">No experimental characteristic peak within 15 cm⁻¹ (nearest is 1602.4, Δ=152)</w:t>
            </w:r>
          </w:p>
        </w:tc>
      </w:tr>
      <w:tr>
        <w:tc>
          <w:tcPr>
            <w:tcW w:type="dxa" w:w="1700"/>
            <w:shd w:fill="F2F2F2" w:val="clear"/>
            <w:tcMar>
              <w:top w:type="dxa" w:w="60"/>
              <w:left w:type="dxa" w:w="100"/>
              <w:bottom w:type="dxa" w:w="60"/>
              <w:right w:type="dxa" w:w="100"/>
            </w:tcMar>
          </w:tcPr>
          <w:p>
            <w:pPr>
              <w:jc w:val="left"/>
            </w:pPr>
            <w:r>
              <w:rPr>
                <w:b w:val="false"/>
                <w:bCs w:val="false"/>
                <w:sz w:val="19"/>
                <w:szCs w:val="19"/>
              </w:rPr>
              <w:t xml:space="preserve">1131</w:t>
            </w:r>
          </w:p>
        </w:tc>
        <w:tc>
          <w:tcPr>
            <w:tcW w:type="dxa" w:w="3300"/>
            <w:shd w:fill="F2F2F2" w:val="clear"/>
            <w:tcMar>
              <w:top w:type="dxa" w:w="60"/>
              <w:left w:type="dxa" w:w="100"/>
              <w:bottom w:type="dxa" w:w="60"/>
              <w:right w:type="dxa" w:w="100"/>
            </w:tcMar>
          </w:tcPr>
          <w:p>
            <w:pPr>
              <w:jc w:val="left"/>
            </w:pPr>
            <w:r>
              <w:rPr>
                <w:b w:val="false"/>
                <w:bCs w:val="false"/>
                <w:sz w:val="19"/>
                <w:szCs w:val="19"/>
              </w:rPr>
              <w:t xml:space="preserve">(as stated in source document)</w:t>
            </w:r>
          </w:p>
        </w:tc>
        <w:tc>
          <w:tcPr>
            <w:tcW w:type="dxa" w:w="2140"/>
            <w:shd w:fill="F2F2F2" w:val="clear"/>
            <w:tcMar>
              <w:top w:type="dxa" w:w="60"/>
              <w:left w:type="dxa" w:w="100"/>
              <w:bottom w:type="dxa" w:w="60"/>
              <w:right w:type="dxa" w:w="100"/>
            </w:tcMar>
          </w:tcPr>
          <w:p>
            <w:pPr>
              <w:jc w:val="left"/>
            </w:pPr>
            <w:r>
              <w:rPr>
                <w:b w:val="false"/>
                <w:bCs w:val="false"/>
                <w:sz w:val="19"/>
                <w:szCs w:val="19"/>
              </w:rPr>
              <w:t xml:space="preserve">(tier as stated)</w:t>
            </w:r>
          </w:p>
        </w:tc>
        <w:tc>
          <w:tcPr>
            <w:tcW w:type="dxa" w:w="3050"/>
            <w:shd w:fill="F2F2F2" w:val="clear"/>
            <w:tcMar>
              <w:top w:type="dxa" w:w="60"/>
              <w:left w:type="dxa" w:w="100"/>
              <w:bottom w:type="dxa" w:w="60"/>
              <w:right w:type="dxa" w:w="100"/>
            </w:tcMar>
          </w:tcPr>
          <w:p>
            <w:pPr>
              <w:jc w:val="left"/>
            </w:pPr>
            <w:r>
              <w:rPr>
                <w:b w:val="false"/>
                <w:bCs w:val="false"/>
                <w:sz w:val="19"/>
                <w:szCs w:val="19"/>
              </w:rPr>
              <w:t xml:space="preserve">Close to the SERS candidate at 1133.5 cm⁻¹ (Sec. 7), not the powder peaks</w:t>
            </w:r>
          </w:p>
        </w:tc>
      </w:tr>
      <w:tr>
        <w:tc>
          <w:tcPr>
            <w:tcW w:type="dxa" w:w="1700"/>
            <w:tcMar>
              <w:top w:type="dxa" w:w="60"/>
              <w:left w:type="dxa" w:w="100"/>
              <w:bottom w:type="dxa" w:w="60"/>
              <w:right w:type="dxa" w:w="100"/>
            </w:tcMar>
          </w:tcPr>
          <w:p>
            <w:pPr>
              <w:jc w:val="left"/>
            </w:pPr>
            <w:r>
              <w:rPr>
                <w:b w:val="false"/>
                <w:bCs w:val="false"/>
                <w:sz w:val="19"/>
                <w:szCs w:val="19"/>
              </w:rPr>
              <w:t xml:space="preserve">850</w:t>
            </w:r>
          </w:p>
        </w:tc>
        <w:tc>
          <w:tcPr>
            <w:tcW w:type="dxa" w:w="3300"/>
            <w:tcMar>
              <w:top w:type="dxa" w:w="60"/>
              <w:left w:type="dxa" w:w="100"/>
              <w:bottom w:type="dxa" w:w="60"/>
              <w:right w:type="dxa" w:w="100"/>
            </w:tcMar>
          </w:tcPr>
          <w:p>
            <w:pPr>
              <w:jc w:val="left"/>
            </w:pPr>
            <w:r>
              <w:rPr>
                <w:b w:val="false"/>
                <w:bCs w:val="false"/>
                <w:sz w:val="19"/>
                <w:szCs w:val="19"/>
              </w:rPr>
              <w:t xml:space="preserve">(as stated in source document)</w:t>
            </w:r>
          </w:p>
        </w:tc>
        <w:tc>
          <w:tcPr>
            <w:tcW w:type="dxa" w:w="2140"/>
            <w:tcMar>
              <w:top w:type="dxa" w:w="60"/>
              <w:left w:type="dxa" w:w="100"/>
              <w:bottom w:type="dxa" w:w="60"/>
              <w:right w:type="dxa" w:w="100"/>
            </w:tcMar>
          </w:tcPr>
          <w:p>
            <w:pPr>
              <w:jc w:val="left"/>
            </w:pPr>
            <w:r>
              <w:rPr>
                <w:b w:val="false"/>
                <w:bCs w:val="false"/>
                <w:sz w:val="19"/>
                <w:szCs w:val="19"/>
              </w:rPr>
              <w:t xml:space="preserve">(tier as stated)</w:t>
            </w:r>
          </w:p>
        </w:tc>
        <w:tc>
          <w:tcPr>
            <w:tcW w:type="dxa" w:w="3050"/>
            <w:tcMar>
              <w:top w:type="dxa" w:w="60"/>
              <w:left w:type="dxa" w:w="100"/>
              <w:bottom w:type="dxa" w:w="60"/>
              <w:right w:type="dxa" w:w="100"/>
            </w:tcMar>
          </w:tcPr>
          <w:p>
            <w:pPr>
              <w:jc w:val="left"/>
            </w:pPr>
            <w:r>
              <w:rPr>
                <w:b w:val="false"/>
                <w:bCs w:val="false"/>
                <w:sz w:val="19"/>
                <w:szCs w:val="19"/>
              </w:rPr>
              <w:t xml:space="preserve">Close to a DFT local maximum at 850.6 cm⁻¹ (glycerol-phosphate); no matching experimental powder characteristic peak</w:t>
            </w:r>
          </w:p>
        </w:tc>
      </w:tr>
      <w:tr>
        <w:tc>
          <w:tcPr>
            <w:tcW w:type="dxa" w:w="1700"/>
            <w:shd w:fill="F2F2F2" w:val="clear"/>
            <w:tcMar>
              <w:top w:type="dxa" w:w="60"/>
              <w:left w:type="dxa" w:w="100"/>
              <w:bottom w:type="dxa" w:w="60"/>
              <w:right w:type="dxa" w:w="100"/>
            </w:tcMar>
          </w:tcPr>
          <w:p>
            <w:pPr>
              <w:jc w:val="left"/>
            </w:pPr>
            <w:r>
              <w:rPr>
                <w:b w:val="false"/>
                <w:bCs w:val="false"/>
                <w:sz w:val="19"/>
                <w:szCs w:val="19"/>
              </w:rPr>
              <w:t xml:space="preserve">~1730</w:t>
            </w:r>
          </w:p>
        </w:tc>
        <w:tc>
          <w:tcPr>
            <w:tcW w:type="dxa" w:w="3300"/>
            <w:shd w:fill="F2F2F2" w:val="clear"/>
            <w:tcMar>
              <w:top w:type="dxa" w:w="60"/>
              <w:left w:type="dxa" w:w="100"/>
              <w:bottom w:type="dxa" w:w="60"/>
              <w:right w:type="dxa" w:w="100"/>
            </w:tcMar>
          </w:tcPr>
          <w:p>
            <w:pPr>
              <w:jc w:val="left"/>
            </w:pPr>
            <w:r>
              <w:rPr>
                <w:b w:val="false"/>
                <w:bCs w:val="false"/>
                <w:sz w:val="19"/>
                <w:szCs w:val="19"/>
              </w:rPr>
              <w:t xml:space="preserve">(as stated in source document)</w:t>
            </w:r>
          </w:p>
        </w:tc>
        <w:tc>
          <w:tcPr>
            <w:tcW w:type="dxa" w:w="2140"/>
            <w:shd w:fill="F2F2F2" w:val="clear"/>
            <w:tcMar>
              <w:top w:type="dxa" w:w="60"/>
              <w:left w:type="dxa" w:w="100"/>
              <w:bottom w:type="dxa" w:w="60"/>
              <w:right w:type="dxa" w:w="100"/>
            </w:tcMar>
          </w:tcPr>
          <w:p>
            <w:pPr>
              <w:jc w:val="left"/>
            </w:pPr>
            <w:r>
              <w:rPr>
                <w:b w:val="false"/>
                <w:bCs w:val="false"/>
                <w:sz w:val="19"/>
                <w:szCs w:val="19"/>
              </w:rPr>
              <w:t xml:space="preserve">PREDICTION</w:t>
            </w:r>
          </w:p>
        </w:tc>
        <w:tc>
          <w:tcPr>
            <w:tcW w:type="dxa" w:w="3050"/>
            <w:shd w:fill="F2F2F2" w:val="clear"/>
            <w:tcMar>
              <w:top w:type="dxa" w:w="60"/>
              <w:left w:type="dxa" w:w="100"/>
              <w:bottom w:type="dxa" w:w="60"/>
              <w:right w:type="dxa" w:w="100"/>
            </w:tcMar>
          </w:tcPr>
          <w:p>
            <w:pPr>
              <w:jc w:val="left"/>
            </w:pPr>
            <w:r>
              <w:rPr>
                <w:b w:val="false"/>
                <w:bCs w:val="false"/>
                <w:sz w:val="19"/>
                <w:szCs w:val="19"/>
              </w:rPr>
              <w:t xml:space="preserve">Nearest experimental peak is 1784.2 cm⁻¹ (Δ=54, outside the 15 cm⁻¹ tolerance used throughout this report)</w:t>
            </w:r>
          </w:p>
        </w:tc>
      </w:tr>
      <w:tr>
        <w:tc>
          <w:tcPr>
            <w:tcW w:type="dxa" w:w="1700"/>
            <w:tcMar>
              <w:top w:type="dxa" w:w="60"/>
              <w:left w:type="dxa" w:w="100"/>
              <w:bottom w:type="dxa" w:w="60"/>
              <w:right w:type="dxa" w:w="100"/>
            </w:tcMar>
          </w:tcPr>
          <w:p>
            <w:pPr>
              <w:jc w:val="left"/>
            </w:pPr>
            <w:r>
              <w:rPr>
                <w:b w:val="false"/>
                <w:bCs w:val="false"/>
                <w:sz w:val="19"/>
                <w:szCs w:val="19"/>
              </w:rPr>
              <w:t xml:space="preserve">1160, 1120</w:t>
            </w:r>
          </w:p>
        </w:tc>
        <w:tc>
          <w:tcPr>
            <w:tcW w:type="dxa" w:w="3300"/>
            <w:tcMar>
              <w:top w:type="dxa" w:w="60"/>
              <w:left w:type="dxa" w:w="100"/>
              <w:bottom w:type="dxa" w:w="60"/>
              <w:right w:type="dxa" w:w="100"/>
            </w:tcMar>
          </w:tcPr>
          <w:p>
            <w:pPr>
              <w:jc w:val="left"/>
            </w:pPr>
            <w:r>
              <w:rPr>
                <w:b w:val="false"/>
                <w:bCs w:val="false"/>
                <w:sz w:val="19"/>
                <w:szCs w:val="19"/>
              </w:rPr>
              <w:t xml:space="preserve">(as stated in source document)</w:t>
            </w:r>
          </w:p>
        </w:tc>
        <w:tc>
          <w:tcPr>
            <w:tcW w:type="dxa" w:w="2140"/>
            <w:tcMar>
              <w:top w:type="dxa" w:w="60"/>
              <w:left w:type="dxa" w:w="100"/>
              <w:bottom w:type="dxa" w:w="60"/>
              <w:right w:type="dxa" w:w="100"/>
            </w:tcMar>
          </w:tcPr>
          <w:p>
            <w:pPr>
              <w:jc w:val="left"/>
            </w:pPr>
            <w:r>
              <w:rPr>
                <w:b w:val="false"/>
                <w:bCs w:val="false"/>
                <w:sz w:val="19"/>
                <w:szCs w:val="19"/>
              </w:rPr>
              <w:t xml:space="preserve">LIT-MENTIONED</w:t>
            </w:r>
          </w:p>
        </w:tc>
        <w:tc>
          <w:tcPr>
            <w:tcW w:type="dxa" w:w="3050"/>
            <w:tcMar>
              <w:top w:type="dxa" w:w="60"/>
              <w:left w:type="dxa" w:w="100"/>
              <w:bottom w:type="dxa" w:w="60"/>
              <w:right w:type="dxa" w:w="100"/>
            </w:tcMar>
          </w:tcPr>
          <w:p>
            <w:pPr>
              <w:jc w:val="left"/>
            </w:pPr>
            <w:r>
              <w:rPr>
                <w:b w:val="false"/>
                <w:bCs w:val="false"/>
                <w:sz w:val="19"/>
                <w:szCs w:val="19"/>
              </w:rPr>
              <w:t xml:space="preserve">No experimental characteristic peak in this range</w:t>
            </w:r>
          </w:p>
        </w:tc>
      </w:tr>
    </w:tbl>
    <w:p>
      <w:pPr>
        <w:spacing w:after="120"/>
      </w:pPr>
      <w:r>
        <w:rPr>
          <w:b/>
          <w:bCs/>
        </w:rPr>
        <w:t xml:space="preserve">References listed in Experiment_Plan_LTA.docx:</w:t>
      </w:r>
    </w:p>
    <w:p>
      <w:pPr>
        <w:pStyle w:val="ListParagraph"/>
        <w:numPr>
          <w:ilvl w:val="0"/>
          <w:numId w:val="1"/>
        </w:numPr>
        <w:spacing w:after="80"/>
      </w:pPr>
      <w:r>
        <w:t xml:space="preserve">Wu, Zhao, Zughaier et al., 2021, Biosensors, DOI 10.3390/bios11070234.</w:t>
      </w:r>
    </w:p>
    <w:p>
      <w:pPr>
        <w:pStyle w:val="ListParagraph"/>
        <w:numPr>
          <w:ilvl w:val="0"/>
          <w:numId w:val="1"/>
        </w:numPr>
        <w:spacing w:after="80"/>
      </w:pPr>
      <w:r>
        <w:t xml:space="preserve">Three further references recorded in the same table (titles as listed in the source document).</w:t>
      </w:r>
    </w:p>
    <w:p>
      <w:pPr>
        <w:pBdr>
          <w:left w:val="single" w:color="C0504D" w:sz="18" w:space="8"/>
        </w:pBdr>
        <w:spacing w:after="200" w:before="120"/>
        <w:ind w:left="200"/>
      </w:pPr>
      <w:r>
        <w:rPr>
          <w:i/>
          <w:iCs/>
        </w:rPr>
        <w:t xml:space="preserve">Per the instruction not to invent literature assignments: Experiment_Plan_LTA.docx does not state, for each reference, whether the cited Raman/SERS spectrum was recorded on purified LTA or on whole bacterial cells / a cell-wall mixture. This distinction could not be verified from the files available in this review, and no assumption is made either way. The only band with a directly stated LIT-CONFIRMED tier — 1080–1095 cm⁻¹ — is the one that overlaps this project's own experimental data (1093.2 cm⁻¹); this convergence is the strongest single piece of literature-consistent evidence in the project, and is still only a single confirmed tier, not a broad literature match.</w:t>
      </w:r>
    </w:p>
    <w:p>
      <w:r>
        <w:br w:type="page"/>
      </w:r>
    </w:p>
    <w:p>
      <w:pPr>
        <w:pStyle w:val="Heading1"/>
        <w:spacing w:after="160" w:before="360"/>
      </w:pPr>
      <w:r>
        <w:t xml:space="preserve">7. LTA SERS-vs-Blank Analysis</w:t>
      </w:r>
    </w:p>
    <w:p>
      <w:pPr>
        <w:spacing w:after="120"/>
      </w:pPr>
      <w:r>
        <w:rPr>
          <w:b/>
          <w:bCs/>
        </w:rPr>
        <w:t xml:space="preserve">Does LTA SERS data exist in the project files? Yes, as raw candidate data — but no confirmed positive detection currently stands.</w:t>
      </w:r>
    </w:p>
    <w:p>
      <w:pPr>
        <w:spacing w:after="120"/>
      </w:pPr>
      <w:r>
        <w:t xml:space="preserve">14-08-26-lta-2m-etched/ contains 15 raw spectra acquired on an Ag/black-Si MACE-etched SERS substrate (785 nm), with a matched blank-substrate batch (27 spectra, same day, same calibration/laser settings) in the sibling raw-si-2m-etched/ folder. This is genuine SERS-substrate data, not powder Raman — the two are not conflated in this report.</w:t>
      </w:r>
    </w:p>
    <w:p>
      <w:pPr>
        <w:pBdr>
          <w:left w:val="single" w:color="C0504D" w:sz="18" w:space="8"/>
        </w:pBdr>
        <w:spacing w:after="200" w:before="120"/>
        <w:ind w:left="200"/>
      </w:pPr>
      <w:r>
        <w:rPr>
          <w:i/>
          <w:iCs/>
        </w:rPr>
        <w:t xml:space="preserve">Prior finding in the project's own records: Experiment_Plan_LTA.docx documents that an earlier claim of a 1095 cm⁻¹ LTA detection in this exact 14-Aug dataset was investigated at the pixel level and retracted — traced to a single-pixel artifact (verdict recorded as "NOT DETECTED"). That retraction is carried forward here as the standing prior result for this dataset.</w:t>
      </w:r>
    </w:p>
    <w:p>
      <w:pPr>
        <w:pStyle w:val="Heading2"/>
        <w:spacing w:after="120" w:before="240"/>
      </w:pPr>
      <w:r>
        <w:t xml:space="preserve">7.1 Independent reprocessing performed for this report</w:t>
      </w:r>
    </w:p>
    <w:p>
      <w:pPr>
        <w:spacing w:after="120"/>
      </w:pPr>
      <w:r>
        <w:t xml:space="preserve">The 15 LTA-candidate spectra and 27 blank spectra were averaged, ALS-baseline-corrected, Savitzky-Golay smoothed, and normalised (same pipeline family as Section 2, restricted to 200–1900 cm⁻¹). Peaks were detected in the averaged LTA-candidate curve with scipy.signal.find_peaks and each was checked against the nearest peak in the averaged blank curve, using the same 15 cm⁻¹ tolerance as Section 4.</w:t>
      </w:r>
    </w:p>
    <w:p>
      <w:pPr>
        <w:spacing w:after="120" w:before="120"/>
        <w:jc w:val="center"/>
      </w:pPr>
      <w:r>
        <w:drawing>
          <wp:inline distT="0" distB="0" distL="0" distR="0">
            <wp:extent cx="6286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914650"/>
                    </a:xfrm>
                    <a:prstGeom prst="rect">
                      <a:avLst/>
                    </a:prstGeom>
                  </pic:spPr>
                </pic:pic>
              </a:graphicData>
            </a:graphic>
          </wp:inline>
        </w:drawing>
      </w:r>
    </w:p>
    <w:p>
      <w:pPr>
        <w:spacing w:after="240"/>
        <w:jc w:val="center"/>
      </w:pPr>
      <w:r>
        <w:rPr>
          <w:i/>
          <w:iCs/>
          <w:sz w:val="18"/>
          <w:szCs w:val="18"/>
        </w:rPr>
        <w:t xml:space="preserve">Figure 7.1 — Averaged LTA-candidate SERS spectrum vs. averaged matched-blank substrate spectrum, with the 15 detected LTA-side peaks marked.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800"/>
      </w:tblGrid>
      <w:tr>
        <w:trPr>
          <w:tblHeader/>
        </w:trPr>
        <w:tc>
          <w:tcPr>
            <w:tcW w:type="dxa" w:w="2600"/>
            <w:shd w:fill="1F4E5F" w:val="clear"/>
            <w:tcMar>
              <w:top w:type="dxa" w:w="60"/>
              <w:left w:type="dxa" w:w="100"/>
              <w:bottom w:type="dxa" w:w="60"/>
              <w:right w:type="dxa" w:w="100"/>
            </w:tcMar>
          </w:tcPr>
          <w:p>
            <w:pPr>
              <w:jc w:val="left"/>
            </w:pPr>
            <w:r>
              <w:rPr>
                <w:b/>
                <w:bCs/>
                <w:color w:val="FFFFFF"/>
                <w:sz w:val="19"/>
                <w:szCs w:val="19"/>
              </w:rPr>
              <w:t xml:space="preserve">LTA-candidate peak (cm⁻¹)</w:t>
            </w:r>
          </w:p>
        </w:tc>
        <w:tc>
          <w:tcPr>
            <w:tcW w:type="dxa" w:w="2600"/>
            <w:shd w:fill="1F4E5F" w:val="clear"/>
            <w:tcMar>
              <w:top w:type="dxa" w:w="60"/>
              <w:left w:type="dxa" w:w="100"/>
              <w:bottom w:type="dxa" w:w="60"/>
              <w:right w:type="dxa" w:w="100"/>
            </w:tcMar>
          </w:tcPr>
          <w:p>
            <w:pPr>
              <w:jc w:val="left"/>
            </w:pPr>
            <w:r>
              <w:rPr>
                <w:b/>
                <w:bCs/>
                <w:color w:val="FFFFFF"/>
                <w:sz w:val="19"/>
                <w:szCs w:val="19"/>
              </w:rPr>
              <w:t xml:space="preserve">Nearest blank peak (cm⁻¹)</w:t>
            </w:r>
          </w:p>
        </w:tc>
        <w:tc>
          <w:tcPr>
            <w:tcW w:type="dxa" w:w="1800"/>
            <w:shd w:fill="1F4E5F" w:val="clear"/>
            <w:tcMar>
              <w:top w:type="dxa" w:w="60"/>
              <w:left w:type="dxa" w:w="100"/>
              <w:bottom w:type="dxa" w:w="60"/>
              <w:right w:type="dxa" w:w="100"/>
            </w:tcMar>
          </w:tcPr>
          <w:p>
            <w:pPr>
              <w:jc w:val="left"/>
            </w:pPr>
            <w:r>
              <w:rPr>
                <w:b/>
                <w:bCs/>
                <w:color w:val="FFFFFF"/>
                <w:sz w:val="19"/>
                <w:szCs w:val="19"/>
              </w:rPr>
              <w:t xml:space="preserve">Δ (cm⁻¹)</w:t>
            </w:r>
          </w:p>
        </w:tc>
        <w:tc>
          <w:tcPr>
            <w:tcW w:type="dxa" w:w="2800"/>
            <w:shd w:fill="1F4E5F" w:val="clear"/>
            <w:tcMar>
              <w:top w:type="dxa" w:w="60"/>
              <w:left w:type="dxa" w:w="100"/>
              <w:bottom w:type="dxa" w:w="60"/>
              <w:right w:type="dxa" w:w="100"/>
            </w:tcMar>
          </w:tcPr>
          <w:p>
            <w:pPr>
              <w:jc w:val="left"/>
            </w:pPr>
            <w:r>
              <w:rPr>
                <w:b/>
                <w:bCs/>
                <w:color w:val="FFFFFF"/>
                <w:sz w:val="19"/>
                <w:szCs w:val="19"/>
              </w:rPr>
              <w:t xml:space="preserve">Classification (≤15 cm⁻¹ = substrate)</w:t>
            </w:r>
          </w:p>
        </w:tc>
      </w:tr>
      <w:tr>
        <w:tc>
          <w:tcPr>
            <w:tcW w:type="dxa" w:w="2600"/>
            <w:tcMar>
              <w:top w:type="dxa" w:w="60"/>
              <w:left w:type="dxa" w:w="100"/>
              <w:bottom w:type="dxa" w:w="60"/>
              <w:right w:type="dxa" w:w="100"/>
            </w:tcMar>
          </w:tcPr>
          <w:p>
            <w:pPr>
              <w:jc w:val="left"/>
            </w:pPr>
            <w:r>
              <w:rPr>
                <w:b w:val="false"/>
                <w:bCs w:val="false"/>
                <w:sz w:val="19"/>
                <w:szCs w:val="19"/>
              </w:rPr>
              <w:t xml:space="preserve">227.6</w:t>
            </w:r>
          </w:p>
        </w:tc>
        <w:tc>
          <w:tcPr>
            <w:tcW w:type="dxa" w:w="2600"/>
            <w:tcMar>
              <w:top w:type="dxa" w:w="60"/>
              <w:left w:type="dxa" w:w="100"/>
              <w:bottom w:type="dxa" w:w="60"/>
              <w:right w:type="dxa" w:w="100"/>
            </w:tcMar>
          </w:tcPr>
          <w:p>
            <w:pPr>
              <w:jc w:val="left"/>
            </w:pPr>
            <w:r>
              <w:rPr>
                <w:b w:val="false"/>
                <w:bCs w:val="false"/>
                <w:sz w:val="19"/>
                <w:szCs w:val="19"/>
              </w:rPr>
              <w:t xml:space="preserve">227.6</w:t>
            </w:r>
          </w:p>
        </w:tc>
        <w:tc>
          <w:tcPr>
            <w:tcW w:type="dxa" w:w="1800"/>
            <w:tcMar>
              <w:top w:type="dxa" w:w="60"/>
              <w:left w:type="dxa" w:w="100"/>
              <w:bottom w:type="dxa" w:w="60"/>
              <w:right w:type="dxa" w:w="100"/>
            </w:tcMar>
          </w:tcPr>
          <w:p>
            <w:pPr>
              <w:jc w:val="left"/>
            </w:pPr>
            <w:r>
              <w:rPr>
                <w:b w:val="false"/>
                <w:bCs w:val="false"/>
                <w:sz w:val="19"/>
                <w:szCs w:val="19"/>
              </w:rPr>
              <w:t xml:space="preserve">0</w:t>
            </w:r>
          </w:p>
        </w:tc>
        <w:tc>
          <w:tcPr>
            <w:tcW w:type="dxa" w:w="2800"/>
            <w:tcMar>
              <w:top w:type="dxa" w:w="60"/>
              <w:left w:type="dxa" w:w="100"/>
              <w:bottom w:type="dxa" w:w="60"/>
              <w:right w:type="dxa" w:w="100"/>
            </w:tcMar>
          </w:tcPr>
          <w:p>
            <w:pPr>
              <w:jc w:val="left"/>
            </w:pPr>
            <w:r>
              <w:rPr>
                <w:b w:val="false"/>
                <w:bCs w:val="false"/>
                <w:sz w:val="19"/>
                <w:szCs w:val="19"/>
              </w:rPr>
              <w:t xml:space="preserve">Substrate feature</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396</w:t>
            </w:r>
          </w:p>
        </w:tc>
        <w:tc>
          <w:tcPr>
            <w:tcW w:type="dxa" w:w="2600"/>
            <w:shd w:fill="F2F2F2" w:val="clear"/>
            <w:tcMar>
              <w:top w:type="dxa" w:w="60"/>
              <w:left w:type="dxa" w:w="100"/>
              <w:bottom w:type="dxa" w:w="60"/>
              <w:right w:type="dxa" w:w="100"/>
            </w:tcMar>
          </w:tcPr>
          <w:p>
            <w:pPr>
              <w:jc w:val="left"/>
            </w:pPr>
            <w:r>
              <w:rPr>
                <w:b w:val="false"/>
                <w:bCs w:val="false"/>
                <w:sz w:val="19"/>
                <w:szCs w:val="19"/>
              </w:rPr>
              <w:t xml:space="preserve">517.8</w:t>
            </w:r>
          </w:p>
        </w:tc>
        <w:tc>
          <w:tcPr>
            <w:tcW w:type="dxa" w:w="1800"/>
            <w:shd w:fill="F2F2F2" w:val="clear"/>
            <w:tcMar>
              <w:top w:type="dxa" w:w="60"/>
              <w:left w:type="dxa" w:w="100"/>
              <w:bottom w:type="dxa" w:w="60"/>
              <w:right w:type="dxa" w:w="100"/>
            </w:tcMar>
          </w:tcPr>
          <w:p>
            <w:pPr>
              <w:jc w:val="left"/>
            </w:pPr>
            <w:r>
              <w:rPr>
                <w:b w:val="false"/>
                <w:bCs w:val="false"/>
                <w:sz w:val="19"/>
                <w:szCs w:val="19"/>
              </w:rPr>
              <w:t xml:space="preserve">121.7</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tcMar>
              <w:top w:type="dxa" w:w="60"/>
              <w:left w:type="dxa" w:w="100"/>
              <w:bottom w:type="dxa" w:w="60"/>
              <w:right w:type="dxa" w:w="100"/>
            </w:tcMar>
          </w:tcPr>
          <w:p>
            <w:pPr>
              <w:jc w:val="left"/>
            </w:pPr>
            <w:r>
              <w:rPr>
                <w:b w:val="false"/>
                <w:bCs w:val="false"/>
                <w:sz w:val="19"/>
                <w:szCs w:val="19"/>
              </w:rPr>
              <w:t xml:space="preserve">517.8</w:t>
            </w:r>
          </w:p>
        </w:tc>
        <w:tc>
          <w:tcPr>
            <w:tcW w:type="dxa" w:w="2600"/>
            <w:tcMar>
              <w:top w:type="dxa" w:w="60"/>
              <w:left w:type="dxa" w:w="100"/>
              <w:bottom w:type="dxa" w:w="60"/>
              <w:right w:type="dxa" w:w="100"/>
            </w:tcMar>
          </w:tcPr>
          <w:p>
            <w:pPr>
              <w:jc w:val="left"/>
            </w:pPr>
            <w:r>
              <w:rPr>
                <w:b w:val="false"/>
                <w:bCs w:val="false"/>
                <w:sz w:val="19"/>
                <w:szCs w:val="19"/>
              </w:rPr>
              <w:t xml:space="preserve">517.8</w:t>
            </w:r>
          </w:p>
        </w:tc>
        <w:tc>
          <w:tcPr>
            <w:tcW w:type="dxa" w:w="1800"/>
            <w:tcMar>
              <w:top w:type="dxa" w:w="60"/>
              <w:left w:type="dxa" w:w="100"/>
              <w:bottom w:type="dxa" w:w="60"/>
              <w:right w:type="dxa" w:w="100"/>
            </w:tcMar>
          </w:tcPr>
          <w:p>
            <w:pPr>
              <w:jc w:val="left"/>
            </w:pPr>
            <w:r>
              <w:rPr>
                <w:b w:val="false"/>
                <w:bCs w:val="false"/>
                <w:sz w:val="19"/>
                <w:szCs w:val="19"/>
              </w:rPr>
              <w:t xml:space="preserve">0</w:t>
            </w:r>
          </w:p>
        </w:tc>
        <w:tc>
          <w:tcPr>
            <w:tcW w:type="dxa" w:w="2800"/>
            <w:tcMar>
              <w:top w:type="dxa" w:w="60"/>
              <w:left w:type="dxa" w:w="100"/>
              <w:bottom w:type="dxa" w:w="60"/>
              <w:right w:type="dxa" w:w="100"/>
            </w:tcMar>
          </w:tcPr>
          <w:p>
            <w:pPr>
              <w:jc w:val="left"/>
            </w:pPr>
            <w:r>
              <w:rPr>
                <w:b w:val="false"/>
                <w:bCs w:val="false"/>
                <w:sz w:val="19"/>
                <w:szCs w:val="19"/>
              </w:rPr>
              <w:t xml:space="preserve">Substrate feature</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551.7</w:t>
            </w:r>
          </w:p>
        </w:tc>
        <w:tc>
          <w:tcPr>
            <w:tcW w:type="dxa" w:w="2600"/>
            <w:shd w:fill="F2F2F2" w:val="clear"/>
            <w:tcMar>
              <w:top w:type="dxa" w:w="60"/>
              <w:left w:type="dxa" w:w="100"/>
              <w:bottom w:type="dxa" w:w="60"/>
              <w:right w:type="dxa" w:w="100"/>
            </w:tcMar>
          </w:tcPr>
          <w:p>
            <w:pPr>
              <w:jc w:val="left"/>
            </w:pPr>
            <w:r>
              <w:rPr>
                <w:b w:val="false"/>
                <w:bCs w:val="false"/>
                <w:sz w:val="19"/>
                <w:szCs w:val="19"/>
              </w:rPr>
              <w:t xml:space="preserve">553.5</w:t>
            </w:r>
          </w:p>
        </w:tc>
        <w:tc>
          <w:tcPr>
            <w:tcW w:type="dxa" w:w="1800"/>
            <w:shd w:fill="F2F2F2" w:val="clear"/>
            <w:tcMar>
              <w:top w:type="dxa" w:w="60"/>
              <w:left w:type="dxa" w:w="100"/>
              <w:bottom w:type="dxa" w:w="60"/>
              <w:right w:type="dxa" w:w="100"/>
            </w:tcMar>
          </w:tcPr>
          <w:p>
            <w:pPr>
              <w:jc w:val="left"/>
            </w:pPr>
            <w:r>
              <w:rPr>
                <w:b w:val="false"/>
                <w:bCs w:val="false"/>
                <w:sz w:val="19"/>
                <w:szCs w:val="19"/>
              </w:rPr>
              <w:t xml:space="preserve">1.8</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Substrate feature</w:t>
            </w:r>
          </w:p>
        </w:tc>
      </w:tr>
      <w:tr>
        <w:tc>
          <w:tcPr>
            <w:tcW w:type="dxa" w:w="2600"/>
            <w:tcMar>
              <w:top w:type="dxa" w:w="60"/>
              <w:left w:type="dxa" w:w="100"/>
              <w:bottom w:type="dxa" w:w="60"/>
              <w:right w:type="dxa" w:w="100"/>
            </w:tcMar>
          </w:tcPr>
          <w:p>
            <w:pPr>
              <w:jc w:val="left"/>
            </w:pPr>
            <w:r>
              <w:rPr>
                <w:b w:val="false"/>
                <w:bCs w:val="false"/>
                <w:sz w:val="19"/>
                <w:szCs w:val="19"/>
              </w:rPr>
              <w:t xml:space="preserve">650.5</w:t>
            </w:r>
          </w:p>
        </w:tc>
        <w:tc>
          <w:tcPr>
            <w:tcW w:type="dxa" w:w="2600"/>
            <w:tcMar>
              <w:top w:type="dxa" w:w="60"/>
              <w:left w:type="dxa" w:w="100"/>
              <w:bottom w:type="dxa" w:w="60"/>
              <w:right w:type="dxa" w:w="100"/>
            </w:tcMar>
          </w:tcPr>
          <w:p>
            <w:pPr>
              <w:jc w:val="left"/>
            </w:pPr>
            <w:r>
              <w:rPr>
                <w:b w:val="false"/>
                <w:bCs w:val="false"/>
                <w:sz w:val="19"/>
                <w:szCs w:val="19"/>
              </w:rPr>
              <w:t xml:space="preserve">615.4</w:t>
            </w:r>
          </w:p>
        </w:tc>
        <w:tc>
          <w:tcPr>
            <w:tcW w:type="dxa" w:w="1800"/>
            <w:tcMar>
              <w:top w:type="dxa" w:w="60"/>
              <w:left w:type="dxa" w:w="100"/>
              <w:bottom w:type="dxa" w:w="60"/>
              <w:right w:type="dxa" w:w="100"/>
            </w:tcMar>
          </w:tcPr>
          <w:p>
            <w:pPr>
              <w:jc w:val="left"/>
            </w:pPr>
            <w:r>
              <w:rPr>
                <w:b w:val="false"/>
                <w:bCs w:val="false"/>
                <w:sz w:val="19"/>
                <w:szCs w:val="19"/>
              </w:rPr>
              <w:t xml:space="preserve">35</w:t>
            </w:r>
          </w:p>
        </w:tc>
        <w:tc>
          <w:tcPr>
            <w:tcW w:type="dxa" w:w="2800"/>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714.6</w:t>
            </w:r>
          </w:p>
        </w:tc>
        <w:tc>
          <w:tcPr>
            <w:tcW w:type="dxa" w:w="2600"/>
            <w:shd w:fill="F2F2F2" w:val="clear"/>
            <w:tcMar>
              <w:top w:type="dxa" w:w="60"/>
              <w:left w:type="dxa" w:w="100"/>
              <w:bottom w:type="dxa" w:w="60"/>
              <w:right w:type="dxa" w:w="100"/>
            </w:tcMar>
          </w:tcPr>
          <w:p>
            <w:pPr>
              <w:jc w:val="left"/>
            </w:pPr>
            <w:r>
              <w:rPr>
                <w:b w:val="false"/>
                <w:bCs w:val="false"/>
                <w:sz w:val="19"/>
                <w:szCs w:val="19"/>
              </w:rPr>
              <w:t xml:space="preserve">788</w:t>
            </w:r>
          </w:p>
        </w:tc>
        <w:tc>
          <w:tcPr>
            <w:tcW w:type="dxa" w:w="1800"/>
            <w:shd w:fill="F2F2F2" w:val="clear"/>
            <w:tcMar>
              <w:top w:type="dxa" w:w="60"/>
              <w:left w:type="dxa" w:w="100"/>
              <w:bottom w:type="dxa" w:w="60"/>
              <w:right w:type="dxa" w:w="100"/>
            </w:tcMar>
          </w:tcPr>
          <w:p>
            <w:pPr>
              <w:jc w:val="left"/>
            </w:pPr>
            <w:r>
              <w:rPr>
                <w:b w:val="false"/>
                <w:bCs w:val="false"/>
                <w:sz w:val="19"/>
                <w:szCs w:val="19"/>
              </w:rPr>
              <w:t xml:space="preserve">73.4</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tcMar>
              <w:top w:type="dxa" w:w="60"/>
              <w:left w:type="dxa" w:w="100"/>
              <w:bottom w:type="dxa" w:w="60"/>
              <w:right w:type="dxa" w:w="100"/>
            </w:tcMar>
          </w:tcPr>
          <w:p>
            <w:pPr>
              <w:jc w:val="left"/>
            </w:pPr>
            <w:r>
              <w:rPr>
                <w:b w:val="false"/>
                <w:bCs w:val="false"/>
                <w:sz w:val="19"/>
                <w:szCs w:val="19"/>
              </w:rPr>
              <w:t xml:space="preserve">781.2</w:t>
            </w:r>
          </w:p>
        </w:tc>
        <w:tc>
          <w:tcPr>
            <w:tcW w:type="dxa" w:w="2600"/>
            <w:tcMar>
              <w:top w:type="dxa" w:w="60"/>
              <w:left w:type="dxa" w:w="100"/>
              <w:bottom w:type="dxa" w:w="60"/>
              <w:right w:type="dxa" w:w="100"/>
            </w:tcMar>
          </w:tcPr>
          <w:p>
            <w:pPr>
              <w:jc w:val="left"/>
            </w:pPr>
            <w:r>
              <w:rPr>
                <w:b w:val="false"/>
                <w:bCs w:val="false"/>
                <w:sz w:val="19"/>
                <w:szCs w:val="19"/>
              </w:rPr>
              <w:t xml:space="preserve">788</w:t>
            </w:r>
          </w:p>
        </w:tc>
        <w:tc>
          <w:tcPr>
            <w:tcW w:type="dxa" w:w="1800"/>
            <w:tcMar>
              <w:top w:type="dxa" w:w="60"/>
              <w:left w:type="dxa" w:w="100"/>
              <w:bottom w:type="dxa" w:w="60"/>
              <w:right w:type="dxa" w:w="100"/>
            </w:tcMar>
          </w:tcPr>
          <w:p>
            <w:pPr>
              <w:jc w:val="left"/>
            </w:pPr>
            <w:r>
              <w:rPr>
                <w:b w:val="false"/>
                <w:bCs w:val="false"/>
                <w:sz w:val="19"/>
                <w:szCs w:val="19"/>
              </w:rPr>
              <w:t xml:space="preserve">6.8</w:t>
            </w:r>
          </w:p>
        </w:tc>
        <w:tc>
          <w:tcPr>
            <w:tcW w:type="dxa" w:w="2800"/>
            <w:tcMar>
              <w:top w:type="dxa" w:w="60"/>
              <w:left w:type="dxa" w:w="100"/>
              <w:bottom w:type="dxa" w:w="60"/>
              <w:right w:type="dxa" w:w="100"/>
            </w:tcMar>
          </w:tcPr>
          <w:p>
            <w:pPr>
              <w:jc w:val="left"/>
            </w:pPr>
            <w:r>
              <w:rPr>
                <w:b w:val="false"/>
                <w:bCs w:val="false"/>
                <w:sz w:val="19"/>
                <w:szCs w:val="19"/>
              </w:rPr>
              <w:t xml:space="preserve">Substrate feature</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853.6</w:t>
            </w:r>
          </w:p>
        </w:tc>
        <w:tc>
          <w:tcPr>
            <w:tcW w:type="dxa" w:w="2600"/>
            <w:shd w:fill="F2F2F2" w:val="clear"/>
            <w:tcMar>
              <w:top w:type="dxa" w:w="60"/>
              <w:left w:type="dxa" w:w="100"/>
              <w:bottom w:type="dxa" w:w="60"/>
              <w:right w:type="dxa" w:w="100"/>
            </w:tcMar>
          </w:tcPr>
          <w:p>
            <w:pPr>
              <w:jc w:val="left"/>
            </w:pPr>
            <w:r>
              <w:rPr>
                <w:b w:val="false"/>
                <w:bCs w:val="false"/>
                <w:sz w:val="19"/>
                <w:szCs w:val="19"/>
              </w:rPr>
              <w:t xml:space="preserve">788</w:t>
            </w:r>
          </w:p>
        </w:tc>
        <w:tc>
          <w:tcPr>
            <w:tcW w:type="dxa" w:w="1800"/>
            <w:shd w:fill="F2F2F2" w:val="clear"/>
            <w:tcMar>
              <w:top w:type="dxa" w:w="60"/>
              <w:left w:type="dxa" w:w="100"/>
              <w:bottom w:type="dxa" w:w="60"/>
              <w:right w:type="dxa" w:w="100"/>
            </w:tcMar>
          </w:tcPr>
          <w:p>
            <w:pPr>
              <w:jc w:val="left"/>
            </w:pPr>
            <w:r>
              <w:rPr>
                <w:b w:val="false"/>
                <w:bCs w:val="false"/>
                <w:sz w:val="19"/>
                <w:szCs w:val="19"/>
              </w:rPr>
              <w:t xml:space="preserve">65.6</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tcMar>
              <w:top w:type="dxa" w:w="60"/>
              <w:left w:type="dxa" w:w="100"/>
              <w:bottom w:type="dxa" w:w="60"/>
              <w:right w:type="dxa" w:w="100"/>
            </w:tcMar>
          </w:tcPr>
          <w:p>
            <w:pPr>
              <w:jc w:val="left"/>
            </w:pPr>
            <w:r>
              <w:rPr>
                <w:b w:val="false"/>
                <w:bCs w:val="false"/>
                <w:sz w:val="19"/>
                <w:szCs w:val="19"/>
              </w:rPr>
              <w:t xml:space="preserve">962.5</w:t>
            </w:r>
          </w:p>
        </w:tc>
        <w:tc>
          <w:tcPr>
            <w:tcW w:type="dxa" w:w="2600"/>
            <w:tcMar>
              <w:top w:type="dxa" w:w="60"/>
              <w:left w:type="dxa" w:w="100"/>
              <w:bottom w:type="dxa" w:w="60"/>
              <w:right w:type="dxa" w:w="100"/>
            </w:tcMar>
          </w:tcPr>
          <w:p>
            <w:pPr>
              <w:jc w:val="left"/>
            </w:pPr>
            <w:r>
              <w:rPr>
                <w:b w:val="false"/>
                <w:bCs w:val="false"/>
                <w:sz w:val="19"/>
                <w:szCs w:val="19"/>
              </w:rPr>
              <w:t xml:space="preserve">962.5</w:t>
            </w:r>
          </w:p>
        </w:tc>
        <w:tc>
          <w:tcPr>
            <w:tcW w:type="dxa" w:w="1800"/>
            <w:tcMar>
              <w:top w:type="dxa" w:w="60"/>
              <w:left w:type="dxa" w:w="100"/>
              <w:bottom w:type="dxa" w:w="60"/>
              <w:right w:type="dxa" w:w="100"/>
            </w:tcMar>
          </w:tcPr>
          <w:p>
            <w:pPr>
              <w:jc w:val="left"/>
            </w:pPr>
            <w:r>
              <w:rPr>
                <w:b w:val="false"/>
                <w:bCs w:val="false"/>
                <w:sz w:val="19"/>
                <w:szCs w:val="19"/>
              </w:rPr>
              <w:t xml:space="preserve">0</w:t>
            </w:r>
          </w:p>
        </w:tc>
        <w:tc>
          <w:tcPr>
            <w:tcW w:type="dxa" w:w="2800"/>
            <w:tcMar>
              <w:top w:type="dxa" w:w="60"/>
              <w:left w:type="dxa" w:w="100"/>
              <w:bottom w:type="dxa" w:w="60"/>
              <w:right w:type="dxa" w:w="100"/>
            </w:tcMar>
          </w:tcPr>
          <w:p>
            <w:pPr>
              <w:jc w:val="left"/>
            </w:pPr>
            <w:r>
              <w:rPr>
                <w:b w:val="false"/>
                <w:bCs w:val="false"/>
                <w:sz w:val="19"/>
                <w:szCs w:val="19"/>
              </w:rPr>
              <w:t xml:space="preserve">Substrate feature</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1035.2</w:t>
            </w:r>
          </w:p>
        </w:tc>
        <w:tc>
          <w:tcPr>
            <w:tcW w:type="dxa" w:w="2600"/>
            <w:shd w:fill="F2F2F2" w:val="clear"/>
            <w:tcMar>
              <w:top w:type="dxa" w:w="60"/>
              <w:left w:type="dxa" w:w="100"/>
              <w:bottom w:type="dxa" w:w="60"/>
              <w:right w:type="dxa" w:w="100"/>
            </w:tcMar>
          </w:tcPr>
          <w:p>
            <w:pPr>
              <w:jc w:val="left"/>
            </w:pPr>
            <w:r>
              <w:rPr>
                <w:b w:val="false"/>
                <w:bCs w:val="false"/>
                <w:sz w:val="19"/>
                <w:szCs w:val="19"/>
              </w:rPr>
              <w:t xml:space="preserve">962.5</w:t>
            </w:r>
          </w:p>
        </w:tc>
        <w:tc>
          <w:tcPr>
            <w:tcW w:type="dxa" w:w="1800"/>
            <w:shd w:fill="F2F2F2" w:val="clear"/>
            <w:tcMar>
              <w:top w:type="dxa" w:w="60"/>
              <w:left w:type="dxa" w:w="100"/>
              <w:bottom w:type="dxa" w:w="60"/>
              <w:right w:type="dxa" w:w="100"/>
            </w:tcMar>
          </w:tcPr>
          <w:p>
            <w:pPr>
              <w:jc w:val="left"/>
            </w:pPr>
            <w:r>
              <w:rPr>
                <w:b w:val="false"/>
                <w:bCs w:val="false"/>
                <w:sz w:val="19"/>
                <w:szCs w:val="19"/>
              </w:rPr>
              <w:t xml:space="preserve">72.7</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tcMar>
              <w:top w:type="dxa" w:w="60"/>
              <w:left w:type="dxa" w:w="100"/>
              <w:bottom w:type="dxa" w:w="60"/>
              <w:right w:type="dxa" w:w="100"/>
            </w:tcMar>
          </w:tcPr>
          <w:p>
            <w:pPr>
              <w:jc w:val="left"/>
            </w:pPr>
            <w:r>
              <w:rPr>
                <w:b w:val="false"/>
                <w:bCs w:val="false"/>
                <w:sz w:val="19"/>
                <w:szCs w:val="19"/>
              </w:rPr>
              <w:t xml:space="preserve">1133.5</w:t>
            </w:r>
          </w:p>
        </w:tc>
        <w:tc>
          <w:tcPr>
            <w:tcW w:type="dxa" w:w="2600"/>
            <w:tcMar>
              <w:top w:type="dxa" w:w="60"/>
              <w:left w:type="dxa" w:w="100"/>
              <w:bottom w:type="dxa" w:w="60"/>
              <w:right w:type="dxa" w:w="100"/>
            </w:tcMar>
          </w:tcPr>
          <w:p>
            <w:pPr>
              <w:jc w:val="left"/>
            </w:pPr>
            <w:r>
              <w:rPr>
                <w:b w:val="false"/>
                <w:bCs w:val="false"/>
                <w:sz w:val="19"/>
                <w:szCs w:val="19"/>
              </w:rPr>
              <w:t xml:space="preserve">1181.8</w:t>
            </w:r>
          </w:p>
        </w:tc>
        <w:tc>
          <w:tcPr>
            <w:tcW w:type="dxa" w:w="1800"/>
            <w:tcMar>
              <w:top w:type="dxa" w:w="60"/>
              <w:left w:type="dxa" w:w="100"/>
              <w:bottom w:type="dxa" w:w="60"/>
              <w:right w:type="dxa" w:w="100"/>
            </w:tcMar>
          </w:tcPr>
          <w:p>
            <w:pPr>
              <w:jc w:val="left"/>
            </w:pPr>
            <w:r>
              <w:rPr>
                <w:b w:val="false"/>
                <w:bCs w:val="false"/>
                <w:sz w:val="19"/>
                <w:szCs w:val="19"/>
              </w:rPr>
              <w:t xml:space="preserve">48.3</w:t>
            </w:r>
          </w:p>
        </w:tc>
        <w:tc>
          <w:tcPr>
            <w:tcW w:type="dxa" w:w="2800"/>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1285.8</w:t>
            </w:r>
          </w:p>
        </w:tc>
        <w:tc>
          <w:tcPr>
            <w:tcW w:type="dxa" w:w="2600"/>
            <w:shd w:fill="F2F2F2" w:val="clear"/>
            <w:tcMar>
              <w:top w:type="dxa" w:w="60"/>
              <w:left w:type="dxa" w:w="100"/>
              <w:bottom w:type="dxa" w:w="60"/>
              <w:right w:type="dxa" w:w="100"/>
            </w:tcMar>
          </w:tcPr>
          <w:p>
            <w:pPr>
              <w:jc w:val="left"/>
            </w:pPr>
            <w:r>
              <w:rPr>
                <w:b w:val="false"/>
                <w:bCs w:val="false"/>
                <w:sz w:val="19"/>
                <w:szCs w:val="19"/>
              </w:rPr>
              <w:t xml:space="preserve">1181.8</w:t>
            </w:r>
          </w:p>
        </w:tc>
        <w:tc>
          <w:tcPr>
            <w:tcW w:type="dxa" w:w="1800"/>
            <w:shd w:fill="F2F2F2" w:val="clear"/>
            <w:tcMar>
              <w:top w:type="dxa" w:w="60"/>
              <w:left w:type="dxa" w:w="100"/>
              <w:bottom w:type="dxa" w:w="60"/>
              <w:right w:type="dxa" w:w="100"/>
            </w:tcMar>
          </w:tcPr>
          <w:p>
            <w:pPr>
              <w:jc w:val="left"/>
            </w:pPr>
            <w:r>
              <w:rPr>
                <w:b w:val="false"/>
                <w:bCs w:val="false"/>
                <w:sz w:val="19"/>
                <w:szCs w:val="19"/>
              </w:rPr>
              <w:t xml:space="preserve">104.1</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tcMar>
              <w:top w:type="dxa" w:w="60"/>
              <w:left w:type="dxa" w:w="100"/>
              <w:bottom w:type="dxa" w:w="60"/>
              <w:right w:type="dxa" w:w="100"/>
            </w:tcMar>
          </w:tcPr>
          <w:p>
            <w:pPr>
              <w:jc w:val="left"/>
            </w:pPr>
            <w:r>
              <w:rPr>
                <w:b w:val="false"/>
                <w:bCs w:val="false"/>
                <w:sz w:val="19"/>
                <w:szCs w:val="19"/>
              </w:rPr>
              <w:t xml:space="preserve">1388.9</w:t>
            </w:r>
          </w:p>
        </w:tc>
        <w:tc>
          <w:tcPr>
            <w:tcW w:type="dxa" w:w="2600"/>
            <w:tcMar>
              <w:top w:type="dxa" w:w="60"/>
              <w:left w:type="dxa" w:w="100"/>
              <w:bottom w:type="dxa" w:w="60"/>
              <w:right w:type="dxa" w:w="100"/>
            </w:tcMar>
          </w:tcPr>
          <w:p>
            <w:pPr>
              <w:jc w:val="left"/>
            </w:pPr>
            <w:r>
              <w:rPr>
                <w:b w:val="false"/>
                <w:bCs w:val="false"/>
                <w:sz w:val="19"/>
                <w:szCs w:val="19"/>
              </w:rPr>
              <w:t xml:space="preserve">1409.5</w:t>
            </w:r>
          </w:p>
        </w:tc>
        <w:tc>
          <w:tcPr>
            <w:tcW w:type="dxa" w:w="1800"/>
            <w:tcMar>
              <w:top w:type="dxa" w:w="60"/>
              <w:left w:type="dxa" w:w="100"/>
              <w:bottom w:type="dxa" w:w="60"/>
              <w:right w:type="dxa" w:w="100"/>
            </w:tcMar>
          </w:tcPr>
          <w:p>
            <w:pPr>
              <w:jc w:val="left"/>
            </w:pPr>
            <w:r>
              <w:rPr>
                <w:b w:val="false"/>
                <w:bCs w:val="false"/>
                <w:sz w:val="19"/>
                <w:szCs w:val="19"/>
              </w:rPr>
              <w:t xml:space="preserve">20.6</w:t>
            </w:r>
          </w:p>
        </w:tc>
        <w:tc>
          <w:tcPr>
            <w:tcW w:type="dxa" w:w="2800"/>
            <w:tcMar>
              <w:top w:type="dxa" w:w="60"/>
              <w:left w:type="dxa" w:w="100"/>
              <w:bottom w:type="dxa" w:w="60"/>
              <w:right w:type="dxa" w:w="100"/>
            </w:tcMar>
          </w:tcPr>
          <w:p>
            <w:pPr>
              <w:jc w:val="left"/>
            </w:pPr>
            <w:r>
              <w:rPr>
                <w:b w:val="false"/>
                <w:bCs w:val="false"/>
                <w:sz w:val="19"/>
                <w:szCs w:val="19"/>
              </w:rPr>
              <w:t xml:space="preserve">Absent-in-blank candidate</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1602.7</w:t>
            </w:r>
          </w:p>
        </w:tc>
        <w:tc>
          <w:tcPr>
            <w:tcW w:type="dxa" w:w="2600"/>
            <w:shd w:fill="F2F2F2" w:val="clear"/>
            <w:tcMar>
              <w:top w:type="dxa" w:w="60"/>
              <w:left w:type="dxa" w:w="100"/>
              <w:bottom w:type="dxa" w:w="60"/>
              <w:right w:type="dxa" w:w="100"/>
            </w:tcMar>
          </w:tcPr>
          <w:p>
            <w:pPr>
              <w:jc w:val="left"/>
            </w:pPr>
            <w:r>
              <w:rPr>
                <w:b w:val="false"/>
                <w:bCs w:val="false"/>
                <w:sz w:val="19"/>
                <w:szCs w:val="19"/>
              </w:rPr>
              <w:t xml:space="preserve">1602.7</w:t>
            </w:r>
          </w:p>
        </w:tc>
        <w:tc>
          <w:tcPr>
            <w:tcW w:type="dxa" w:w="1800"/>
            <w:shd w:fill="F2F2F2" w:val="clear"/>
            <w:tcMar>
              <w:top w:type="dxa" w:w="60"/>
              <w:left w:type="dxa" w:w="100"/>
              <w:bottom w:type="dxa" w:w="60"/>
              <w:right w:type="dxa" w:w="100"/>
            </w:tcMar>
          </w:tcPr>
          <w:p>
            <w:pPr>
              <w:jc w:val="left"/>
            </w:pPr>
            <w:r>
              <w:rPr>
                <w:b w:val="false"/>
                <w:bCs w:val="false"/>
                <w:sz w:val="19"/>
                <w:szCs w:val="19"/>
              </w:rPr>
              <w:t xml:space="preserve">0</w:t>
            </w:r>
          </w:p>
        </w:tc>
        <w:tc>
          <w:tcPr>
            <w:tcW w:type="dxa" w:w="2800"/>
            <w:shd w:fill="F2F2F2" w:val="clear"/>
            <w:tcMar>
              <w:top w:type="dxa" w:w="60"/>
              <w:left w:type="dxa" w:w="100"/>
              <w:bottom w:type="dxa" w:w="60"/>
              <w:right w:type="dxa" w:w="100"/>
            </w:tcMar>
          </w:tcPr>
          <w:p>
            <w:pPr>
              <w:jc w:val="left"/>
            </w:pPr>
            <w:r>
              <w:rPr>
                <w:b w:val="false"/>
                <w:bCs w:val="false"/>
                <w:sz w:val="19"/>
                <w:szCs w:val="19"/>
              </w:rPr>
              <w:t xml:space="preserve">Substrate feature</w:t>
            </w:r>
          </w:p>
        </w:tc>
      </w:tr>
      <w:tr>
        <w:tc>
          <w:tcPr>
            <w:tcW w:type="dxa" w:w="2600"/>
            <w:tcMar>
              <w:top w:type="dxa" w:w="60"/>
              <w:left w:type="dxa" w:w="100"/>
              <w:bottom w:type="dxa" w:w="60"/>
              <w:right w:type="dxa" w:w="100"/>
            </w:tcMar>
          </w:tcPr>
          <w:p>
            <w:pPr>
              <w:jc w:val="left"/>
            </w:pPr>
            <w:r>
              <w:rPr>
                <w:b w:val="false"/>
                <w:bCs w:val="false"/>
                <w:sz w:val="19"/>
                <w:szCs w:val="19"/>
              </w:rPr>
              <w:t xml:space="preserve">1893.2</w:t>
            </w:r>
          </w:p>
        </w:tc>
        <w:tc>
          <w:tcPr>
            <w:tcW w:type="dxa" w:w="2600"/>
            <w:tcMar>
              <w:top w:type="dxa" w:w="60"/>
              <w:left w:type="dxa" w:w="100"/>
              <w:bottom w:type="dxa" w:w="60"/>
              <w:right w:type="dxa" w:w="100"/>
            </w:tcMar>
          </w:tcPr>
          <w:p>
            <w:pPr>
              <w:jc w:val="left"/>
            </w:pPr>
            <w:r>
              <w:rPr>
                <w:b w:val="false"/>
                <w:bCs w:val="false"/>
                <w:sz w:val="19"/>
                <w:szCs w:val="19"/>
              </w:rPr>
              <w:t xml:space="preserve">1800.2</w:t>
            </w:r>
          </w:p>
        </w:tc>
        <w:tc>
          <w:tcPr>
            <w:tcW w:type="dxa" w:w="1800"/>
            <w:tcMar>
              <w:top w:type="dxa" w:w="60"/>
              <w:left w:type="dxa" w:w="100"/>
              <w:bottom w:type="dxa" w:w="60"/>
              <w:right w:type="dxa" w:w="100"/>
            </w:tcMar>
          </w:tcPr>
          <w:p>
            <w:pPr>
              <w:jc w:val="left"/>
            </w:pPr>
            <w:r>
              <w:rPr>
                <w:b w:val="false"/>
                <w:bCs w:val="false"/>
                <w:sz w:val="19"/>
                <w:szCs w:val="19"/>
              </w:rPr>
              <w:t xml:space="preserve">93</w:t>
            </w:r>
          </w:p>
        </w:tc>
        <w:tc>
          <w:tcPr>
            <w:tcW w:type="dxa" w:w="2800"/>
            <w:tcMar>
              <w:top w:type="dxa" w:w="60"/>
              <w:left w:type="dxa" w:w="100"/>
              <w:bottom w:type="dxa" w:w="60"/>
              <w:right w:type="dxa" w:w="100"/>
            </w:tcMar>
          </w:tcPr>
          <w:p>
            <w:pPr>
              <w:jc w:val="left"/>
            </w:pPr>
            <w:r>
              <w:rPr>
                <w:b w:val="false"/>
                <w:bCs w:val="false"/>
                <w:sz w:val="19"/>
                <w:szCs w:val="19"/>
              </w:rPr>
              <w:t xml:space="preserve">Absent-in-blank candidate</w:t>
            </w:r>
          </w:p>
        </w:tc>
      </w:tr>
    </w:tbl>
    <w:p>
      <w:pPr>
        <w:spacing w:after="120"/>
      </w:pPr>
      <w:r>
        <w:rPr>
          <w:b/>
          <w:bCs/>
        </w:rPr>
        <w:t xml:space="preserve">Of 15 detected peaks in the LTA-candidate spectrum, 6 coincide with a blank-substrate peak within 15 cm⁻¹ (likely substrate features, not LTA) and 9 do not (absent-in-blank candidates).</w:t>
      </w:r>
    </w:p>
    <w:p>
      <w:pPr>
        <w:pBdr>
          <w:left w:val="single" w:color="C0504D" w:sz="18" w:space="8"/>
        </w:pBdr>
        <w:spacing w:after="200" w:before="120"/>
        <w:ind w:left="200"/>
      </w:pPr>
      <w:r>
        <w:rPr>
          <w:i/>
          <w:iCs/>
        </w:rPr>
        <w:t xml:space="preserve">This reprocessing is exploratory and non-confirmatory. It has not been checked pixel-by-pixel for the same single-pixel-artifact failure mode the project already found once in this identical dataset, and it rests on n=1 averaged spectra with no per-spot reproducibility check comparable to Section 2.1's 12-spot analysis. None of the 8 "absent-in-blank" positions should be read as a validated LTA detection. Per the required framing for this section: LTA SERS data exist as raw files, and this report's own reprocessing finds candidate peaks not shared with the blank, but no confirmed LTA SERS detection is established by the project's records or by this reprocessing.</w:t>
      </w:r>
    </w:p>
    <w:p>
      <w:r>
        <w:br w:type="page"/>
      </w:r>
    </w:p>
    <w:p>
      <w:pPr>
        <w:pStyle w:val="Heading1"/>
        <w:spacing w:after="160" w:before="360"/>
      </w:pPr>
      <w:r>
        <w:t xml:space="preserve">8. DFT → Powder → SERS Three-Way Comparison</w:t>
      </w:r>
    </w:p>
    <w:p>
      <w:pPr>
        <w:spacing w:after="120"/>
      </w:pPr>
      <w:r>
        <w:t xml:space="preserve">Each of the 7 powder characteristic peaks (Section 4) is compared here against its nearest SERS-candidate peak (Section 7), in addition to its DFT match, to see whether any band is supported across all three data types.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250"/>
        <w:gridCol w:w="1100"/>
        <w:gridCol w:w="1150"/>
        <w:gridCol w:w="1100"/>
        <w:gridCol w:w="3540"/>
      </w:tblGrid>
      <w:tr>
        <w:trPr>
          <w:tblHeader/>
        </w:trPr>
        <w:tc>
          <w:tcPr>
            <w:tcW w:type="dxa" w:w="1150"/>
            <w:shd w:fill="1F4E5F" w:val="clear"/>
            <w:tcMar>
              <w:top w:type="dxa" w:w="60"/>
              <w:left w:type="dxa" w:w="100"/>
              <w:bottom w:type="dxa" w:w="60"/>
              <w:right w:type="dxa" w:w="100"/>
            </w:tcMar>
          </w:tcPr>
          <w:p>
            <w:pPr>
              <w:jc w:val="left"/>
            </w:pPr>
            <w:r>
              <w:rPr>
                <w:b/>
                <w:bCs/>
                <w:color w:val="FFFFFF"/>
                <w:sz w:val="19"/>
                <w:szCs w:val="19"/>
              </w:rPr>
              <w:t xml:space="preserve">Powder (cm⁻¹)</w:t>
            </w:r>
          </w:p>
        </w:tc>
        <w:tc>
          <w:tcPr>
            <w:tcW w:type="dxa" w:w="1150"/>
            <w:shd w:fill="1F4E5F" w:val="clear"/>
            <w:tcMar>
              <w:top w:type="dxa" w:w="60"/>
              <w:left w:type="dxa" w:w="100"/>
              <w:bottom w:type="dxa" w:w="60"/>
              <w:right w:type="dxa" w:w="100"/>
            </w:tcMar>
          </w:tcPr>
          <w:p>
            <w:pPr>
              <w:jc w:val="left"/>
            </w:pPr>
            <w:r>
              <w:rPr>
                <w:b/>
                <w:bCs/>
                <w:color w:val="FFFFFF"/>
                <w:sz w:val="19"/>
                <w:szCs w:val="19"/>
              </w:rPr>
              <w:t xml:space="preserve">DFT match (cm⁻¹)</w:t>
            </w:r>
          </w:p>
        </w:tc>
        <w:tc>
          <w:tcPr>
            <w:tcW w:type="dxa" w:w="1250"/>
            <w:shd w:fill="1F4E5F" w:val="clear"/>
            <w:tcMar>
              <w:top w:type="dxa" w:w="60"/>
              <w:left w:type="dxa" w:w="100"/>
              <w:bottom w:type="dxa" w:w="60"/>
              <w:right w:type="dxa" w:w="100"/>
            </w:tcMar>
          </w:tcPr>
          <w:p>
            <w:pPr>
              <w:jc w:val="left"/>
            </w:pPr>
            <w:r>
              <w:rPr>
                <w:b/>
                <w:bCs/>
                <w:color w:val="FFFFFF"/>
                <w:sz w:val="19"/>
                <w:szCs w:val="19"/>
              </w:rPr>
              <w:t xml:space="preserve">Nearest SERS (cm⁻¹)</w:t>
            </w:r>
          </w:p>
        </w:tc>
        <w:tc>
          <w:tcPr>
            <w:tcW w:type="dxa" w:w="1100"/>
            <w:shd w:fill="1F4E5F" w:val="clear"/>
            <w:tcMar>
              <w:top w:type="dxa" w:w="60"/>
              <w:left w:type="dxa" w:w="100"/>
              <w:bottom w:type="dxa" w:w="60"/>
              <w:right w:type="dxa" w:w="100"/>
            </w:tcMar>
          </w:tcPr>
          <w:p>
            <w:pPr>
              <w:jc w:val="left"/>
            </w:pPr>
            <w:r>
              <w:rPr>
                <w:b/>
                <w:bCs/>
                <w:color w:val="FFFFFF"/>
                <w:sz w:val="19"/>
                <w:szCs w:val="19"/>
              </w:rPr>
              <w:t xml:space="preserve">ΔDFT–Powder</w:t>
            </w:r>
          </w:p>
        </w:tc>
        <w:tc>
          <w:tcPr>
            <w:tcW w:type="dxa" w:w="1150"/>
            <w:shd w:fill="1F4E5F" w:val="clear"/>
            <w:tcMar>
              <w:top w:type="dxa" w:w="60"/>
              <w:left w:type="dxa" w:w="100"/>
              <w:bottom w:type="dxa" w:w="60"/>
              <w:right w:type="dxa" w:w="100"/>
            </w:tcMar>
          </w:tcPr>
          <w:p>
            <w:pPr>
              <w:jc w:val="left"/>
            </w:pPr>
            <w:r>
              <w:rPr>
                <w:b/>
                <w:bCs/>
                <w:color w:val="FFFFFF"/>
                <w:sz w:val="19"/>
                <w:szCs w:val="19"/>
              </w:rPr>
              <w:t xml:space="preserve">ΔPowder–SERS</w:t>
            </w:r>
          </w:p>
        </w:tc>
        <w:tc>
          <w:tcPr>
            <w:tcW w:type="dxa" w:w="1100"/>
            <w:shd w:fill="1F4E5F" w:val="clear"/>
            <w:tcMar>
              <w:top w:type="dxa" w:w="60"/>
              <w:left w:type="dxa" w:w="100"/>
              <w:bottom w:type="dxa" w:w="60"/>
              <w:right w:type="dxa" w:w="100"/>
            </w:tcMar>
          </w:tcPr>
          <w:p>
            <w:pPr>
              <w:jc w:val="left"/>
            </w:pPr>
            <w:r>
              <w:rPr>
                <w:b/>
                <w:bCs/>
                <w:color w:val="FFFFFF"/>
                <w:sz w:val="19"/>
                <w:szCs w:val="19"/>
              </w:rPr>
              <w:t xml:space="preserve">Blank present?</w:t>
            </w:r>
          </w:p>
        </w:tc>
        <w:tc>
          <w:tcPr>
            <w:tcW w:type="dxa" w:w="3540"/>
            <w:shd w:fill="1F4E5F" w:val="clear"/>
            <w:tcMar>
              <w:top w:type="dxa" w:w="60"/>
              <w:left w:type="dxa" w:w="100"/>
              <w:bottom w:type="dxa" w:w="60"/>
              <w:right w:type="dxa" w:w="100"/>
            </w:tcMar>
          </w:tcPr>
          <w:p>
            <w:pPr>
              <w:jc w:val="left"/>
            </w:pPr>
            <w:r>
              <w:rPr>
                <w:b/>
                <w:bCs/>
                <w:color w:val="FFFFFF"/>
                <w:sz w:val="19"/>
                <w:szCs w:val="19"/>
              </w:rPr>
              <w:t xml:space="preserve">Status</w:t>
            </w:r>
          </w:p>
        </w:tc>
      </w:tr>
      <w:tr>
        <w:tc>
          <w:tcPr>
            <w:tcW w:type="dxa" w:w="1150"/>
            <w:tcMar>
              <w:top w:type="dxa" w:w="60"/>
              <w:left w:type="dxa" w:w="100"/>
              <w:bottom w:type="dxa" w:w="60"/>
              <w:right w:type="dxa" w:w="100"/>
            </w:tcMar>
          </w:tcPr>
          <w:p>
            <w:pPr>
              <w:jc w:val="left"/>
            </w:pPr>
            <w:r>
              <w:rPr>
                <w:b w:val="false"/>
                <w:bCs w:val="false"/>
                <w:sz w:val="19"/>
                <w:szCs w:val="19"/>
              </w:rPr>
              <w:t xml:space="preserve">620.1</w:t>
            </w:r>
          </w:p>
        </w:tc>
        <w:tc>
          <w:tcPr>
            <w:tcW w:type="dxa" w:w="1150"/>
            <w:tcMar>
              <w:top w:type="dxa" w:w="60"/>
              <w:left w:type="dxa" w:w="100"/>
              <w:bottom w:type="dxa" w:w="60"/>
              <w:right w:type="dxa" w:w="100"/>
            </w:tcMar>
          </w:tcPr>
          <w:p>
            <w:pPr>
              <w:jc w:val="left"/>
            </w:pPr>
            <w:r>
              <w:rPr>
                <w:b w:val="false"/>
                <w:bCs w:val="false"/>
                <w:sz w:val="19"/>
                <w:szCs w:val="19"/>
              </w:rPr>
              <w:t xml:space="preserve">625.9</w:t>
            </w:r>
          </w:p>
        </w:tc>
        <w:tc>
          <w:tcPr>
            <w:tcW w:type="dxa" w:w="1250"/>
            <w:tcMar>
              <w:top w:type="dxa" w:w="60"/>
              <w:left w:type="dxa" w:w="100"/>
              <w:bottom w:type="dxa" w:w="60"/>
              <w:right w:type="dxa" w:w="100"/>
            </w:tcMar>
          </w:tcPr>
          <w:p>
            <w:pPr>
              <w:jc w:val="left"/>
            </w:pPr>
            <w:r>
              <w:rPr>
                <w:b w:val="false"/>
                <w:bCs w:val="false"/>
                <w:sz w:val="19"/>
                <w:szCs w:val="19"/>
              </w:rPr>
              <w:t xml:space="preserve">650.5</w:t>
            </w:r>
          </w:p>
        </w:tc>
        <w:tc>
          <w:tcPr>
            <w:tcW w:type="dxa" w:w="1100"/>
            <w:tcMar>
              <w:top w:type="dxa" w:w="60"/>
              <w:left w:type="dxa" w:w="100"/>
              <w:bottom w:type="dxa" w:w="60"/>
              <w:right w:type="dxa" w:w="100"/>
            </w:tcMar>
          </w:tcPr>
          <w:p>
            <w:pPr>
              <w:jc w:val="left"/>
            </w:pPr>
            <w:r>
              <w:rPr>
                <w:b w:val="false"/>
                <w:bCs w:val="false"/>
                <w:sz w:val="19"/>
                <w:szCs w:val="19"/>
              </w:rPr>
              <w:t xml:space="preserve">5.8</w:t>
            </w:r>
          </w:p>
        </w:tc>
        <w:tc>
          <w:tcPr>
            <w:tcW w:type="dxa" w:w="1150"/>
            <w:tcMar>
              <w:top w:type="dxa" w:w="60"/>
              <w:left w:type="dxa" w:w="100"/>
              <w:bottom w:type="dxa" w:w="60"/>
              <w:right w:type="dxa" w:w="100"/>
            </w:tcMar>
          </w:tcPr>
          <w:p>
            <w:pPr>
              <w:jc w:val="left"/>
            </w:pPr>
            <w:r>
              <w:rPr>
                <w:b w:val="false"/>
                <w:bCs w:val="false"/>
                <w:sz w:val="19"/>
                <w:szCs w:val="19"/>
              </w:rPr>
              <w:t xml:space="preserve">30.4</w:t>
            </w:r>
          </w:p>
        </w:tc>
        <w:tc>
          <w:tcPr>
            <w:tcW w:type="dxa" w:w="1100"/>
            <w:tcMar>
              <w:top w:type="dxa" w:w="60"/>
              <w:left w:type="dxa" w:w="100"/>
              <w:bottom w:type="dxa" w:w="60"/>
              <w:right w:type="dxa" w:w="100"/>
            </w:tcMar>
          </w:tcPr>
          <w:p>
            <w:pPr>
              <w:jc w:val="left"/>
            </w:pPr>
            <w:r>
              <w:rPr>
                <w:b w:val="false"/>
                <w:bCs w:val="false"/>
                <w:sz w:val="19"/>
                <w:szCs w:val="19"/>
              </w:rPr>
              <w:t xml:space="preserve">No</w:t>
            </w:r>
          </w:p>
        </w:tc>
        <w:tc>
          <w:tcPr>
            <w:tcW w:type="dxa" w:w="3540"/>
            <w:tcMar>
              <w:top w:type="dxa" w:w="60"/>
              <w:left w:type="dxa" w:w="100"/>
              <w:bottom w:type="dxa" w:w="60"/>
              <w:right w:type="dxa" w:w="100"/>
            </w:tcMar>
          </w:tcPr>
          <w:p>
            <w:pPr>
              <w:jc w:val="left"/>
            </w:pPr>
            <w:r>
              <w:rPr>
                <w:b w:val="false"/>
                <w:bCs w:val="false"/>
                <w:sz w:val="19"/>
                <w:szCs w:val="19"/>
              </w:rPr>
              <w:t xml:space="preserve">Unconfirmed (DFT-Powder agreement only; no SERS counterpart within tolerance)</w:t>
            </w:r>
          </w:p>
        </w:tc>
      </w:tr>
      <w:tr>
        <w:tc>
          <w:tcPr>
            <w:tcW w:type="dxa" w:w="1150"/>
            <w:shd w:fill="F2F2F2" w:val="clear"/>
            <w:tcMar>
              <w:top w:type="dxa" w:w="60"/>
              <w:left w:type="dxa" w:w="100"/>
              <w:bottom w:type="dxa" w:w="60"/>
              <w:right w:type="dxa" w:w="100"/>
            </w:tcMar>
          </w:tcPr>
          <w:p>
            <w:pPr>
              <w:jc w:val="left"/>
            </w:pPr>
            <w:r>
              <w:rPr>
                <w:b w:val="false"/>
                <w:bCs w:val="false"/>
                <w:sz w:val="19"/>
                <w:szCs w:val="19"/>
              </w:rPr>
              <w:t xml:space="preserve">794.5</w:t>
            </w:r>
          </w:p>
        </w:tc>
        <w:tc>
          <w:tcPr>
            <w:tcW w:type="dxa" w:w="1150"/>
            <w:shd w:fill="F2F2F2" w:val="clear"/>
            <w:tcMar>
              <w:top w:type="dxa" w:w="60"/>
              <w:left w:type="dxa" w:w="100"/>
              <w:bottom w:type="dxa" w:w="60"/>
              <w:right w:type="dxa" w:w="100"/>
            </w:tcMar>
          </w:tcPr>
          <w:p>
            <w:pPr>
              <w:jc w:val="left"/>
            </w:pPr>
            <w:r>
              <w:rPr>
                <w:b w:val="false"/>
                <w:bCs w:val="false"/>
                <w:sz w:val="19"/>
                <w:szCs w:val="19"/>
              </w:rPr>
              <w:t xml:space="preserve">—</w:t>
            </w:r>
          </w:p>
        </w:tc>
        <w:tc>
          <w:tcPr>
            <w:tcW w:type="dxa" w:w="1250"/>
            <w:shd w:fill="F2F2F2" w:val="clear"/>
            <w:tcMar>
              <w:top w:type="dxa" w:w="60"/>
              <w:left w:type="dxa" w:w="100"/>
              <w:bottom w:type="dxa" w:w="60"/>
              <w:right w:type="dxa" w:w="100"/>
            </w:tcMar>
          </w:tcPr>
          <w:p>
            <w:pPr>
              <w:jc w:val="left"/>
            </w:pPr>
            <w:r>
              <w:rPr>
                <w:b w:val="false"/>
                <w:bCs w:val="false"/>
                <w:sz w:val="19"/>
                <w:szCs w:val="19"/>
              </w:rPr>
              <w:t xml:space="preserve">781.2</w:t>
            </w:r>
          </w:p>
        </w:tc>
        <w:tc>
          <w:tcPr>
            <w:tcW w:type="dxa" w:w="1100"/>
            <w:shd w:fill="F2F2F2" w:val="clear"/>
            <w:tcMar>
              <w:top w:type="dxa" w:w="60"/>
              <w:left w:type="dxa" w:w="100"/>
              <w:bottom w:type="dxa" w:w="60"/>
              <w:right w:type="dxa" w:w="100"/>
            </w:tcMar>
          </w:tcPr>
          <w:p>
            <w:pPr>
              <w:jc w:val="left"/>
            </w:pPr>
            <w:r>
              <w:rPr>
                <w:b w:val="false"/>
                <w:bCs w:val="false"/>
                <w:sz w:val="19"/>
                <w:szCs w:val="19"/>
              </w:rPr>
              <w:t xml:space="preserve">21.5</w:t>
            </w:r>
          </w:p>
        </w:tc>
        <w:tc>
          <w:tcPr>
            <w:tcW w:type="dxa" w:w="1150"/>
            <w:shd w:fill="F2F2F2" w:val="clear"/>
            <w:tcMar>
              <w:top w:type="dxa" w:w="60"/>
              <w:left w:type="dxa" w:w="100"/>
              <w:bottom w:type="dxa" w:w="60"/>
              <w:right w:type="dxa" w:w="100"/>
            </w:tcMar>
          </w:tcPr>
          <w:p>
            <w:pPr>
              <w:jc w:val="left"/>
            </w:pPr>
            <w:r>
              <w:rPr>
                <w:b w:val="false"/>
                <w:bCs w:val="false"/>
                <w:sz w:val="19"/>
                <w:szCs w:val="19"/>
              </w:rPr>
              <w:t xml:space="preserve">13.3</w:t>
            </w:r>
          </w:p>
        </w:tc>
        <w:tc>
          <w:tcPr>
            <w:tcW w:type="dxa" w:w="1100"/>
            <w:shd w:fill="F2F2F2" w:val="clear"/>
            <w:tcMar>
              <w:top w:type="dxa" w:w="60"/>
              <w:left w:type="dxa" w:w="100"/>
              <w:bottom w:type="dxa" w:w="60"/>
              <w:right w:type="dxa" w:w="100"/>
            </w:tcMar>
          </w:tcPr>
          <w:p>
            <w:pPr>
              <w:jc w:val="left"/>
            </w:pPr>
            <w:r>
              <w:rPr>
                <w:b w:val="false"/>
                <w:bCs w:val="false"/>
                <w:sz w:val="19"/>
                <w:szCs w:val="19"/>
              </w:rPr>
              <w:t xml:space="preserve">Yes</w:t>
            </w:r>
          </w:p>
        </w:tc>
        <w:tc>
          <w:tcPr>
            <w:tcW w:type="dxa" w:w="3540"/>
            <w:shd w:fill="F2F2F2" w:val="clear"/>
            <w:tcMar>
              <w:top w:type="dxa" w:w="60"/>
              <w:left w:type="dxa" w:w="100"/>
              <w:bottom w:type="dxa" w:w="60"/>
              <w:right w:type="dxa" w:w="100"/>
            </w:tcMar>
          </w:tcPr>
          <w:p>
            <w:pPr>
              <w:jc w:val="left"/>
            </w:pPr>
            <w:r>
              <w:rPr>
                <w:b w:val="false"/>
                <w:bCs w:val="false"/>
                <w:sz w:val="19"/>
                <w:szCs w:val="19"/>
              </w:rPr>
              <w:t xml:space="preserve">Unconfirmed (Powder peak lacks DFT support within tolerance)</w:t>
            </w:r>
          </w:p>
        </w:tc>
      </w:tr>
      <w:tr>
        <w:tc>
          <w:tcPr>
            <w:tcW w:type="dxa" w:w="1150"/>
            <w:tcMar>
              <w:top w:type="dxa" w:w="60"/>
              <w:left w:type="dxa" w:w="100"/>
              <w:bottom w:type="dxa" w:w="60"/>
              <w:right w:type="dxa" w:w="100"/>
            </w:tcMar>
          </w:tcPr>
          <w:p>
            <w:pPr>
              <w:jc w:val="left"/>
            </w:pPr>
            <w:r>
              <w:rPr>
                <w:b w:val="false"/>
                <w:bCs w:val="false"/>
                <w:sz w:val="19"/>
                <w:szCs w:val="19"/>
              </w:rPr>
              <w:t xml:space="preserve">999.9</w:t>
            </w:r>
          </w:p>
        </w:tc>
        <w:tc>
          <w:tcPr>
            <w:tcW w:type="dxa" w:w="1150"/>
            <w:tcMar>
              <w:top w:type="dxa" w:w="60"/>
              <w:left w:type="dxa" w:w="100"/>
              <w:bottom w:type="dxa" w:w="60"/>
              <w:right w:type="dxa" w:w="100"/>
            </w:tcMar>
          </w:tcPr>
          <w:p>
            <w:pPr>
              <w:jc w:val="left"/>
            </w:pPr>
            <w:r>
              <w:rPr>
                <w:b w:val="false"/>
                <w:bCs w:val="false"/>
                <w:sz w:val="19"/>
                <w:szCs w:val="19"/>
              </w:rPr>
              <w:t xml:space="preserve">990.7</w:t>
            </w:r>
          </w:p>
        </w:tc>
        <w:tc>
          <w:tcPr>
            <w:tcW w:type="dxa" w:w="1250"/>
            <w:tcMar>
              <w:top w:type="dxa" w:w="60"/>
              <w:left w:type="dxa" w:w="100"/>
              <w:bottom w:type="dxa" w:w="60"/>
              <w:right w:type="dxa" w:w="100"/>
            </w:tcMar>
          </w:tcPr>
          <w:p>
            <w:pPr>
              <w:jc w:val="left"/>
            </w:pPr>
            <w:r>
              <w:rPr>
                <w:b w:val="false"/>
                <w:bCs w:val="false"/>
                <w:sz w:val="19"/>
                <w:szCs w:val="19"/>
              </w:rPr>
              <w:t xml:space="preserve">1035.2</w:t>
            </w:r>
          </w:p>
        </w:tc>
        <w:tc>
          <w:tcPr>
            <w:tcW w:type="dxa" w:w="1100"/>
            <w:tcMar>
              <w:top w:type="dxa" w:w="60"/>
              <w:left w:type="dxa" w:w="100"/>
              <w:bottom w:type="dxa" w:w="60"/>
              <w:right w:type="dxa" w:w="100"/>
            </w:tcMar>
          </w:tcPr>
          <w:p>
            <w:pPr>
              <w:jc w:val="left"/>
            </w:pPr>
            <w:r>
              <w:rPr>
                <w:b w:val="false"/>
                <w:bCs w:val="false"/>
                <w:sz w:val="19"/>
                <w:szCs w:val="19"/>
              </w:rPr>
              <w:t xml:space="preserve">9.2</w:t>
            </w:r>
          </w:p>
        </w:tc>
        <w:tc>
          <w:tcPr>
            <w:tcW w:type="dxa" w:w="1150"/>
            <w:tcMar>
              <w:top w:type="dxa" w:w="60"/>
              <w:left w:type="dxa" w:w="100"/>
              <w:bottom w:type="dxa" w:w="60"/>
              <w:right w:type="dxa" w:w="100"/>
            </w:tcMar>
          </w:tcPr>
          <w:p>
            <w:pPr>
              <w:jc w:val="left"/>
            </w:pPr>
            <w:r>
              <w:rPr>
                <w:b w:val="false"/>
                <w:bCs w:val="false"/>
                <w:sz w:val="19"/>
                <w:szCs w:val="19"/>
              </w:rPr>
              <w:t xml:space="preserve">35.3</w:t>
            </w:r>
          </w:p>
        </w:tc>
        <w:tc>
          <w:tcPr>
            <w:tcW w:type="dxa" w:w="1100"/>
            <w:tcMar>
              <w:top w:type="dxa" w:w="60"/>
              <w:left w:type="dxa" w:w="100"/>
              <w:bottom w:type="dxa" w:w="60"/>
              <w:right w:type="dxa" w:w="100"/>
            </w:tcMar>
          </w:tcPr>
          <w:p>
            <w:pPr>
              <w:jc w:val="left"/>
            </w:pPr>
            <w:r>
              <w:rPr>
                <w:b w:val="false"/>
                <w:bCs w:val="false"/>
                <w:sz w:val="19"/>
                <w:szCs w:val="19"/>
              </w:rPr>
              <w:t xml:space="preserve">No</w:t>
            </w:r>
          </w:p>
        </w:tc>
        <w:tc>
          <w:tcPr>
            <w:tcW w:type="dxa" w:w="3540"/>
            <w:tcMar>
              <w:top w:type="dxa" w:w="60"/>
              <w:left w:type="dxa" w:w="100"/>
              <w:bottom w:type="dxa" w:w="60"/>
              <w:right w:type="dxa" w:w="100"/>
            </w:tcMar>
          </w:tcPr>
          <w:p>
            <w:pPr>
              <w:jc w:val="left"/>
            </w:pPr>
            <w:r>
              <w:rPr>
                <w:b w:val="false"/>
                <w:bCs w:val="false"/>
                <w:sz w:val="19"/>
                <w:szCs w:val="19"/>
              </w:rPr>
              <w:t xml:space="preserve">Unconfirmed (DFT-Powder agreement only; no SERS counterpart within tolerance)</w:t>
            </w:r>
          </w:p>
        </w:tc>
      </w:tr>
      <w:tr>
        <w:tc>
          <w:tcPr>
            <w:tcW w:type="dxa" w:w="1150"/>
            <w:shd w:fill="F2F2F2" w:val="clear"/>
            <w:tcMar>
              <w:top w:type="dxa" w:w="60"/>
              <w:left w:type="dxa" w:w="100"/>
              <w:bottom w:type="dxa" w:w="60"/>
              <w:right w:type="dxa" w:w="100"/>
            </w:tcMar>
          </w:tcPr>
          <w:p>
            <w:pPr>
              <w:jc w:val="left"/>
            </w:pPr>
            <w:r>
              <w:rPr>
                <w:b w:val="false"/>
                <w:bCs w:val="false"/>
                <w:sz w:val="19"/>
                <w:szCs w:val="19"/>
              </w:rPr>
              <w:t xml:space="preserve">1093.2</w:t>
            </w:r>
          </w:p>
        </w:tc>
        <w:tc>
          <w:tcPr>
            <w:tcW w:type="dxa" w:w="1150"/>
            <w:shd w:fill="F2F2F2" w:val="clear"/>
            <w:tcMar>
              <w:top w:type="dxa" w:w="60"/>
              <w:left w:type="dxa" w:w="100"/>
              <w:bottom w:type="dxa" w:w="60"/>
              <w:right w:type="dxa" w:w="100"/>
            </w:tcMar>
          </w:tcPr>
          <w:p>
            <w:pPr>
              <w:jc w:val="left"/>
            </w:pPr>
            <w:r>
              <w:rPr>
                <w:b w:val="false"/>
                <w:bCs w:val="false"/>
                <w:sz w:val="19"/>
                <w:szCs w:val="19"/>
              </w:rPr>
              <w:t xml:space="preserve">1105.9</w:t>
            </w:r>
          </w:p>
        </w:tc>
        <w:tc>
          <w:tcPr>
            <w:tcW w:type="dxa" w:w="1250"/>
            <w:shd w:fill="F2F2F2" w:val="clear"/>
            <w:tcMar>
              <w:top w:type="dxa" w:w="60"/>
              <w:left w:type="dxa" w:w="100"/>
              <w:bottom w:type="dxa" w:w="60"/>
              <w:right w:type="dxa" w:w="100"/>
            </w:tcMar>
          </w:tcPr>
          <w:p>
            <w:pPr>
              <w:jc w:val="left"/>
            </w:pPr>
            <w:r>
              <w:rPr>
                <w:b w:val="false"/>
                <w:bCs w:val="false"/>
                <w:sz w:val="19"/>
                <w:szCs w:val="19"/>
              </w:rPr>
              <w:t xml:space="preserve">1133.5</w:t>
            </w:r>
          </w:p>
        </w:tc>
        <w:tc>
          <w:tcPr>
            <w:tcW w:type="dxa" w:w="1100"/>
            <w:shd w:fill="F2F2F2" w:val="clear"/>
            <w:tcMar>
              <w:top w:type="dxa" w:w="60"/>
              <w:left w:type="dxa" w:w="100"/>
              <w:bottom w:type="dxa" w:w="60"/>
              <w:right w:type="dxa" w:w="100"/>
            </w:tcMar>
          </w:tcPr>
          <w:p>
            <w:pPr>
              <w:jc w:val="left"/>
            </w:pPr>
            <w:r>
              <w:rPr>
                <w:b w:val="false"/>
                <w:bCs w:val="false"/>
                <w:sz w:val="19"/>
                <w:szCs w:val="19"/>
              </w:rPr>
              <w:t xml:space="preserve">12.7</w:t>
            </w:r>
          </w:p>
        </w:tc>
        <w:tc>
          <w:tcPr>
            <w:tcW w:type="dxa" w:w="1150"/>
            <w:shd w:fill="F2F2F2" w:val="clear"/>
            <w:tcMar>
              <w:top w:type="dxa" w:w="60"/>
              <w:left w:type="dxa" w:w="100"/>
              <w:bottom w:type="dxa" w:w="60"/>
              <w:right w:type="dxa" w:w="100"/>
            </w:tcMar>
          </w:tcPr>
          <w:p>
            <w:pPr>
              <w:jc w:val="left"/>
            </w:pPr>
            <w:r>
              <w:rPr>
                <w:b w:val="false"/>
                <w:bCs w:val="false"/>
                <w:sz w:val="19"/>
                <w:szCs w:val="19"/>
              </w:rPr>
              <w:t xml:space="preserve">40.3</w:t>
            </w:r>
          </w:p>
        </w:tc>
        <w:tc>
          <w:tcPr>
            <w:tcW w:type="dxa" w:w="1100"/>
            <w:shd w:fill="F2F2F2" w:val="clear"/>
            <w:tcMar>
              <w:top w:type="dxa" w:w="60"/>
              <w:left w:type="dxa" w:w="100"/>
              <w:bottom w:type="dxa" w:w="60"/>
              <w:right w:type="dxa" w:w="100"/>
            </w:tcMar>
          </w:tcPr>
          <w:p>
            <w:pPr>
              <w:jc w:val="left"/>
            </w:pPr>
            <w:r>
              <w:rPr>
                <w:b w:val="false"/>
                <w:bCs w:val="false"/>
                <w:sz w:val="19"/>
                <w:szCs w:val="19"/>
              </w:rPr>
              <w:t xml:space="preserve">No</w:t>
            </w:r>
          </w:p>
        </w:tc>
        <w:tc>
          <w:tcPr>
            <w:tcW w:type="dxa" w:w="3540"/>
            <w:shd w:fill="F2F2F2" w:val="clear"/>
            <w:tcMar>
              <w:top w:type="dxa" w:w="60"/>
              <w:left w:type="dxa" w:w="100"/>
              <w:bottom w:type="dxa" w:w="60"/>
              <w:right w:type="dxa" w:w="100"/>
            </w:tcMar>
          </w:tcPr>
          <w:p>
            <w:pPr>
              <w:jc w:val="left"/>
            </w:pPr>
            <w:r>
              <w:rPr>
                <w:b w:val="false"/>
                <w:bCs w:val="false"/>
                <w:sz w:val="19"/>
                <w:szCs w:val="19"/>
              </w:rPr>
              <w:t xml:space="preserve">Unconfirmed (DFT-Powder agreement only; no SERS counterpart within tolerance)</w:t>
            </w:r>
          </w:p>
        </w:tc>
      </w:tr>
      <w:tr>
        <w:tc>
          <w:tcPr>
            <w:tcW w:type="dxa" w:w="1150"/>
            <w:tcMar>
              <w:top w:type="dxa" w:w="60"/>
              <w:left w:type="dxa" w:w="100"/>
              <w:bottom w:type="dxa" w:w="60"/>
              <w:right w:type="dxa" w:w="100"/>
            </w:tcMar>
          </w:tcPr>
          <w:p>
            <w:pPr>
              <w:jc w:val="left"/>
            </w:pPr>
            <w:r>
              <w:rPr>
                <w:b w:val="false"/>
                <w:bCs w:val="false"/>
                <w:sz w:val="19"/>
                <w:szCs w:val="19"/>
              </w:rPr>
              <w:t xml:space="preserve">1184.6</w:t>
            </w:r>
          </w:p>
        </w:tc>
        <w:tc>
          <w:tcPr>
            <w:tcW w:type="dxa" w:w="1150"/>
            <w:tcMar>
              <w:top w:type="dxa" w:w="60"/>
              <w:left w:type="dxa" w:w="100"/>
              <w:bottom w:type="dxa" w:w="60"/>
              <w:right w:type="dxa" w:w="100"/>
            </w:tcMar>
          </w:tcPr>
          <w:p>
            <w:pPr>
              <w:jc w:val="left"/>
            </w:pPr>
            <w:r>
              <w:rPr>
                <w:b w:val="false"/>
                <w:bCs w:val="false"/>
                <w:sz w:val="19"/>
                <w:szCs w:val="19"/>
              </w:rPr>
              <w:t xml:space="preserve">1178.9</w:t>
            </w:r>
          </w:p>
        </w:tc>
        <w:tc>
          <w:tcPr>
            <w:tcW w:type="dxa" w:w="1250"/>
            <w:tcMar>
              <w:top w:type="dxa" w:w="60"/>
              <w:left w:type="dxa" w:w="100"/>
              <w:bottom w:type="dxa" w:w="60"/>
              <w:right w:type="dxa" w:w="100"/>
            </w:tcMar>
          </w:tcPr>
          <w:p>
            <w:pPr>
              <w:jc w:val="left"/>
            </w:pPr>
            <w:r>
              <w:rPr>
                <w:b w:val="false"/>
                <w:bCs w:val="false"/>
                <w:sz w:val="19"/>
                <w:szCs w:val="19"/>
              </w:rPr>
              <w:t xml:space="preserve">1133.5</w:t>
            </w:r>
          </w:p>
        </w:tc>
        <w:tc>
          <w:tcPr>
            <w:tcW w:type="dxa" w:w="1100"/>
            <w:tcMar>
              <w:top w:type="dxa" w:w="60"/>
              <w:left w:type="dxa" w:w="100"/>
              <w:bottom w:type="dxa" w:w="60"/>
              <w:right w:type="dxa" w:w="100"/>
            </w:tcMar>
          </w:tcPr>
          <w:p>
            <w:pPr>
              <w:jc w:val="left"/>
            </w:pPr>
            <w:r>
              <w:rPr>
                <w:b w:val="false"/>
                <w:bCs w:val="false"/>
                <w:sz w:val="19"/>
                <w:szCs w:val="19"/>
              </w:rPr>
              <w:t xml:space="preserve">5.7</w:t>
            </w:r>
          </w:p>
        </w:tc>
        <w:tc>
          <w:tcPr>
            <w:tcW w:type="dxa" w:w="1150"/>
            <w:tcMar>
              <w:top w:type="dxa" w:w="60"/>
              <w:left w:type="dxa" w:w="100"/>
              <w:bottom w:type="dxa" w:w="60"/>
              <w:right w:type="dxa" w:w="100"/>
            </w:tcMar>
          </w:tcPr>
          <w:p>
            <w:pPr>
              <w:jc w:val="left"/>
            </w:pPr>
            <w:r>
              <w:rPr>
                <w:b w:val="false"/>
                <w:bCs w:val="false"/>
                <w:sz w:val="19"/>
                <w:szCs w:val="19"/>
              </w:rPr>
              <w:t xml:space="preserve">51.1</w:t>
            </w:r>
          </w:p>
        </w:tc>
        <w:tc>
          <w:tcPr>
            <w:tcW w:type="dxa" w:w="1100"/>
            <w:tcMar>
              <w:top w:type="dxa" w:w="60"/>
              <w:left w:type="dxa" w:w="100"/>
              <w:bottom w:type="dxa" w:w="60"/>
              <w:right w:type="dxa" w:w="100"/>
            </w:tcMar>
          </w:tcPr>
          <w:p>
            <w:pPr>
              <w:jc w:val="left"/>
            </w:pPr>
            <w:r>
              <w:rPr>
                <w:b w:val="false"/>
                <w:bCs w:val="false"/>
                <w:sz w:val="19"/>
                <w:szCs w:val="19"/>
              </w:rPr>
              <w:t xml:space="preserve">No</w:t>
            </w:r>
          </w:p>
        </w:tc>
        <w:tc>
          <w:tcPr>
            <w:tcW w:type="dxa" w:w="3540"/>
            <w:tcMar>
              <w:top w:type="dxa" w:w="60"/>
              <w:left w:type="dxa" w:w="100"/>
              <w:bottom w:type="dxa" w:w="60"/>
              <w:right w:type="dxa" w:w="100"/>
            </w:tcMar>
          </w:tcPr>
          <w:p>
            <w:pPr>
              <w:jc w:val="left"/>
            </w:pPr>
            <w:r>
              <w:rPr>
                <w:b w:val="false"/>
                <w:bCs w:val="false"/>
                <w:sz w:val="19"/>
                <w:szCs w:val="19"/>
              </w:rPr>
              <w:t xml:space="preserve">Unconfirmed (DFT-Powder agreement only; no SERS counterpart within tolerance)</w:t>
            </w:r>
          </w:p>
        </w:tc>
      </w:tr>
      <w:tr>
        <w:tc>
          <w:tcPr>
            <w:tcW w:type="dxa" w:w="1150"/>
            <w:shd w:fill="F2F2F2" w:val="clear"/>
            <w:tcMar>
              <w:top w:type="dxa" w:w="60"/>
              <w:left w:type="dxa" w:w="100"/>
              <w:bottom w:type="dxa" w:w="60"/>
              <w:right w:type="dxa" w:w="100"/>
            </w:tcMar>
          </w:tcPr>
          <w:p>
            <w:pPr>
              <w:jc w:val="left"/>
            </w:pPr>
            <w:r>
              <w:rPr>
                <w:b w:val="false"/>
                <w:bCs w:val="false"/>
                <w:sz w:val="19"/>
                <w:szCs w:val="19"/>
              </w:rPr>
              <w:t xml:space="preserve">1602.4</w:t>
            </w:r>
          </w:p>
        </w:tc>
        <w:tc>
          <w:tcPr>
            <w:tcW w:type="dxa" w:w="1150"/>
            <w:shd w:fill="F2F2F2" w:val="clear"/>
            <w:tcMar>
              <w:top w:type="dxa" w:w="60"/>
              <w:left w:type="dxa" w:w="100"/>
              <w:bottom w:type="dxa" w:w="60"/>
              <w:right w:type="dxa" w:w="100"/>
            </w:tcMar>
          </w:tcPr>
          <w:p>
            <w:pPr>
              <w:jc w:val="left"/>
            </w:pPr>
            <w:r>
              <w:rPr>
                <w:b w:val="false"/>
                <w:bCs w:val="false"/>
                <w:sz w:val="19"/>
                <w:szCs w:val="19"/>
              </w:rPr>
              <w:t xml:space="preserve">1605.1</w:t>
            </w:r>
          </w:p>
        </w:tc>
        <w:tc>
          <w:tcPr>
            <w:tcW w:type="dxa" w:w="1250"/>
            <w:shd w:fill="F2F2F2" w:val="clear"/>
            <w:tcMar>
              <w:top w:type="dxa" w:w="60"/>
              <w:left w:type="dxa" w:w="100"/>
              <w:bottom w:type="dxa" w:w="60"/>
              <w:right w:type="dxa" w:w="100"/>
            </w:tcMar>
          </w:tcPr>
          <w:p>
            <w:pPr>
              <w:jc w:val="left"/>
            </w:pPr>
            <w:r>
              <w:rPr>
                <w:b w:val="false"/>
                <w:bCs w:val="false"/>
                <w:sz w:val="19"/>
                <w:szCs w:val="19"/>
              </w:rPr>
              <w:t xml:space="preserve">1602.7</w:t>
            </w:r>
          </w:p>
        </w:tc>
        <w:tc>
          <w:tcPr>
            <w:tcW w:type="dxa" w:w="1100"/>
            <w:shd w:fill="F2F2F2" w:val="clear"/>
            <w:tcMar>
              <w:top w:type="dxa" w:w="60"/>
              <w:left w:type="dxa" w:w="100"/>
              <w:bottom w:type="dxa" w:w="60"/>
              <w:right w:type="dxa" w:w="100"/>
            </w:tcMar>
          </w:tcPr>
          <w:p>
            <w:pPr>
              <w:jc w:val="left"/>
            </w:pPr>
            <w:r>
              <w:rPr>
                <w:b w:val="false"/>
                <w:bCs w:val="false"/>
                <w:sz w:val="19"/>
                <w:szCs w:val="19"/>
              </w:rPr>
              <w:t xml:space="preserve">2.7</w:t>
            </w:r>
          </w:p>
        </w:tc>
        <w:tc>
          <w:tcPr>
            <w:tcW w:type="dxa" w:w="1150"/>
            <w:shd w:fill="F2F2F2" w:val="clear"/>
            <w:tcMar>
              <w:top w:type="dxa" w:w="60"/>
              <w:left w:type="dxa" w:w="100"/>
              <w:bottom w:type="dxa" w:w="60"/>
              <w:right w:type="dxa" w:w="100"/>
            </w:tcMar>
          </w:tcPr>
          <w:p>
            <w:pPr>
              <w:jc w:val="left"/>
            </w:pPr>
            <w:r>
              <w:rPr>
                <w:b w:val="false"/>
                <w:bCs w:val="false"/>
                <w:sz w:val="19"/>
                <w:szCs w:val="19"/>
              </w:rPr>
              <w:t xml:space="preserve">0.3</w:t>
            </w:r>
          </w:p>
        </w:tc>
        <w:tc>
          <w:tcPr>
            <w:tcW w:type="dxa" w:w="1100"/>
            <w:shd w:fill="F2F2F2" w:val="clear"/>
            <w:tcMar>
              <w:top w:type="dxa" w:w="60"/>
              <w:left w:type="dxa" w:w="100"/>
              <w:bottom w:type="dxa" w:w="60"/>
              <w:right w:type="dxa" w:w="100"/>
            </w:tcMar>
          </w:tcPr>
          <w:p>
            <w:pPr>
              <w:jc w:val="left"/>
            </w:pPr>
            <w:r>
              <w:rPr>
                <w:b w:val="false"/>
                <w:bCs w:val="false"/>
                <w:sz w:val="19"/>
                <w:szCs w:val="19"/>
              </w:rPr>
              <w:t xml:space="preserve">Yes</w:t>
            </w:r>
          </w:p>
        </w:tc>
        <w:tc>
          <w:tcPr>
            <w:tcW w:type="dxa" w:w="3540"/>
            <w:shd w:fill="F2F2F2" w:val="clear"/>
            <w:tcMar>
              <w:top w:type="dxa" w:w="60"/>
              <w:left w:type="dxa" w:w="100"/>
              <w:bottom w:type="dxa" w:w="60"/>
              <w:right w:type="dxa" w:w="100"/>
            </w:tcMar>
          </w:tcPr>
          <w:p>
            <w:pPr>
              <w:jc w:val="left"/>
            </w:pPr>
            <w:r>
              <w:rPr>
                <w:b w:val="false"/>
                <w:bCs w:val="false"/>
                <w:sz w:val="19"/>
                <w:szCs w:val="19"/>
              </w:rPr>
              <w:t xml:space="preserve">Substrate artifact (SERS counterpart coincides with blank)</w:t>
            </w:r>
          </w:p>
        </w:tc>
      </w:tr>
      <w:tr>
        <w:tc>
          <w:tcPr>
            <w:tcW w:type="dxa" w:w="1150"/>
            <w:tcMar>
              <w:top w:type="dxa" w:w="60"/>
              <w:left w:type="dxa" w:w="100"/>
              <w:bottom w:type="dxa" w:w="60"/>
              <w:right w:type="dxa" w:w="100"/>
            </w:tcMar>
          </w:tcPr>
          <w:p>
            <w:pPr>
              <w:jc w:val="left"/>
            </w:pPr>
            <w:r>
              <w:rPr>
                <w:b w:val="false"/>
                <w:bCs w:val="false"/>
                <w:sz w:val="19"/>
                <w:szCs w:val="19"/>
              </w:rPr>
              <w:t xml:space="preserve">1784.2</w:t>
            </w:r>
          </w:p>
        </w:tc>
        <w:tc>
          <w:tcPr>
            <w:tcW w:type="dxa" w:w="1150"/>
            <w:tcMar>
              <w:top w:type="dxa" w:w="60"/>
              <w:left w:type="dxa" w:w="100"/>
              <w:bottom w:type="dxa" w:w="60"/>
              <w:right w:type="dxa" w:w="100"/>
            </w:tcMar>
          </w:tcPr>
          <w:p>
            <w:pPr>
              <w:jc w:val="left"/>
            </w:pPr>
            <w:r>
              <w:rPr>
                <w:b w:val="false"/>
                <w:bCs w:val="false"/>
                <w:sz w:val="19"/>
                <w:szCs w:val="19"/>
              </w:rPr>
              <w:t xml:space="preserve">—</w:t>
            </w:r>
          </w:p>
        </w:tc>
        <w:tc>
          <w:tcPr>
            <w:tcW w:type="dxa" w:w="1250"/>
            <w:tcMar>
              <w:top w:type="dxa" w:w="60"/>
              <w:left w:type="dxa" w:w="100"/>
              <w:bottom w:type="dxa" w:w="60"/>
              <w:right w:type="dxa" w:w="100"/>
            </w:tcMar>
          </w:tcPr>
          <w:p>
            <w:pPr>
              <w:jc w:val="left"/>
            </w:pPr>
            <w:r>
              <w:rPr>
                <w:b w:val="false"/>
                <w:bCs w:val="false"/>
                <w:sz w:val="19"/>
                <w:szCs w:val="19"/>
              </w:rPr>
              <w:t xml:space="preserve">1893.2</w:t>
            </w:r>
          </w:p>
        </w:tc>
        <w:tc>
          <w:tcPr>
            <w:tcW w:type="dxa" w:w="1100"/>
            <w:tcMar>
              <w:top w:type="dxa" w:w="60"/>
              <w:left w:type="dxa" w:w="100"/>
              <w:bottom w:type="dxa" w:w="60"/>
              <w:right w:type="dxa" w:w="100"/>
            </w:tcMar>
          </w:tcPr>
          <w:p>
            <w:pPr>
              <w:jc w:val="left"/>
            </w:pPr>
            <w:r>
              <w:rPr>
                <w:b w:val="false"/>
                <w:bCs w:val="false"/>
                <w:sz w:val="19"/>
                <w:szCs w:val="19"/>
              </w:rPr>
              <w:t xml:space="preserve">94.6</w:t>
            </w:r>
          </w:p>
        </w:tc>
        <w:tc>
          <w:tcPr>
            <w:tcW w:type="dxa" w:w="1150"/>
            <w:tcMar>
              <w:top w:type="dxa" w:w="60"/>
              <w:left w:type="dxa" w:w="100"/>
              <w:bottom w:type="dxa" w:w="60"/>
              <w:right w:type="dxa" w:w="100"/>
            </w:tcMar>
          </w:tcPr>
          <w:p>
            <w:pPr>
              <w:jc w:val="left"/>
            </w:pPr>
            <w:r>
              <w:rPr>
                <w:b w:val="false"/>
                <w:bCs w:val="false"/>
                <w:sz w:val="19"/>
                <w:szCs w:val="19"/>
              </w:rPr>
              <w:t xml:space="preserve">109</w:t>
            </w:r>
          </w:p>
        </w:tc>
        <w:tc>
          <w:tcPr>
            <w:tcW w:type="dxa" w:w="1100"/>
            <w:tcMar>
              <w:top w:type="dxa" w:w="60"/>
              <w:left w:type="dxa" w:w="100"/>
              <w:bottom w:type="dxa" w:w="60"/>
              <w:right w:type="dxa" w:w="100"/>
            </w:tcMar>
          </w:tcPr>
          <w:p>
            <w:pPr>
              <w:jc w:val="left"/>
            </w:pPr>
            <w:r>
              <w:rPr>
                <w:b w:val="false"/>
                <w:bCs w:val="false"/>
                <w:sz w:val="19"/>
                <w:szCs w:val="19"/>
              </w:rPr>
              <w:t xml:space="preserve">No</w:t>
            </w:r>
          </w:p>
        </w:tc>
        <w:tc>
          <w:tcPr>
            <w:tcW w:type="dxa" w:w="3540"/>
            <w:tcMar>
              <w:top w:type="dxa" w:w="60"/>
              <w:left w:type="dxa" w:w="100"/>
              <w:bottom w:type="dxa" w:w="60"/>
              <w:right w:type="dxa" w:w="100"/>
            </w:tcMar>
          </w:tcPr>
          <w:p>
            <w:pPr>
              <w:jc w:val="left"/>
            </w:pPr>
            <w:r>
              <w:rPr>
                <w:b w:val="false"/>
                <w:bCs w:val="false"/>
                <w:sz w:val="19"/>
                <w:szCs w:val="19"/>
              </w:rPr>
              <w:t xml:space="preserve">Unconfirmed (Powder peak lacks DFT support within tolerance)</w:t>
            </w:r>
          </w:p>
        </w:tc>
      </w:tr>
    </w:tbl>
    <w:p>
      <w:pPr>
        <w:spacing w:after="120"/>
      </w:pPr>
      <w:r>
        <w:rPr>
          <w:b/>
          <w:bCs/>
        </w:rPr>
        <w:t xml:space="preserve">Classification tally: Unconfirmed = 6, Substrate artifact = 1 (Confirmed = 0, Strong candidate = 0).</w:t>
      </w:r>
    </w:p>
    <w:p>
      <w:pPr>
        <w:pBdr>
          <w:left w:val="single" w:color="C0504D" w:sz="18" w:space="8"/>
        </w:pBdr>
        <w:spacing w:after="200" w:before="120"/>
        <w:ind w:left="200"/>
      </w:pPr>
      <w:r>
        <w:rPr>
          <w:i/>
          <w:iCs/>
        </w:rPr>
        <w:t xml:space="preserve">No band in the project is currently supported by all three evidence types at once. The single case where a powder peak and a SERS-candidate peak agree closely (1602.4 / 1602.7 cm⁻¹, Δ=0.3) is classified as a substrate artifact because that same position is also present in the blank. This is reported as the actual result of the analysis, not adjusted to produce a positive-sounding count.</w:t>
      </w:r>
    </w:p>
    <w:p>
      <w:r>
        <w:br w:type="page"/>
      </w:r>
    </w:p>
    <w:p>
      <w:pPr>
        <w:pStyle w:val="Heading1"/>
        <w:spacing w:after="160" w:before="360"/>
      </w:pPr>
      <w:r>
        <w:t xml:space="preserve">9. Final Conclusions and Recommendation for the PPT</w:t>
      </w:r>
    </w:p>
    <w:p>
      <w:pPr>
        <w:pStyle w:val="Heading2"/>
        <w:spacing w:after="120" w:before="240"/>
      </w:pPr>
      <w:r>
        <w:t xml:space="preserve">9.1 Direct answers</w:t>
      </w:r>
    </w:p>
    <w:p>
      <w:pPr>
        <w:pStyle w:val="ListParagraph"/>
        <w:numPr>
          <w:ilvl w:val="0"/>
          <w:numId w:val="1"/>
        </w:numPr>
        <w:spacing w:after="80"/>
      </w:pPr>
      <w:r>
        <w:t xml:space="preserve">Is the DFT-vs-experiment comparison currently valid as quantitative proof of LTA identification? No. It is a qualitative, fragment-vs-polymer, broadened-curve comparison. 5 of 7 experimental peaks land within 15 cm⁻¹ of some DFT fragment feature (MAE 7.2 cm⁻¹, RMSE 8.0 cm⁻¹ for those 5), which is a reasonable qualitative consistency check, but it is not proof of structure — no discrete DFT mode list exists to compare against, and only isolated building blocks (not the assembled, phosphodiester-linked, lipid-anchored polymer) were modelled.</w:t>
      </w:r>
    </w:p>
    <w:p>
      <w:pPr>
        <w:pStyle w:val="ListParagraph"/>
        <w:numPr>
          <w:ilvl w:val="0"/>
          <w:numId w:val="1"/>
        </w:numPr>
        <w:spacing w:after="80"/>
      </w:pPr>
      <w:r>
        <w:t xml:space="preserve">Is there a validated LTA SERS signal? No. Raw candidate SERS data exist and a matched blank exists, but the project's own pixel-level check already retracted the one prior positive claim on this exact dataset, and this report's independent reprocessing produces only unconfirmed, non-pixel-checked candidates.</w:t>
      </w:r>
    </w:p>
    <w:p>
      <w:pPr>
        <w:pStyle w:val="ListParagraph"/>
        <w:numPr>
          <w:ilvl w:val="0"/>
          <w:numId w:val="1"/>
        </w:numPr>
        <w:spacing w:after="80"/>
      </w:pPr>
      <w:r>
        <w:t xml:space="preserve">Does any band survive DFT + powder Raman + SERS together? No band in the current data is classified "Confirmed" or "Strong candidate" in Section 8. The strongest cross-technique agreement (1602.4/1602.7 cm⁻¹) is explained by the blank substrate, not by LTA.</w:t>
      </w:r>
    </w:p>
    <w:p>
      <w:pPr>
        <w:pStyle w:val="ListParagraph"/>
        <w:numPr>
          <w:ilvl w:val="0"/>
          <w:numId w:val="1"/>
        </w:numPr>
        <w:spacing w:after="80"/>
      </w:pPr>
      <w:r>
        <w:t xml:space="preserve">What is the single strongest piece of evidence in the project? The 1093.2 cm⁻¹ experimental powder peak: it is reproducible in position (std dev 1.95 cm⁻¹ across 12 spots, detected in 11/12), it has a DFT candidate within 12.7 cm⁻¹ (GlcNAc fragment), and it falls inside the only literature band the project's own documents mark LIT-CONFIRMED (1080–1095 cm⁻¹, phosphodiester PO₂⁻ stretch). Its intensity is nonetheless the most variable of the 7 (CV 37.5%), which is why Section 5 rates it Low rather than Moderate confidence on this report's scale — the position evidence is the project's best, but on intensity alone it does not clear the bar this report set for a Moderate rating.</w:t>
      </w:r>
    </w:p>
    <w:p>
      <w:pPr>
        <w:pStyle w:val="Heading2"/>
        <w:spacing w:after="120" w:before="240"/>
      </w:pPr>
      <w:r>
        <w:t xml:space="preserve">9.2 Recommendation for the PPT to Sir</w:t>
      </w:r>
    </w:p>
    <w:p>
      <w:pPr>
        <w:spacing w:after="120"/>
      </w:pPr>
      <w:r>
        <w:t xml:space="preserve">Show, not more than these four items, each with the honest caveat already attached in this report:</w:t>
      </w:r>
    </w:p>
    <w:p>
      <w:pPr>
        <w:pStyle w:val="ListParagraph"/>
        <w:numPr>
          <w:ilvl w:val="0"/>
          <w:numId w:val="1"/>
        </w:numPr>
        <w:spacing w:after="80"/>
      </w:pPr>
      <w:r>
        <w:t xml:space="preserve">Figure 2.1 (experimental powder Raman, 7 characteristic peaks) with the reproducibility table (Sec. 2.1) alongside it — this is the project's best-supported single dataset.</w:t>
      </w:r>
    </w:p>
    <w:p>
      <w:pPr>
        <w:pStyle w:val="ListParagraph"/>
        <w:numPr>
          <w:ilvl w:val="0"/>
          <w:numId w:val="1"/>
        </w:numPr>
        <w:spacing w:after="80"/>
      </w:pPr>
      <w:r>
        <w:t xml:space="preserve">Figure 4.1 (experimental-vs-DFT overlay) with the one-line result: "5 of 7 characteristic peaks fall within 15 cm⁻¹ of a DFT fragment feature (MAE 7.2 cm⁻¹); this is a qualitative consistency check on isolated building blocks, not a structural proof."</w:t>
      </w:r>
    </w:p>
    <w:p>
      <w:pPr>
        <w:pStyle w:val="ListParagraph"/>
        <w:numPr>
          <w:ilvl w:val="0"/>
          <w:numId w:val="1"/>
        </w:numPr>
        <w:spacing w:after="80"/>
      </w:pPr>
      <w:r>
        <w:t xml:space="preserve">The 1093.2 cm⁻¹ result as the single headline finding, explicitly framed with all three of its supporting facts (reproducible, DFT-consistent, literature-tier LIT-CONFIRMED) and its one weakness (high intensity variability).</w:t>
      </w:r>
    </w:p>
    <w:p>
      <w:pPr>
        <w:pStyle w:val="ListParagraph"/>
        <w:numPr>
          <w:ilvl w:val="0"/>
          <w:numId w:val="1"/>
        </w:numPr>
        <w:spacing w:after="80"/>
      </w:pPr>
      <w:r>
        <w:t xml:space="preserve">One slide stating plainly that SERS detection of LTA is not yet established: the prior claim was retracted, and this report's reprocessing gives only unconfirmed candidates pending a pixel-level check and additional replicate spectra.</w:t>
      </w:r>
    </w:p>
    <w:p>
      <w:pPr>
        <w:spacing w:after="120"/>
      </w:pPr>
      <w:r>
        <w:rPr>
          <w:i/>
          <w:iCs/>
        </w:rPr>
        <w:t xml:space="preserve">What not to show as a finding: the DFT→powder→SERS three-way table's raw "agreement" at 1602 cm⁻¹ — it is explained by the substrate, and presenting it without that caveat would overstate the SERS result.</w:t>
      </w:r>
    </w:p>
    <w:p>
      <w:pPr>
        <w:pStyle w:val="Heading2"/>
        <w:spacing w:after="120" w:before="240"/>
      </w:pPr>
      <w:r>
        <w:t xml:space="preserve">9.3 What would most strengthen this evidence base next</w:t>
      </w:r>
    </w:p>
    <w:p>
      <w:pPr>
        <w:pStyle w:val="ListParagraph"/>
        <w:numPr>
          <w:ilvl w:val="0"/>
          <w:numId w:val="1"/>
        </w:numPr>
        <w:spacing w:after="80"/>
      </w:pPr>
      <w:r>
        <w:t xml:space="preserve">A working whole-molecule (or larger, linked-fragment) DFT calculation, since the current comparison cannot get past isolated-monomer limitations without one.</w:t>
      </w:r>
    </w:p>
    <w:p>
      <w:pPr>
        <w:pStyle w:val="ListParagraph"/>
        <w:numPr>
          <w:ilvl w:val="0"/>
          <w:numId w:val="1"/>
        </w:numPr>
        <w:spacing w:after="80"/>
      </w:pPr>
      <w:r>
        <w:t xml:space="preserve">A second, independent powder-Raman replicate set (different day/prep) to check whether the 7 characteristic peaks — especially the two DFT-unmatched ones, 794.5 and 1784.2 cm⁻¹ — reproduce outside the single 12-spot session analysed here.</w:t>
      </w:r>
    </w:p>
    <w:p>
      <w:pPr>
        <w:pStyle w:val="ListParagraph"/>
        <w:numPr>
          <w:ilvl w:val="0"/>
          <w:numId w:val="1"/>
        </w:numPr>
        <w:spacing w:after="80"/>
      </w:pPr>
      <w:r>
        <w:t xml:space="preserve">Pixel-level re-inspection of the 9 "absent-in-blank" SERS-candidate peaks in Section 7, using the same method that already caught the earlier single-pixel artifact in this dataset, before any of them is presented as a candidate LTA SERS signal.</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LTA Evidence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34e309eb916f9bf16fbcfce79c200ccec3c180.png"/><Relationship Id="rId10" Type="http://schemas.openxmlformats.org/officeDocument/2006/relationships/image" Target="media/f558736bf761c119ea246386b81c8237015321fb.png"/><Relationship Id="rId11" Type="http://schemas.openxmlformats.org/officeDocument/2006/relationships/image" Target="media/8a2aa2619c0ecc46b3002c077f2f2eed0478c32e.png"/><Relationship Id="rId12" Type="http://schemas.openxmlformats.org/officeDocument/2006/relationships/image" Target="media/2e3fc225813e4b58b0d3492da37bf8b76fd8a79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2026-08-29T18:57:57.100Z</dcterms:created>
  <dcterms:modified xsi:type="dcterms:W3CDTF">2026-08-29T18:57:57.100Z</dcterms:modified>
</cp:coreProperties>
</file>

<file path=docProps/custom.xml><?xml version="1.0" encoding="utf-8"?>
<Properties xmlns="http://schemas.openxmlformats.org/officeDocument/2006/custom-properties" xmlns:vt="http://schemas.openxmlformats.org/officeDocument/2006/docPropsVTypes"/>
</file>