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sz w:val="44"/>
          <w:szCs w:val="44"/>
        </w:rPr>
        <w:t xml:space="preserve">LTA Raman Spectroscopic Characterization</w:t>
      </w:r>
    </w:p>
    <w:p>
      <w:pPr>
        <w:spacing w:after="500"/>
        <w:jc w:val="center"/>
      </w:pPr>
      <w:r>
        <w:rPr>
          <w:b/>
          <w:bCs/>
          <w:sz w:val="32"/>
          <w:szCs w:val="32"/>
        </w:rPr>
        <w:t xml:space="preserve">Experimental, DFT, Literature and SERS Evidence Assessment</w:t>
      </w:r>
    </w:p>
    <w:p>
      <w:pPr>
        <w:spacing w:after="120"/>
        <w:jc w:val="center"/>
      </w:pPr>
      <w:r>
        <w:rPr>
          <w:sz w:val="22"/>
          <w:szCs w:val="22"/>
        </w:rPr>
        <w:t xml:space="preserve">29 August 2026</w:t>
      </w:r>
    </w:p>
    <w:p>
      <w:pPr>
        <w:spacing w:before="400"/>
        <w:jc w:val="center"/>
      </w:pPr>
      <w:r>
        <w:rPr>
          <w:i/>
          <w:iCs/>
          <w:color w:val="595959"/>
          <w:sz w:val="20"/>
          <w:szCs w:val="20"/>
        </w:rPr>
        <w:t xml:space="preserve">All figures, tables and numerical values in this report are derived directly from project data files or computed programmatically from them. No peak is described as LTA-specific, and no literature or SERS match is reported, beyond what the available evidence directly supports.</w:t>
      </w:r>
    </w:p>
    <w:p>
      <w:r>
        <w:br w:type="page"/>
      </w:r>
    </w:p>
    <w:p>
      <w:pPr>
        <w:pStyle w:val="Heading1"/>
        <w:spacing w:after="160" w:before="360"/>
      </w:pPr>
      <w:r>
        <w:t xml:space="preserve">Objective</w:t>
      </w:r>
    </w:p>
    <w:p>
      <w:pPr>
        <w:spacing w:after="120"/>
      </w:pPr>
      <w:r>
        <w:t xml:space="preserve">This report organizes the available Lipoteichoic Acid (LTA) Raman evidence into a single, traceable workflow: DFT simulation → experimental powder Raman → literature comparison → candidate SERS data → blank-substrate control. Its purpose is to state plainly which Raman bands are supported by which type of evidence, and which are not, so that no band is presented as an LTA-specific signature beyond what the data currently justify.</w:t>
      </w:r>
    </w:p>
    <w:p>
      <w:pPr>
        <w:spacing w:after="120"/>
      </w:pPr>
      <w:r>
        <w:t xml:space="preserve">Three principles are followed throughout: matches are not forced to reach a particular count; unmatched peaks and substrate artifacts are reported alongside positive findings, not omitted; and a distinction is maintained between four separate ideas that are easy to conflate — an experimental LTA reference band, a DFT-supported band, a literature-supported band, and a validated SERS band. A band earning one of these labels does not automatically earn the others.</w:t>
      </w:r>
    </w:p>
    <w:p>
      <w:r>
        <w:br w:type="page"/>
      </w:r>
    </w:p>
    <w:p>
      <w:pPr>
        <w:pStyle w:val="Heading1"/>
        <w:spacing w:after="160" w:before="360"/>
      </w:pPr>
      <w:r>
        <w:t xml:space="preserve">1. Experimental Powder Raman Analysis</w:t>
      </w:r>
    </w:p>
    <w:p>
      <w:pPr>
        <w:spacing w:after="120"/>
      </w:pPr>
      <w:r>
        <w:t xml:space="preserve">The primary experimental dataset (20-04/20sec20power-variable location LTA/) comprises 12 powder Raman spectra of LTA (784.92 nm laser, power level 20, 20 s integration, acquired 2026-02-09), independently processed with ALS baseline correction, Savitzky-Golay smoothing, and area normalization. Seven characteristic peaks are consistently identified in the 12-spot mean spectrum by an automated peak-finding pass on the processed data.</w:t>
      </w:r>
    </w:p>
    <w:p>
      <w:pPr>
        <w:spacing w:after="120" w:before="120"/>
        <w:jc w:val="center"/>
      </w:pPr>
      <w:r>
        <w:drawing>
          <wp:inline distT="0" distB="0" distL="0" distR="0">
            <wp:extent cx="5905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14650"/>
                    </a:xfrm>
                    <a:prstGeom prst="rect">
                      <a:avLst/>
                    </a:prstGeom>
                  </pic:spPr>
                </pic:pic>
              </a:graphicData>
            </a:graphic>
          </wp:inline>
        </w:drawing>
      </w:r>
    </w:p>
    <w:p>
      <w:pPr>
        <w:spacing w:after="240"/>
        <w:jc w:val="center"/>
      </w:pPr>
      <w:r>
        <w:rPr>
          <w:i/>
          <w:iCs/>
          <w:sz w:val="18"/>
          <w:szCs w:val="18"/>
        </w:rPr>
        <w:t xml:space="preserve">Figure 1. LTA powder Raman spectrum (mean of 12 spots), with the 7 characteristic experimental peaks marked.</w:t>
      </w:r>
    </w:p>
    <w:p>
      <w:pPr>
        <w:pStyle w:val="Heading2"/>
        <w:spacing w:after="120" w:before="240"/>
      </w:pPr>
      <w:r>
        <w:t xml:space="preserve">1.1 Peak position, reproducibility, and intensity variation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400"/>
        <w:gridCol w:w="2540"/>
      </w:tblGrid>
      <w:tr>
        <w:trPr>
          <w:tblHeader/>
        </w:trPr>
        <w:tc>
          <w:tcPr>
            <w:tcW w:type="dxa" w:w="2600"/>
            <w:shd w:fill="1F4E5F" w:val="clear"/>
            <w:tcMar>
              <w:top w:type="dxa" w:w="60"/>
              <w:left w:type="dxa" w:w="100"/>
              <w:bottom w:type="dxa" w:w="60"/>
              <w:right w:type="dxa" w:w="100"/>
            </w:tcMar>
          </w:tcPr>
          <w:p>
            <w:pPr>
              <w:jc w:val="left"/>
            </w:pPr>
            <w:r>
              <w:rPr>
                <w:b/>
                <w:bCs/>
                <w:color w:val="FFFFFF"/>
                <w:sz w:val="18"/>
                <w:szCs w:val="18"/>
              </w:rPr>
              <w:t xml:space="preserve">Peak (cm⁻¹)</w:t>
            </w:r>
          </w:p>
        </w:tc>
        <w:tc>
          <w:tcPr>
            <w:tcW w:type="dxa" w:w="2900"/>
            <w:shd w:fill="1F4E5F" w:val="clear"/>
            <w:tcMar>
              <w:top w:type="dxa" w:w="60"/>
              <w:left w:type="dxa" w:w="100"/>
              <w:bottom w:type="dxa" w:w="60"/>
              <w:right w:type="dxa" w:w="100"/>
            </w:tcMar>
          </w:tcPr>
          <w:p>
            <w:pPr>
              <w:jc w:val="left"/>
            </w:pPr>
            <w:r>
              <w:rPr>
                <w:b/>
                <w:bCs/>
                <w:color w:val="FFFFFF"/>
                <w:sz w:val="18"/>
                <w:szCs w:val="18"/>
              </w:rPr>
              <w:t xml:space="preserve">Position std dev (cm⁻¹)</w:t>
            </w:r>
          </w:p>
        </w:tc>
        <w:tc>
          <w:tcPr>
            <w:tcW w:type="dxa" w:w="2400"/>
            <w:shd w:fill="1F4E5F" w:val="clear"/>
            <w:tcMar>
              <w:top w:type="dxa" w:w="60"/>
              <w:left w:type="dxa" w:w="100"/>
              <w:bottom w:type="dxa" w:w="60"/>
              <w:right w:type="dxa" w:w="100"/>
            </w:tcMar>
          </w:tcPr>
          <w:p>
            <w:pPr>
              <w:jc w:val="left"/>
            </w:pPr>
            <w:r>
              <w:rPr>
                <w:b/>
                <w:bCs/>
                <w:color w:val="FFFFFF"/>
                <w:sz w:val="18"/>
                <w:szCs w:val="18"/>
              </w:rPr>
              <w:t xml:space="preserve">Intensity CV (%)</w:t>
            </w:r>
          </w:p>
        </w:tc>
        <w:tc>
          <w:tcPr>
            <w:tcW w:type="dxa" w:w="2540"/>
            <w:shd w:fill="1F4E5F" w:val="clear"/>
            <w:tcMar>
              <w:top w:type="dxa" w:w="60"/>
              <w:left w:type="dxa" w:w="100"/>
              <w:bottom w:type="dxa" w:w="60"/>
              <w:right w:type="dxa" w:w="100"/>
            </w:tcMar>
          </w:tcPr>
          <w:p>
            <w:pPr>
              <w:jc w:val="left"/>
            </w:pPr>
            <w:r>
              <w:rPr>
                <w:b/>
                <w:bCs/>
                <w:color w:val="FFFFFF"/>
                <w:sz w:val="18"/>
                <w:szCs w:val="18"/>
              </w:rPr>
              <w:t xml:space="preserve">Detected in N/12 spots</w:t>
            </w:r>
          </w:p>
        </w:tc>
      </w:tr>
      <w:tr>
        <w:tc>
          <w:tcPr>
            <w:tcW w:type="dxa" w:w="2600"/>
            <w:tcMar>
              <w:top w:type="dxa" w:w="60"/>
              <w:left w:type="dxa" w:w="100"/>
              <w:bottom w:type="dxa" w:w="60"/>
              <w:right w:type="dxa" w:w="100"/>
            </w:tcMar>
          </w:tcPr>
          <w:p>
            <w:pPr>
              <w:jc w:val="left"/>
            </w:pPr>
            <w:r>
              <w:rPr>
                <w:b w:val="false"/>
                <w:bCs w:val="false"/>
                <w:sz w:val="18"/>
                <w:szCs w:val="18"/>
              </w:rPr>
              <w:t xml:space="preserve">620.1</w:t>
            </w:r>
          </w:p>
        </w:tc>
        <w:tc>
          <w:tcPr>
            <w:tcW w:type="dxa" w:w="2900"/>
            <w:tcMar>
              <w:top w:type="dxa" w:w="60"/>
              <w:left w:type="dxa" w:w="100"/>
              <w:bottom w:type="dxa" w:w="60"/>
              <w:right w:type="dxa" w:w="100"/>
            </w:tcMar>
          </w:tcPr>
          <w:p>
            <w:pPr>
              <w:jc w:val="left"/>
            </w:pPr>
            <w:r>
              <w:rPr>
                <w:b w:val="false"/>
                <w:bCs w:val="false"/>
                <w:sz w:val="18"/>
                <w:szCs w:val="18"/>
              </w:rPr>
              <w:t xml:space="preserve">0.83</w:t>
            </w:r>
          </w:p>
        </w:tc>
        <w:tc>
          <w:tcPr>
            <w:tcW w:type="dxa" w:w="2400"/>
            <w:tcMar>
              <w:top w:type="dxa" w:w="60"/>
              <w:left w:type="dxa" w:w="100"/>
              <w:bottom w:type="dxa" w:w="60"/>
              <w:right w:type="dxa" w:w="100"/>
            </w:tcMar>
          </w:tcPr>
          <w:p>
            <w:pPr>
              <w:jc w:val="left"/>
            </w:pPr>
            <w:r>
              <w:rPr>
                <w:b w:val="false"/>
                <w:bCs w:val="false"/>
                <w:sz w:val="18"/>
                <w:szCs w:val="18"/>
              </w:rPr>
              <w:t xml:space="preserve">10.68</w:t>
            </w:r>
          </w:p>
        </w:tc>
        <w:tc>
          <w:tcPr>
            <w:tcW w:type="dxa" w:w="2540"/>
            <w:tcMar>
              <w:top w:type="dxa" w:w="60"/>
              <w:left w:type="dxa" w:w="100"/>
              <w:bottom w:type="dxa" w:w="60"/>
              <w:right w:type="dxa" w:w="100"/>
            </w:tcMar>
          </w:tcPr>
          <w:p>
            <w:pPr>
              <w:jc w:val="left"/>
            </w:pPr>
            <w:r>
              <w:rPr>
                <w:b w:val="false"/>
                <w:bCs w:val="false"/>
                <w:sz w:val="18"/>
                <w:szCs w:val="18"/>
              </w:rPr>
              <w:t xml:space="preserve">12/12</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794.5</w:t>
            </w:r>
          </w:p>
        </w:tc>
        <w:tc>
          <w:tcPr>
            <w:tcW w:type="dxa" w:w="2900"/>
            <w:shd w:fill="F2F2F2" w:val="clear"/>
            <w:tcMar>
              <w:top w:type="dxa" w:w="60"/>
              <w:left w:type="dxa" w:w="100"/>
              <w:bottom w:type="dxa" w:w="60"/>
              <w:right w:type="dxa" w:w="100"/>
            </w:tcMar>
          </w:tcPr>
          <w:p>
            <w:pPr>
              <w:jc w:val="left"/>
            </w:pPr>
            <w:r>
              <w:rPr>
                <w:b w:val="false"/>
                <w:bCs w:val="false"/>
                <w:sz w:val="18"/>
                <w:szCs w:val="18"/>
              </w:rPr>
              <w:t xml:space="preserve">0.94</w:t>
            </w:r>
          </w:p>
        </w:tc>
        <w:tc>
          <w:tcPr>
            <w:tcW w:type="dxa" w:w="2400"/>
            <w:shd w:fill="F2F2F2" w:val="clear"/>
            <w:tcMar>
              <w:top w:type="dxa" w:w="60"/>
              <w:left w:type="dxa" w:w="100"/>
              <w:bottom w:type="dxa" w:w="60"/>
              <w:right w:type="dxa" w:w="100"/>
            </w:tcMar>
          </w:tcPr>
          <w:p>
            <w:pPr>
              <w:jc w:val="left"/>
            </w:pPr>
            <w:r>
              <w:rPr>
                <w:b w:val="false"/>
                <w:bCs w:val="false"/>
                <w:sz w:val="18"/>
                <w:szCs w:val="18"/>
              </w:rPr>
              <w:t xml:space="preserve">7.79</w:t>
            </w:r>
          </w:p>
        </w:tc>
        <w:tc>
          <w:tcPr>
            <w:tcW w:type="dxa" w:w="2540"/>
            <w:shd w:fill="F2F2F2" w:val="clear"/>
            <w:tcMar>
              <w:top w:type="dxa" w:w="60"/>
              <w:left w:type="dxa" w:w="100"/>
              <w:bottom w:type="dxa" w:w="60"/>
              <w:right w:type="dxa" w:w="100"/>
            </w:tcMar>
          </w:tcPr>
          <w:p>
            <w:pPr>
              <w:jc w:val="left"/>
            </w:pPr>
            <w:r>
              <w:rPr>
                <w:b w:val="false"/>
                <w:bCs w:val="false"/>
                <w:sz w:val="18"/>
                <w:szCs w:val="18"/>
              </w:rPr>
              <w:t xml:space="preserve">12/12</w:t>
            </w:r>
          </w:p>
        </w:tc>
      </w:tr>
      <w:tr>
        <w:tc>
          <w:tcPr>
            <w:tcW w:type="dxa" w:w="2600"/>
            <w:tcMar>
              <w:top w:type="dxa" w:w="60"/>
              <w:left w:type="dxa" w:w="100"/>
              <w:bottom w:type="dxa" w:w="60"/>
              <w:right w:type="dxa" w:w="100"/>
            </w:tcMar>
          </w:tcPr>
          <w:p>
            <w:pPr>
              <w:jc w:val="left"/>
            </w:pPr>
            <w:r>
              <w:rPr>
                <w:b w:val="false"/>
                <w:bCs w:val="false"/>
                <w:sz w:val="18"/>
                <w:szCs w:val="18"/>
              </w:rPr>
              <w:t xml:space="preserve">999.9</w:t>
            </w:r>
          </w:p>
        </w:tc>
        <w:tc>
          <w:tcPr>
            <w:tcW w:type="dxa" w:w="2900"/>
            <w:tcMar>
              <w:top w:type="dxa" w:w="60"/>
              <w:left w:type="dxa" w:w="100"/>
              <w:bottom w:type="dxa" w:w="60"/>
              <w:right w:type="dxa" w:w="100"/>
            </w:tcMar>
          </w:tcPr>
          <w:p>
            <w:pPr>
              <w:jc w:val="left"/>
            </w:pPr>
            <w:r>
              <w:rPr>
                <w:b w:val="false"/>
                <w:bCs w:val="false"/>
                <w:sz w:val="18"/>
                <w:szCs w:val="18"/>
              </w:rPr>
              <w:t xml:space="preserve">0.45</w:t>
            </w:r>
          </w:p>
        </w:tc>
        <w:tc>
          <w:tcPr>
            <w:tcW w:type="dxa" w:w="2400"/>
            <w:tcMar>
              <w:top w:type="dxa" w:w="60"/>
              <w:left w:type="dxa" w:w="100"/>
              <w:bottom w:type="dxa" w:w="60"/>
              <w:right w:type="dxa" w:w="100"/>
            </w:tcMar>
          </w:tcPr>
          <w:p>
            <w:pPr>
              <w:jc w:val="left"/>
            </w:pPr>
            <w:r>
              <w:rPr>
                <w:b w:val="false"/>
                <w:bCs w:val="false"/>
                <w:sz w:val="18"/>
                <w:szCs w:val="18"/>
              </w:rPr>
              <w:t xml:space="preserve">19.88</w:t>
            </w:r>
          </w:p>
        </w:tc>
        <w:tc>
          <w:tcPr>
            <w:tcW w:type="dxa" w:w="2540"/>
            <w:tcMar>
              <w:top w:type="dxa" w:w="60"/>
              <w:left w:type="dxa" w:w="100"/>
              <w:bottom w:type="dxa" w:w="60"/>
              <w:right w:type="dxa" w:w="100"/>
            </w:tcMar>
          </w:tcPr>
          <w:p>
            <w:pPr>
              <w:jc w:val="left"/>
            </w:pPr>
            <w:r>
              <w:rPr>
                <w:b w:val="false"/>
                <w:bCs w:val="false"/>
                <w:sz w:val="18"/>
                <w:szCs w:val="18"/>
              </w:rPr>
              <w:t xml:space="preserve">12/12</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1093.2</w:t>
            </w:r>
          </w:p>
        </w:tc>
        <w:tc>
          <w:tcPr>
            <w:tcW w:type="dxa" w:w="2900"/>
            <w:shd w:fill="F2F2F2" w:val="clear"/>
            <w:tcMar>
              <w:top w:type="dxa" w:w="60"/>
              <w:left w:type="dxa" w:w="100"/>
              <w:bottom w:type="dxa" w:w="60"/>
              <w:right w:type="dxa" w:w="100"/>
            </w:tcMar>
          </w:tcPr>
          <w:p>
            <w:pPr>
              <w:jc w:val="left"/>
            </w:pPr>
            <w:r>
              <w:rPr>
                <w:b w:val="false"/>
                <w:bCs w:val="false"/>
                <w:sz w:val="18"/>
                <w:szCs w:val="18"/>
              </w:rPr>
              <w:t xml:space="preserve">1.95</w:t>
            </w:r>
          </w:p>
        </w:tc>
        <w:tc>
          <w:tcPr>
            <w:tcW w:type="dxa" w:w="2400"/>
            <w:shd w:fill="F2F2F2" w:val="clear"/>
            <w:tcMar>
              <w:top w:type="dxa" w:w="60"/>
              <w:left w:type="dxa" w:w="100"/>
              <w:bottom w:type="dxa" w:w="60"/>
              <w:right w:type="dxa" w:w="100"/>
            </w:tcMar>
          </w:tcPr>
          <w:p>
            <w:pPr>
              <w:jc w:val="left"/>
            </w:pPr>
            <w:r>
              <w:rPr>
                <w:b w:val="false"/>
                <w:bCs w:val="false"/>
                <w:sz w:val="18"/>
                <w:szCs w:val="18"/>
              </w:rPr>
              <w:t xml:space="preserve">37.52</w:t>
            </w:r>
          </w:p>
        </w:tc>
        <w:tc>
          <w:tcPr>
            <w:tcW w:type="dxa" w:w="2540"/>
            <w:shd w:fill="F2F2F2" w:val="clear"/>
            <w:tcMar>
              <w:top w:type="dxa" w:w="60"/>
              <w:left w:type="dxa" w:w="100"/>
              <w:bottom w:type="dxa" w:w="60"/>
              <w:right w:type="dxa" w:w="100"/>
            </w:tcMar>
          </w:tcPr>
          <w:p>
            <w:pPr>
              <w:jc w:val="left"/>
            </w:pPr>
            <w:r>
              <w:rPr>
                <w:b w:val="false"/>
                <w:bCs w:val="false"/>
                <w:sz w:val="18"/>
                <w:szCs w:val="18"/>
              </w:rPr>
              <w:t xml:space="preserve">11/12</w:t>
            </w:r>
          </w:p>
        </w:tc>
      </w:tr>
      <w:tr>
        <w:tc>
          <w:tcPr>
            <w:tcW w:type="dxa" w:w="2600"/>
            <w:tcMar>
              <w:top w:type="dxa" w:w="60"/>
              <w:left w:type="dxa" w:w="100"/>
              <w:bottom w:type="dxa" w:w="60"/>
              <w:right w:type="dxa" w:w="100"/>
            </w:tcMar>
          </w:tcPr>
          <w:p>
            <w:pPr>
              <w:jc w:val="left"/>
            </w:pPr>
            <w:r>
              <w:rPr>
                <w:b w:val="false"/>
                <w:bCs w:val="false"/>
                <w:sz w:val="18"/>
                <w:szCs w:val="18"/>
              </w:rPr>
              <w:t xml:space="preserve">1184.6</w:t>
            </w:r>
          </w:p>
        </w:tc>
        <w:tc>
          <w:tcPr>
            <w:tcW w:type="dxa" w:w="2900"/>
            <w:tcMar>
              <w:top w:type="dxa" w:w="60"/>
              <w:left w:type="dxa" w:w="100"/>
              <w:bottom w:type="dxa" w:w="60"/>
              <w:right w:type="dxa" w:w="100"/>
            </w:tcMar>
          </w:tcPr>
          <w:p>
            <w:pPr>
              <w:jc w:val="left"/>
            </w:pPr>
            <w:r>
              <w:rPr>
                <w:b w:val="false"/>
                <w:bCs w:val="false"/>
                <w:sz w:val="18"/>
                <w:szCs w:val="18"/>
              </w:rPr>
              <w:t xml:space="preserve">1.72</w:t>
            </w:r>
          </w:p>
        </w:tc>
        <w:tc>
          <w:tcPr>
            <w:tcW w:type="dxa" w:w="2400"/>
            <w:tcMar>
              <w:top w:type="dxa" w:w="60"/>
              <w:left w:type="dxa" w:w="100"/>
              <w:bottom w:type="dxa" w:w="60"/>
              <w:right w:type="dxa" w:w="100"/>
            </w:tcMar>
          </w:tcPr>
          <w:p>
            <w:pPr>
              <w:jc w:val="left"/>
            </w:pPr>
            <w:r>
              <w:rPr>
                <w:b w:val="false"/>
                <w:bCs w:val="false"/>
                <w:sz w:val="18"/>
                <w:szCs w:val="18"/>
              </w:rPr>
              <w:t xml:space="preserve">13.20</w:t>
            </w:r>
          </w:p>
        </w:tc>
        <w:tc>
          <w:tcPr>
            <w:tcW w:type="dxa" w:w="2540"/>
            <w:tcMar>
              <w:top w:type="dxa" w:w="60"/>
              <w:left w:type="dxa" w:w="100"/>
              <w:bottom w:type="dxa" w:w="60"/>
              <w:right w:type="dxa" w:w="100"/>
            </w:tcMar>
          </w:tcPr>
          <w:p>
            <w:pPr>
              <w:jc w:val="left"/>
            </w:pPr>
            <w:r>
              <w:rPr>
                <w:b w:val="false"/>
                <w:bCs w:val="false"/>
                <w:sz w:val="18"/>
                <w:szCs w:val="18"/>
              </w:rPr>
              <w:t xml:space="preserve">11/12</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1602.4</w:t>
            </w:r>
          </w:p>
        </w:tc>
        <w:tc>
          <w:tcPr>
            <w:tcW w:type="dxa" w:w="2900"/>
            <w:shd w:fill="F2F2F2" w:val="clear"/>
            <w:tcMar>
              <w:top w:type="dxa" w:w="60"/>
              <w:left w:type="dxa" w:w="100"/>
              <w:bottom w:type="dxa" w:w="60"/>
              <w:right w:type="dxa" w:w="100"/>
            </w:tcMar>
          </w:tcPr>
          <w:p>
            <w:pPr>
              <w:jc w:val="left"/>
            </w:pPr>
            <w:r>
              <w:rPr>
                <w:b w:val="false"/>
                <w:bCs w:val="false"/>
                <w:sz w:val="18"/>
                <w:szCs w:val="18"/>
              </w:rPr>
              <w:t xml:space="preserve">0.61</w:t>
            </w:r>
          </w:p>
        </w:tc>
        <w:tc>
          <w:tcPr>
            <w:tcW w:type="dxa" w:w="2400"/>
            <w:shd w:fill="F2F2F2" w:val="clear"/>
            <w:tcMar>
              <w:top w:type="dxa" w:w="60"/>
              <w:left w:type="dxa" w:w="100"/>
              <w:bottom w:type="dxa" w:w="60"/>
              <w:right w:type="dxa" w:w="100"/>
            </w:tcMar>
          </w:tcPr>
          <w:p>
            <w:pPr>
              <w:jc w:val="left"/>
            </w:pPr>
            <w:r>
              <w:rPr>
                <w:b w:val="false"/>
                <w:bCs w:val="false"/>
                <w:sz w:val="18"/>
                <w:szCs w:val="18"/>
              </w:rPr>
              <w:t xml:space="preserve">13.24</w:t>
            </w:r>
          </w:p>
        </w:tc>
        <w:tc>
          <w:tcPr>
            <w:tcW w:type="dxa" w:w="2540"/>
            <w:shd w:fill="F2F2F2" w:val="clear"/>
            <w:tcMar>
              <w:top w:type="dxa" w:w="60"/>
              <w:left w:type="dxa" w:w="100"/>
              <w:bottom w:type="dxa" w:w="60"/>
              <w:right w:type="dxa" w:w="100"/>
            </w:tcMar>
          </w:tcPr>
          <w:p>
            <w:pPr>
              <w:jc w:val="left"/>
            </w:pPr>
            <w:r>
              <w:rPr>
                <w:b w:val="false"/>
                <w:bCs w:val="false"/>
                <w:sz w:val="18"/>
                <w:szCs w:val="18"/>
              </w:rPr>
              <w:t xml:space="preserve">12/12</w:t>
            </w:r>
          </w:p>
        </w:tc>
      </w:tr>
      <w:tr>
        <w:tc>
          <w:tcPr>
            <w:tcW w:type="dxa" w:w="2600"/>
            <w:tcMar>
              <w:top w:type="dxa" w:w="60"/>
              <w:left w:type="dxa" w:w="100"/>
              <w:bottom w:type="dxa" w:w="60"/>
              <w:right w:type="dxa" w:w="100"/>
            </w:tcMar>
          </w:tcPr>
          <w:p>
            <w:pPr>
              <w:jc w:val="left"/>
            </w:pPr>
            <w:r>
              <w:rPr>
                <w:b w:val="false"/>
                <w:bCs w:val="false"/>
                <w:sz w:val="18"/>
                <w:szCs w:val="18"/>
              </w:rPr>
              <w:t xml:space="preserve">1784.2</w:t>
            </w:r>
          </w:p>
        </w:tc>
        <w:tc>
          <w:tcPr>
            <w:tcW w:type="dxa" w:w="2900"/>
            <w:tcMar>
              <w:top w:type="dxa" w:w="60"/>
              <w:left w:type="dxa" w:w="100"/>
              <w:bottom w:type="dxa" w:w="60"/>
              <w:right w:type="dxa" w:w="100"/>
            </w:tcMar>
          </w:tcPr>
          <w:p>
            <w:pPr>
              <w:jc w:val="left"/>
            </w:pPr>
            <w:r>
              <w:rPr>
                <w:b w:val="false"/>
                <w:bCs w:val="false"/>
                <w:sz w:val="18"/>
                <w:szCs w:val="18"/>
              </w:rPr>
              <w:t xml:space="preserve">0.00</w:t>
            </w:r>
          </w:p>
        </w:tc>
        <w:tc>
          <w:tcPr>
            <w:tcW w:type="dxa" w:w="2400"/>
            <w:tcMar>
              <w:top w:type="dxa" w:w="60"/>
              <w:left w:type="dxa" w:w="100"/>
              <w:bottom w:type="dxa" w:w="60"/>
              <w:right w:type="dxa" w:w="100"/>
            </w:tcMar>
          </w:tcPr>
          <w:p>
            <w:pPr>
              <w:jc w:val="left"/>
            </w:pPr>
            <w:r>
              <w:rPr>
                <w:b w:val="false"/>
                <w:bCs w:val="false"/>
                <w:sz w:val="18"/>
                <w:szCs w:val="18"/>
              </w:rPr>
              <w:t xml:space="preserve">14.86</w:t>
            </w:r>
          </w:p>
        </w:tc>
        <w:tc>
          <w:tcPr>
            <w:tcW w:type="dxa" w:w="2540"/>
            <w:tcMar>
              <w:top w:type="dxa" w:w="60"/>
              <w:left w:type="dxa" w:w="100"/>
              <w:bottom w:type="dxa" w:w="60"/>
              <w:right w:type="dxa" w:w="100"/>
            </w:tcMar>
          </w:tcPr>
          <w:p>
            <w:pPr>
              <w:jc w:val="left"/>
            </w:pPr>
            <w:r>
              <w:rPr>
                <w:b w:val="false"/>
                <w:bCs w:val="false"/>
                <w:sz w:val="18"/>
                <w:szCs w:val="18"/>
              </w:rPr>
              <w:t xml:space="preserve">6/12</w:t>
            </w:r>
          </w:p>
        </w:tc>
      </w:tr>
    </w:tbl>
    <w:p>
      <w:pPr>
        <w:spacing w:after="120"/>
      </w:pPr>
      <w:r>
        <w:t xml:space="preserve">Peak position is highly reproducible for all 7 bands (standard deviation ≤ 1.95 cm⁻¹ across the 12 spots). Intensity reproducibility is weaker for several bands: 999.9, 1093.2 and 1784.2 cm⁻¹ show coefficient of variation above 15%, and 1784.2 cm⁻¹ was detected in only 6 of the 12 spots, making it the least reproducible of the seven. Peak-position agreement should therefore be read with more confidence than peak-intensity agreement throughout this report.</w:t>
      </w:r>
    </w:p>
    <w:p>
      <w:r>
        <w:br w:type="page"/>
      </w:r>
    </w:p>
    <w:p>
      <w:pPr>
        <w:pStyle w:val="Heading1"/>
        <w:spacing w:after="160" w:before="360"/>
      </w:pPr>
      <w:r>
        <w:t xml:space="preserve">2. DFT Simulation Analysis</w:t>
      </w:r>
    </w:p>
    <w:p>
      <w:pPr>
        <w:spacing w:after="120"/>
      </w:pPr>
      <w:r>
        <w:t xml:space="preserve">Three LTA building-block fragments were successfully calculated at the B3LYP/6-31G(d) level (Gaussian 09, scaling factor ×0.96): glycerol-phosphate, D-alanine, and N-acetyl-D-glucosamine (GlcNAc). These represent isolated chemical components of LTA, not the intact, phosphodiester-linked, lipid-anchored polymer.</w:t>
      </w:r>
    </w:p>
    <w:p>
      <w:pPr>
        <w:pBdr>
          <w:left w:val="single" w:color="C0504D" w:sz="18" w:space="8"/>
        </w:pBdr>
        <w:spacing w:after="200" w:before="120"/>
        <w:ind w:left="200"/>
      </w:pPr>
      <w:r>
        <w:rPr>
          <w:i/>
          <w:iCs/>
        </w:rPr>
        <w:t xml:space="preserve">An attempt to calculate the intact, whole-molecule LTA structure (20-04/molecules/LTA Final/LTA.LOG) did not produce usable Raman or frequency output — the Gaussian job terminated with an error before reaching the frequency-calculation stage. All DFT comparisons in this report are therefore necessarily fragment-based, not whole-molecule.</w:t>
      </w:r>
    </w:p>
    <w:p>
      <w:pPr>
        <w:spacing w:after="120" w:before="120"/>
        <w:jc w:val="center"/>
      </w:pPr>
      <w:r>
        <w:drawing>
          <wp:inline distT="0" distB="0" distL="0" distR="0">
            <wp:extent cx="5905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67075"/>
                    </a:xfrm>
                    <a:prstGeom prst="rect">
                      <a:avLst/>
                    </a:prstGeom>
                  </pic:spPr>
                </pic:pic>
              </a:graphicData>
            </a:graphic>
          </wp:inline>
        </w:drawing>
      </w:r>
    </w:p>
    <w:p>
      <w:pPr>
        <w:spacing w:after="240"/>
        <w:jc w:val="center"/>
      </w:pPr>
      <w:r>
        <w:rPr>
          <w:i/>
          <w:iCs/>
          <w:sz w:val="18"/>
          <w:szCs w:val="18"/>
        </w:rPr>
        <w:t xml:space="preserve">Figure 2. DFT-simulated Raman spectra of the three LTA fragments, fingerprint region (0–2000 cm⁻¹).</w:t>
      </w:r>
    </w:p>
    <w:p>
      <w:pPr>
        <w:pStyle w:val="Heading2"/>
        <w:spacing w:after="120" w:before="240"/>
      </w:pPr>
      <w:r>
        <w:t xml:space="preserve">2.1 Nature of the DFT output</w:t>
      </w:r>
    </w:p>
    <w:p>
      <w:pPr>
        <w:spacing w:after="120"/>
      </w:pPr>
      <w:r>
        <w:t xml:space="preserve">Each fragment's output file was checked for point spacing to determine whether it represents discrete vibrational modes or a broadened/interpolated curve: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200"/>
        <w:gridCol w:w="2900"/>
        <w:gridCol w:w="3340"/>
      </w:tblGrid>
      <w:tr>
        <w:trPr>
          <w:tblHeader/>
        </w:trPr>
        <w:tc>
          <w:tcPr>
            <w:tcW w:type="dxa" w:w="4200"/>
            <w:shd w:fill="1F4E5F" w:val="clear"/>
            <w:tcMar>
              <w:top w:type="dxa" w:w="60"/>
              <w:left w:type="dxa" w:w="100"/>
              <w:bottom w:type="dxa" w:w="60"/>
              <w:right w:type="dxa" w:w="100"/>
            </w:tcMar>
          </w:tcPr>
          <w:p>
            <w:pPr>
              <w:jc w:val="left"/>
            </w:pPr>
            <w:r>
              <w:rPr>
                <w:b/>
                <w:bCs/>
                <w:color w:val="FFFFFF"/>
                <w:sz w:val="18"/>
                <w:szCs w:val="18"/>
              </w:rPr>
              <w:t xml:space="preserve">Fragment</w:t>
            </w:r>
          </w:p>
        </w:tc>
        <w:tc>
          <w:tcPr>
            <w:tcW w:type="dxa" w:w="2900"/>
            <w:shd w:fill="1F4E5F" w:val="clear"/>
            <w:tcMar>
              <w:top w:type="dxa" w:w="60"/>
              <w:left w:type="dxa" w:w="100"/>
              <w:bottom w:type="dxa" w:w="60"/>
              <w:right w:type="dxa" w:w="100"/>
            </w:tcMar>
          </w:tcPr>
          <w:p>
            <w:pPr>
              <w:jc w:val="left"/>
            </w:pPr>
            <w:r>
              <w:rPr>
                <w:b/>
                <w:bCs/>
                <w:color w:val="FFFFFF"/>
                <w:sz w:val="18"/>
                <w:szCs w:val="18"/>
              </w:rPr>
              <w:t xml:space="preserve">Points</w:t>
            </w:r>
          </w:p>
        </w:tc>
        <w:tc>
          <w:tcPr>
            <w:tcW w:type="dxa" w:w="3340"/>
            <w:shd w:fill="1F4E5F" w:val="clear"/>
            <w:tcMar>
              <w:top w:type="dxa" w:w="60"/>
              <w:left w:type="dxa" w:w="100"/>
              <w:bottom w:type="dxa" w:w="60"/>
              <w:right w:type="dxa" w:w="100"/>
            </w:tcMar>
          </w:tcPr>
          <w:p>
            <w:pPr>
              <w:jc w:val="left"/>
            </w:pPr>
            <w:r>
              <w:rPr>
                <w:b/>
                <w:bCs/>
                <w:color w:val="FFFFFF"/>
                <w:sz w:val="18"/>
                <w:szCs w:val="18"/>
              </w:rPr>
              <w:t xml:space="preserve">Point spacing</w:t>
            </w:r>
          </w:p>
        </w:tc>
      </w:tr>
      <w:tr>
        <w:tc>
          <w:tcPr>
            <w:tcW w:type="dxa" w:w="4200"/>
            <w:tcMar>
              <w:top w:type="dxa" w:w="60"/>
              <w:left w:type="dxa" w:w="100"/>
              <w:bottom w:type="dxa" w:w="60"/>
              <w:right w:type="dxa" w:w="100"/>
            </w:tcMar>
          </w:tcPr>
          <w:p>
            <w:pPr>
              <w:jc w:val="left"/>
            </w:pPr>
            <w:r>
              <w:rPr>
                <w:b w:val="false"/>
                <w:bCs w:val="false"/>
                <w:sz w:val="18"/>
                <w:szCs w:val="18"/>
              </w:rPr>
              <w:t xml:space="preserve">Glycerol-phosphate</w:t>
            </w:r>
          </w:p>
        </w:tc>
        <w:tc>
          <w:tcPr>
            <w:tcW w:type="dxa" w:w="2900"/>
            <w:tcMar>
              <w:top w:type="dxa" w:w="60"/>
              <w:left w:type="dxa" w:w="100"/>
              <w:bottom w:type="dxa" w:w="60"/>
              <w:right w:type="dxa" w:w="100"/>
            </w:tcMar>
          </w:tcPr>
          <w:p>
            <w:pPr>
              <w:jc w:val="left"/>
            </w:pPr>
            <w:r>
              <w:rPr>
                <w:b w:val="false"/>
                <w:bCs w:val="false"/>
                <w:sz w:val="18"/>
                <w:szCs w:val="18"/>
              </w:rPr>
              <w:t xml:space="preserve">444</w:t>
            </w:r>
          </w:p>
        </w:tc>
        <w:tc>
          <w:tcPr>
            <w:tcW w:type="dxa" w:w="3340"/>
            <w:tcMar>
              <w:top w:type="dxa" w:w="60"/>
              <w:left w:type="dxa" w:w="100"/>
              <w:bottom w:type="dxa" w:w="60"/>
              <w:right w:type="dxa" w:w="100"/>
            </w:tcMar>
          </w:tcPr>
          <w:p>
            <w:pPr>
              <w:jc w:val="left"/>
            </w:pPr>
            <w:r>
              <w:rPr>
                <w:b w:val="false"/>
                <w:bCs w:val="false"/>
                <w:sz w:val="18"/>
                <w:szCs w:val="18"/>
              </w:rPr>
              <w:t xml:space="preserve">9.0 cm⁻¹ (uniform)</w:t>
            </w:r>
          </w:p>
        </w:tc>
      </w:tr>
      <w:tr>
        <w:tc>
          <w:tcPr>
            <w:tcW w:type="dxa" w:w="4200"/>
            <w:shd w:fill="F2F2F2" w:val="clear"/>
            <w:tcMar>
              <w:top w:type="dxa" w:w="60"/>
              <w:left w:type="dxa" w:w="100"/>
              <w:bottom w:type="dxa" w:w="60"/>
              <w:right w:type="dxa" w:w="100"/>
            </w:tcMar>
          </w:tcPr>
          <w:p>
            <w:pPr>
              <w:jc w:val="left"/>
            </w:pPr>
            <w:r>
              <w:rPr>
                <w:b w:val="false"/>
                <w:bCs w:val="false"/>
                <w:sz w:val="18"/>
                <w:szCs w:val="18"/>
              </w:rPr>
              <w:t xml:space="preserve">D-Alanine</w:t>
            </w:r>
          </w:p>
        </w:tc>
        <w:tc>
          <w:tcPr>
            <w:tcW w:type="dxa" w:w="2900"/>
            <w:shd w:fill="F2F2F2" w:val="clear"/>
            <w:tcMar>
              <w:top w:type="dxa" w:w="60"/>
              <w:left w:type="dxa" w:w="100"/>
              <w:bottom w:type="dxa" w:w="60"/>
              <w:right w:type="dxa" w:w="100"/>
            </w:tcMar>
          </w:tcPr>
          <w:p>
            <w:pPr>
              <w:jc w:val="left"/>
            </w:pPr>
            <w:r>
              <w:rPr>
                <w:b w:val="false"/>
                <w:bCs w:val="false"/>
                <w:sz w:val="18"/>
                <w:szCs w:val="18"/>
              </w:rPr>
              <w:t xml:space="preserve">500</w:t>
            </w:r>
          </w:p>
        </w:tc>
        <w:tc>
          <w:tcPr>
            <w:tcW w:type="dxa" w:w="3340"/>
            <w:shd w:fill="F2F2F2" w:val="clear"/>
            <w:tcMar>
              <w:top w:type="dxa" w:w="60"/>
              <w:left w:type="dxa" w:w="100"/>
              <w:bottom w:type="dxa" w:w="60"/>
              <w:right w:type="dxa" w:w="100"/>
            </w:tcMar>
          </w:tcPr>
          <w:p>
            <w:pPr>
              <w:jc w:val="left"/>
            </w:pPr>
            <w:r>
              <w:rPr>
                <w:b w:val="false"/>
                <w:bCs w:val="false"/>
                <w:sz w:val="18"/>
                <w:szCs w:val="18"/>
              </w:rPr>
              <w:t xml:space="preserve">8.0 cm⁻¹ (uniform)</w:t>
            </w:r>
          </w:p>
        </w:tc>
      </w:tr>
      <w:tr>
        <w:tc>
          <w:tcPr>
            <w:tcW w:type="dxa" w:w="4200"/>
            <w:tcMar>
              <w:top w:type="dxa" w:w="60"/>
              <w:left w:type="dxa" w:w="100"/>
              <w:bottom w:type="dxa" w:w="60"/>
              <w:right w:type="dxa" w:w="100"/>
            </w:tcMar>
          </w:tcPr>
          <w:p>
            <w:pPr>
              <w:jc w:val="left"/>
            </w:pPr>
            <w:r>
              <w:rPr>
                <w:b w:val="false"/>
                <w:bCs w:val="false"/>
                <w:sz w:val="18"/>
                <w:szCs w:val="18"/>
              </w:rPr>
              <w:t xml:space="preserve">GlcNAc</w:t>
            </w:r>
          </w:p>
        </w:tc>
        <w:tc>
          <w:tcPr>
            <w:tcW w:type="dxa" w:w="2900"/>
            <w:tcMar>
              <w:top w:type="dxa" w:w="60"/>
              <w:left w:type="dxa" w:w="100"/>
              <w:bottom w:type="dxa" w:w="60"/>
              <w:right w:type="dxa" w:w="100"/>
            </w:tcMar>
          </w:tcPr>
          <w:p>
            <w:pPr>
              <w:jc w:val="left"/>
            </w:pPr>
            <w:r>
              <w:rPr>
                <w:b w:val="false"/>
                <w:bCs w:val="false"/>
                <w:sz w:val="18"/>
                <w:szCs w:val="18"/>
              </w:rPr>
              <w:t xml:space="preserve">500</w:t>
            </w:r>
          </w:p>
        </w:tc>
        <w:tc>
          <w:tcPr>
            <w:tcW w:type="dxa" w:w="3340"/>
            <w:tcMar>
              <w:top w:type="dxa" w:w="60"/>
              <w:left w:type="dxa" w:w="100"/>
              <w:bottom w:type="dxa" w:w="60"/>
              <w:right w:type="dxa" w:w="100"/>
            </w:tcMar>
          </w:tcPr>
          <w:p>
            <w:pPr>
              <w:jc w:val="left"/>
            </w:pPr>
            <w:r>
              <w:rPr>
                <w:b w:val="false"/>
                <w:bCs w:val="false"/>
                <w:sz w:val="18"/>
                <w:szCs w:val="18"/>
              </w:rPr>
              <w:t xml:space="preserve">8.0 cm⁻¹ (uniform)</w:t>
            </w:r>
          </w:p>
        </w:tc>
      </w:tr>
    </w:tbl>
    <w:p>
      <w:pPr>
        <w:spacing w:after="120"/>
      </w:pPr>
      <w:r>
        <w:t xml:space="preserve">All three files are uniformly spaced across several hundred points — the signature of an interpolated, broadened curve rather than a discrete list of calculated vibrational modes (a genuine frequency calculation produces one entry per normal mode, at irregular, molecule-specific positions). Consequently, this report does not describe any DFT feature as a discrete vibrational mode, and no mode number or symmetry label is reported anywhere in this document, because none exists in the available output. All DFT peak positions used for comparison are local maxima of these broadened curves.</w:t>
      </w:r>
    </w:p>
    <w:p>
      <w:r>
        <w:br w:type="page"/>
      </w:r>
    </w:p>
    <w:p>
      <w:pPr>
        <w:pStyle w:val="Heading1"/>
        <w:spacing w:after="160" w:before="360"/>
      </w:pPr>
      <w:r>
        <w:t xml:space="preserve">3. Experimental–DFT Comparison</w:t>
      </w:r>
    </w:p>
    <w:p>
      <w:pPr>
        <w:spacing w:after="120"/>
      </w:pPr>
      <w:r>
        <w:t xml:space="preserve">Candidate DFT peak positions were extracted as local maxima of the three broadened fragment curves, scaled ×0.96, and restricted to the 200–1900 cm⁻¹ window covered by the experimental spectrum (75 candidate positions in total). Each of the 7 experimental characteristic peaks was matched to its single nearest DFT candidate using a fixed 15 cm⁻¹ tolerance, set before the matching was performed.</w:t>
      </w:r>
    </w:p>
    <w:p>
      <w:pPr>
        <w:spacing w:after="120" w:before="12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19425"/>
                    </a:xfrm>
                    <a:prstGeom prst="rect">
                      <a:avLst/>
                    </a:prstGeom>
                  </pic:spPr>
                </pic:pic>
              </a:graphicData>
            </a:graphic>
          </wp:inline>
        </w:drawing>
      </w:r>
    </w:p>
    <w:p>
      <w:pPr>
        <w:spacing w:after="240"/>
        <w:jc w:val="center"/>
      </w:pPr>
      <w:r>
        <w:rPr>
          <w:i/>
          <w:iCs/>
          <w:sz w:val="18"/>
          <w:szCs w:val="18"/>
        </w:rPr>
        <w:t xml:space="preserve">Figure 3. Experimental LTA powder Raman spectrum with DFT fragment curves overlaid; matched peaks (filled) and unmatched peaks (open) are distinguished.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50"/>
        <w:gridCol w:w="2050"/>
        <w:gridCol w:w="3300"/>
        <w:gridCol w:w="1520"/>
        <w:gridCol w:w="1520"/>
      </w:tblGrid>
      <w:tr>
        <w:trPr>
          <w:tblHeader/>
        </w:trPr>
        <w:tc>
          <w:tcPr>
            <w:tcW w:type="dxa" w:w="2050"/>
            <w:shd w:fill="1F4E5F" w:val="clear"/>
            <w:tcMar>
              <w:top w:type="dxa" w:w="60"/>
              <w:left w:type="dxa" w:w="100"/>
              <w:bottom w:type="dxa" w:w="60"/>
              <w:right w:type="dxa" w:w="100"/>
            </w:tcMar>
          </w:tcPr>
          <w:p>
            <w:pPr>
              <w:jc w:val="left"/>
            </w:pPr>
            <w:r>
              <w:rPr>
                <w:b/>
                <w:bCs/>
                <w:color w:val="FFFFFF"/>
                <w:sz w:val="18"/>
                <w:szCs w:val="18"/>
              </w:rPr>
              <w:t xml:space="preserve">Experimental (cm⁻¹)</w:t>
            </w:r>
          </w:p>
        </w:tc>
        <w:tc>
          <w:tcPr>
            <w:tcW w:type="dxa" w:w="2050"/>
            <w:shd w:fill="1F4E5F" w:val="clear"/>
            <w:tcMar>
              <w:top w:type="dxa" w:w="60"/>
              <w:left w:type="dxa" w:w="100"/>
              <w:bottom w:type="dxa" w:w="60"/>
              <w:right w:type="dxa" w:w="100"/>
            </w:tcMar>
          </w:tcPr>
          <w:p>
            <w:pPr>
              <w:jc w:val="left"/>
            </w:pPr>
            <w:r>
              <w:rPr>
                <w:b/>
                <w:bCs/>
                <w:color w:val="FFFFFF"/>
                <w:sz w:val="18"/>
                <w:szCs w:val="18"/>
              </w:rPr>
              <w:t xml:space="preserve">DFT (cm⁻¹, ×0.96)</w:t>
            </w:r>
          </w:p>
        </w:tc>
        <w:tc>
          <w:tcPr>
            <w:tcW w:type="dxa" w:w="3300"/>
            <w:shd w:fill="1F4E5F" w:val="clear"/>
            <w:tcMar>
              <w:top w:type="dxa" w:w="60"/>
              <w:left w:type="dxa" w:w="100"/>
              <w:bottom w:type="dxa" w:w="60"/>
              <w:right w:type="dxa" w:w="100"/>
            </w:tcMar>
          </w:tcPr>
          <w:p>
            <w:pPr>
              <w:jc w:val="left"/>
            </w:pPr>
            <w:r>
              <w:rPr>
                <w:b/>
                <w:bCs/>
                <w:color w:val="FFFFFF"/>
                <w:sz w:val="18"/>
                <w:szCs w:val="18"/>
              </w:rPr>
              <w:t xml:space="preserve">Fragment responsible</w:t>
            </w:r>
          </w:p>
        </w:tc>
        <w:tc>
          <w:tcPr>
            <w:tcW w:type="dxa" w:w="1520"/>
            <w:shd w:fill="1F4E5F" w:val="clear"/>
            <w:tcMar>
              <w:top w:type="dxa" w:w="60"/>
              <w:left w:type="dxa" w:w="100"/>
              <w:bottom w:type="dxa" w:w="60"/>
              <w:right w:type="dxa" w:w="100"/>
            </w:tcMar>
          </w:tcPr>
          <w:p>
            <w:pPr>
              <w:jc w:val="left"/>
            </w:pPr>
            <w:r>
              <w:rPr>
                <w:b/>
                <w:bCs/>
                <w:color w:val="FFFFFF"/>
                <w:sz w:val="18"/>
                <w:szCs w:val="18"/>
              </w:rPr>
              <w:t xml:space="preserve">Δ (cm⁻¹)</w:t>
            </w:r>
          </w:p>
        </w:tc>
        <w:tc>
          <w:tcPr>
            <w:tcW w:type="dxa" w:w="1520"/>
            <w:shd w:fill="1F4E5F" w:val="clear"/>
            <w:tcMar>
              <w:top w:type="dxa" w:w="60"/>
              <w:left w:type="dxa" w:w="100"/>
              <w:bottom w:type="dxa" w:w="60"/>
              <w:right w:type="dxa" w:w="100"/>
            </w:tcMar>
          </w:tcPr>
          <w:p>
            <w:pPr>
              <w:jc w:val="left"/>
            </w:pPr>
            <w:r>
              <w:rPr>
                <w:b/>
                <w:bCs/>
                <w:color w:val="FFFFFF"/>
                <w:sz w:val="18"/>
                <w:szCs w:val="18"/>
              </w:rPr>
              <w:t xml:space="preserve">Status</w:t>
            </w:r>
          </w:p>
        </w:tc>
      </w:tr>
      <w:tr>
        <w:tc>
          <w:tcPr>
            <w:tcW w:type="dxa" w:w="2050"/>
            <w:tcMar>
              <w:top w:type="dxa" w:w="60"/>
              <w:left w:type="dxa" w:w="100"/>
              <w:bottom w:type="dxa" w:w="60"/>
              <w:right w:type="dxa" w:w="100"/>
            </w:tcMar>
          </w:tcPr>
          <w:p>
            <w:pPr>
              <w:jc w:val="left"/>
            </w:pPr>
            <w:r>
              <w:rPr>
                <w:b w:val="false"/>
                <w:bCs w:val="false"/>
                <w:sz w:val="18"/>
                <w:szCs w:val="18"/>
              </w:rPr>
              <w:t xml:space="preserve">620.1</w:t>
            </w:r>
          </w:p>
        </w:tc>
        <w:tc>
          <w:tcPr>
            <w:tcW w:type="dxa" w:w="2050"/>
            <w:tcMar>
              <w:top w:type="dxa" w:w="60"/>
              <w:left w:type="dxa" w:w="100"/>
              <w:bottom w:type="dxa" w:w="60"/>
              <w:right w:type="dxa" w:w="100"/>
            </w:tcMar>
          </w:tcPr>
          <w:p>
            <w:pPr>
              <w:jc w:val="left"/>
            </w:pPr>
            <w:r>
              <w:rPr>
                <w:b w:val="false"/>
                <w:bCs w:val="false"/>
                <w:sz w:val="18"/>
                <w:szCs w:val="18"/>
              </w:rPr>
              <w:t xml:space="preserve">625.9</w:t>
            </w:r>
          </w:p>
        </w:tc>
        <w:tc>
          <w:tcPr>
            <w:tcW w:type="dxa" w:w="3300"/>
            <w:tcMar>
              <w:top w:type="dxa" w:w="60"/>
              <w:left w:type="dxa" w:w="100"/>
              <w:bottom w:type="dxa" w:w="60"/>
              <w:right w:type="dxa" w:w="100"/>
            </w:tcMar>
          </w:tcPr>
          <w:p>
            <w:pPr>
              <w:jc w:val="left"/>
            </w:pPr>
            <w:r>
              <w:rPr>
                <w:b w:val="false"/>
                <w:bCs w:val="false"/>
                <w:sz w:val="18"/>
                <w:szCs w:val="18"/>
              </w:rPr>
              <w:t xml:space="preserve">Glycerol-phosphate</w:t>
            </w:r>
          </w:p>
        </w:tc>
        <w:tc>
          <w:tcPr>
            <w:tcW w:type="dxa" w:w="1520"/>
            <w:tcMar>
              <w:top w:type="dxa" w:w="60"/>
              <w:left w:type="dxa" w:w="100"/>
              <w:bottom w:type="dxa" w:w="60"/>
              <w:right w:type="dxa" w:w="100"/>
            </w:tcMar>
          </w:tcPr>
          <w:p>
            <w:pPr>
              <w:jc w:val="left"/>
            </w:pPr>
            <w:r>
              <w:rPr>
                <w:b w:val="false"/>
                <w:bCs w:val="false"/>
                <w:sz w:val="18"/>
                <w:szCs w:val="18"/>
              </w:rPr>
              <w:t xml:space="preserve">5.8</w:t>
            </w:r>
          </w:p>
        </w:tc>
        <w:tc>
          <w:tcPr>
            <w:tcW w:type="dxa" w:w="1520"/>
            <w:tcMar>
              <w:top w:type="dxa" w:w="60"/>
              <w:left w:type="dxa" w:w="100"/>
              <w:bottom w:type="dxa" w:w="60"/>
              <w:right w:type="dxa" w:w="100"/>
            </w:tcMar>
          </w:tcPr>
          <w:p>
            <w:pPr>
              <w:jc w:val="left"/>
            </w:pPr>
            <w:r>
              <w:rPr>
                <w:b w:val="false"/>
                <w:bCs w:val="false"/>
                <w:sz w:val="18"/>
                <w:szCs w:val="18"/>
              </w:rPr>
              <w:t xml:space="preserve">Matched</w:t>
            </w:r>
          </w:p>
        </w:tc>
      </w:tr>
      <w:tr>
        <w:tc>
          <w:tcPr>
            <w:tcW w:type="dxa" w:w="2050"/>
            <w:shd w:fill="F2F2F2" w:val="clear"/>
            <w:tcMar>
              <w:top w:type="dxa" w:w="60"/>
              <w:left w:type="dxa" w:w="100"/>
              <w:bottom w:type="dxa" w:w="60"/>
              <w:right w:type="dxa" w:w="100"/>
            </w:tcMar>
          </w:tcPr>
          <w:p>
            <w:pPr>
              <w:jc w:val="left"/>
            </w:pPr>
            <w:r>
              <w:rPr>
                <w:b w:val="false"/>
                <w:bCs w:val="false"/>
                <w:sz w:val="18"/>
                <w:szCs w:val="18"/>
              </w:rPr>
              <w:t xml:space="preserve">794.5</w:t>
            </w:r>
          </w:p>
        </w:tc>
        <w:tc>
          <w:tcPr>
            <w:tcW w:type="dxa" w:w="2050"/>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3300"/>
            <w:shd w:fill="F2F2F2" w:val="clear"/>
            <w:tcMar>
              <w:top w:type="dxa" w:w="60"/>
              <w:left w:type="dxa" w:w="100"/>
              <w:bottom w:type="dxa" w:w="60"/>
              <w:right w:type="dxa" w:w="100"/>
            </w:tcMar>
          </w:tcPr>
          <w:p>
            <w:pPr>
              <w:jc w:val="left"/>
            </w:pPr>
            <w:r>
              <w:rPr>
                <w:b w:val="false"/>
                <w:bCs w:val="false"/>
                <w:sz w:val="18"/>
                <w:szCs w:val="18"/>
              </w:rPr>
              <w:t xml:space="preserve">Glycerol-phosphate</w:t>
            </w:r>
          </w:p>
        </w:tc>
        <w:tc>
          <w:tcPr>
            <w:tcW w:type="dxa" w:w="1520"/>
            <w:shd w:fill="F2F2F2" w:val="clear"/>
            <w:tcMar>
              <w:top w:type="dxa" w:w="60"/>
              <w:left w:type="dxa" w:w="100"/>
              <w:bottom w:type="dxa" w:w="60"/>
              <w:right w:type="dxa" w:w="100"/>
            </w:tcMar>
          </w:tcPr>
          <w:p>
            <w:pPr>
              <w:jc w:val="left"/>
            </w:pPr>
            <w:r>
              <w:rPr>
                <w:b w:val="false"/>
                <w:bCs w:val="false"/>
                <w:sz w:val="18"/>
                <w:szCs w:val="18"/>
              </w:rPr>
              <w:t xml:space="preserve">21.5</w:t>
            </w:r>
          </w:p>
        </w:tc>
        <w:tc>
          <w:tcPr>
            <w:tcW w:type="dxa" w:w="1520"/>
            <w:shd w:fill="F2F2F2" w:val="clear"/>
            <w:tcMar>
              <w:top w:type="dxa" w:w="60"/>
              <w:left w:type="dxa" w:w="100"/>
              <w:bottom w:type="dxa" w:w="60"/>
              <w:right w:type="dxa" w:w="100"/>
            </w:tcMar>
          </w:tcPr>
          <w:p>
            <w:pPr>
              <w:jc w:val="left"/>
            </w:pPr>
            <w:r>
              <w:rPr>
                <w:b w:val="false"/>
                <w:bCs w:val="false"/>
                <w:sz w:val="18"/>
                <w:szCs w:val="18"/>
              </w:rPr>
              <w:t xml:space="preserve">Unmatched</w:t>
            </w:r>
          </w:p>
        </w:tc>
      </w:tr>
      <w:tr>
        <w:tc>
          <w:tcPr>
            <w:tcW w:type="dxa" w:w="2050"/>
            <w:tcMar>
              <w:top w:type="dxa" w:w="60"/>
              <w:left w:type="dxa" w:w="100"/>
              <w:bottom w:type="dxa" w:w="60"/>
              <w:right w:type="dxa" w:w="100"/>
            </w:tcMar>
          </w:tcPr>
          <w:p>
            <w:pPr>
              <w:jc w:val="left"/>
            </w:pPr>
            <w:r>
              <w:rPr>
                <w:b w:val="false"/>
                <w:bCs w:val="false"/>
                <w:sz w:val="18"/>
                <w:szCs w:val="18"/>
              </w:rPr>
              <w:t xml:space="preserve">999.9</w:t>
            </w:r>
          </w:p>
        </w:tc>
        <w:tc>
          <w:tcPr>
            <w:tcW w:type="dxa" w:w="2050"/>
            <w:tcMar>
              <w:top w:type="dxa" w:w="60"/>
              <w:left w:type="dxa" w:w="100"/>
              <w:bottom w:type="dxa" w:w="60"/>
              <w:right w:type="dxa" w:w="100"/>
            </w:tcMar>
          </w:tcPr>
          <w:p>
            <w:pPr>
              <w:jc w:val="left"/>
            </w:pPr>
            <w:r>
              <w:rPr>
                <w:b w:val="false"/>
                <w:bCs w:val="false"/>
                <w:sz w:val="18"/>
                <w:szCs w:val="18"/>
              </w:rPr>
              <w:t xml:space="preserve">990.7</w:t>
            </w:r>
          </w:p>
        </w:tc>
        <w:tc>
          <w:tcPr>
            <w:tcW w:type="dxa" w:w="3300"/>
            <w:tcMar>
              <w:top w:type="dxa" w:w="60"/>
              <w:left w:type="dxa" w:w="100"/>
              <w:bottom w:type="dxa" w:w="60"/>
              <w:right w:type="dxa" w:w="100"/>
            </w:tcMar>
          </w:tcPr>
          <w:p>
            <w:pPr>
              <w:jc w:val="left"/>
            </w:pPr>
            <w:r>
              <w:rPr>
                <w:b w:val="false"/>
                <w:bCs w:val="false"/>
                <w:sz w:val="18"/>
                <w:szCs w:val="18"/>
              </w:rPr>
              <w:t xml:space="preserve">D-Alanine</w:t>
            </w:r>
          </w:p>
        </w:tc>
        <w:tc>
          <w:tcPr>
            <w:tcW w:type="dxa" w:w="1520"/>
            <w:tcMar>
              <w:top w:type="dxa" w:w="60"/>
              <w:left w:type="dxa" w:w="100"/>
              <w:bottom w:type="dxa" w:w="60"/>
              <w:right w:type="dxa" w:w="100"/>
            </w:tcMar>
          </w:tcPr>
          <w:p>
            <w:pPr>
              <w:jc w:val="left"/>
            </w:pPr>
            <w:r>
              <w:rPr>
                <w:b w:val="false"/>
                <w:bCs w:val="false"/>
                <w:sz w:val="18"/>
                <w:szCs w:val="18"/>
              </w:rPr>
              <w:t xml:space="preserve">9.2</w:t>
            </w:r>
          </w:p>
        </w:tc>
        <w:tc>
          <w:tcPr>
            <w:tcW w:type="dxa" w:w="1520"/>
            <w:tcMar>
              <w:top w:type="dxa" w:w="60"/>
              <w:left w:type="dxa" w:w="100"/>
              <w:bottom w:type="dxa" w:w="60"/>
              <w:right w:type="dxa" w:w="100"/>
            </w:tcMar>
          </w:tcPr>
          <w:p>
            <w:pPr>
              <w:jc w:val="left"/>
            </w:pPr>
            <w:r>
              <w:rPr>
                <w:b w:val="false"/>
                <w:bCs w:val="false"/>
                <w:sz w:val="18"/>
                <w:szCs w:val="18"/>
              </w:rPr>
              <w:t xml:space="preserve">Matched</w:t>
            </w:r>
          </w:p>
        </w:tc>
      </w:tr>
      <w:tr>
        <w:tc>
          <w:tcPr>
            <w:tcW w:type="dxa" w:w="2050"/>
            <w:shd w:fill="F2F2F2" w:val="clear"/>
            <w:tcMar>
              <w:top w:type="dxa" w:w="60"/>
              <w:left w:type="dxa" w:w="100"/>
              <w:bottom w:type="dxa" w:w="60"/>
              <w:right w:type="dxa" w:w="100"/>
            </w:tcMar>
          </w:tcPr>
          <w:p>
            <w:pPr>
              <w:jc w:val="left"/>
            </w:pPr>
            <w:r>
              <w:rPr>
                <w:b w:val="false"/>
                <w:bCs w:val="false"/>
                <w:sz w:val="18"/>
                <w:szCs w:val="18"/>
              </w:rPr>
              <w:t xml:space="preserve">1093.2</w:t>
            </w:r>
          </w:p>
        </w:tc>
        <w:tc>
          <w:tcPr>
            <w:tcW w:type="dxa" w:w="2050"/>
            <w:shd w:fill="F2F2F2" w:val="clear"/>
            <w:tcMar>
              <w:top w:type="dxa" w:w="60"/>
              <w:left w:type="dxa" w:w="100"/>
              <w:bottom w:type="dxa" w:w="60"/>
              <w:right w:type="dxa" w:w="100"/>
            </w:tcMar>
          </w:tcPr>
          <w:p>
            <w:pPr>
              <w:jc w:val="left"/>
            </w:pPr>
            <w:r>
              <w:rPr>
                <w:b w:val="false"/>
                <w:bCs w:val="false"/>
                <w:sz w:val="18"/>
                <w:szCs w:val="18"/>
              </w:rPr>
              <w:t xml:space="preserve">1105.9</w:t>
            </w:r>
          </w:p>
        </w:tc>
        <w:tc>
          <w:tcPr>
            <w:tcW w:type="dxa" w:w="3300"/>
            <w:shd w:fill="F2F2F2" w:val="clear"/>
            <w:tcMar>
              <w:top w:type="dxa" w:w="60"/>
              <w:left w:type="dxa" w:w="100"/>
              <w:bottom w:type="dxa" w:w="60"/>
              <w:right w:type="dxa" w:w="100"/>
            </w:tcMar>
          </w:tcPr>
          <w:p>
            <w:pPr>
              <w:jc w:val="left"/>
            </w:pPr>
            <w:r>
              <w:rPr>
                <w:b w:val="false"/>
                <w:bCs w:val="false"/>
                <w:sz w:val="18"/>
                <w:szCs w:val="18"/>
              </w:rPr>
              <w:t xml:space="preserve">GlcNAc (N-acetyl-D-glucosamine)</w:t>
            </w:r>
          </w:p>
        </w:tc>
        <w:tc>
          <w:tcPr>
            <w:tcW w:type="dxa" w:w="1520"/>
            <w:shd w:fill="F2F2F2" w:val="clear"/>
            <w:tcMar>
              <w:top w:type="dxa" w:w="60"/>
              <w:left w:type="dxa" w:w="100"/>
              <w:bottom w:type="dxa" w:w="60"/>
              <w:right w:type="dxa" w:w="100"/>
            </w:tcMar>
          </w:tcPr>
          <w:p>
            <w:pPr>
              <w:jc w:val="left"/>
            </w:pPr>
            <w:r>
              <w:rPr>
                <w:b w:val="false"/>
                <w:bCs w:val="false"/>
                <w:sz w:val="18"/>
                <w:szCs w:val="18"/>
              </w:rPr>
              <w:t xml:space="preserve">12.7</w:t>
            </w:r>
          </w:p>
        </w:tc>
        <w:tc>
          <w:tcPr>
            <w:tcW w:type="dxa" w:w="1520"/>
            <w:shd w:fill="F2F2F2" w:val="clear"/>
            <w:tcMar>
              <w:top w:type="dxa" w:w="60"/>
              <w:left w:type="dxa" w:w="100"/>
              <w:bottom w:type="dxa" w:w="60"/>
              <w:right w:type="dxa" w:w="100"/>
            </w:tcMar>
          </w:tcPr>
          <w:p>
            <w:pPr>
              <w:jc w:val="left"/>
            </w:pPr>
            <w:r>
              <w:rPr>
                <w:b w:val="false"/>
                <w:bCs w:val="false"/>
                <w:sz w:val="18"/>
                <w:szCs w:val="18"/>
              </w:rPr>
              <w:t xml:space="preserve">Matched</w:t>
            </w:r>
          </w:p>
        </w:tc>
      </w:tr>
      <w:tr>
        <w:tc>
          <w:tcPr>
            <w:tcW w:type="dxa" w:w="2050"/>
            <w:tcMar>
              <w:top w:type="dxa" w:w="60"/>
              <w:left w:type="dxa" w:w="100"/>
              <w:bottom w:type="dxa" w:w="60"/>
              <w:right w:type="dxa" w:w="100"/>
            </w:tcMar>
          </w:tcPr>
          <w:p>
            <w:pPr>
              <w:jc w:val="left"/>
            </w:pPr>
            <w:r>
              <w:rPr>
                <w:b w:val="false"/>
                <w:bCs w:val="false"/>
                <w:sz w:val="18"/>
                <w:szCs w:val="18"/>
              </w:rPr>
              <w:t xml:space="preserve">1184.6</w:t>
            </w:r>
          </w:p>
        </w:tc>
        <w:tc>
          <w:tcPr>
            <w:tcW w:type="dxa" w:w="2050"/>
            <w:tcMar>
              <w:top w:type="dxa" w:w="60"/>
              <w:left w:type="dxa" w:w="100"/>
              <w:bottom w:type="dxa" w:w="60"/>
              <w:right w:type="dxa" w:w="100"/>
            </w:tcMar>
          </w:tcPr>
          <w:p>
            <w:pPr>
              <w:jc w:val="left"/>
            </w:pPr>
            <w:r>
              <w:rPr>
                <w:b w:val="false"/>
                <w:bCs w:val="false"/>
                <w:sz w:val="18"/>
                <w:szCs w:val="18"/>
              </w:rPr>
              <w:t xml:space="preserve">1178.9</w:t>
            </w:r>
          </w:p>
        </w:tc>
        <w:tc>
          <w:tcPr>
            <w:tcW w:type="dxa" w:w="3300"/>
            <w:tcMar>
              <w:top w:type="dxa" w:w="60"/>
              <w:left w:type="dxa" w:w="100"/>
              <w:bottom w:type="dxa" w:w="60"/>
              <w:right w:type="dxa" w:w="100"/>
            </w:tcMar>
          </w:tcPr>
          <w:p>
            <w:pPr>
              <w:jc w:val="left"/>
            </w:pPr>
            <w:r>
              <w:rPr>
                <w:b w:val="false"/>
                <w:bCs w:val="false"/>
                <w:sz w:val="18"/>
                <w:szCs w:val="18"/>
              </w:rPr>
              <w:t xml:space="preserve">Glycerol-phosphate</w:t>
            </w:r>
          </w:p>
        </w:tc>
        <w:tc>
          <w:tcPr>
            <w:tcW w:type="dxa" w:w="1520"/>
            <w:tcMar>
              <w:top w:type="dxa" w:w="60"/>
              <w:left w:type="dxa" w:w="100"/>
              <w:bottom w:type="dxa" w:w="60"/>
              <w:right w:type="dxa" w:w="100"/>
            </w:tcMar>
          </w:tcPr>
          <w:p>
            <w:pPr>
              <w:jc w:val="left"/>
            </w:pPr>
            <w:r>
              <w:rPr>
                <w:b w:val="false"/>
                <w:bCs w:val="false"/>
                <w:sz w:val="18"/>
                <w:szCs w:val="18"/>
              </w:rPr>
              <w:t xml:space="preserve">5.7</w:t>
            </w:r>
          </w:p>
        </w:tc>
        <w:tc>
          <w:tcPr>
            <w:tcW w:type="dxa" w:w="1520"/>
            <w:tcMar>
              <w:top w:type="dxa" w:w="60"/>
              <w:left w:type="dxa" w:w="100"/>
              <w:bottom w:type="dxa" w:w="60"/>
              <w:right w:type="dxa" w:w="100"/>
            </w:tcMar>
          </w:tcPr>
          <w:p>
            <w:pPr>
              <w:jc w:val="left"/>
            </w:pPr>
            <w:r>
              <w:rPr>
                <w:b w:val="false"/>
                <w:bCs w:val="false"/>
                <w:sz w:val="18"/>
                <w:szCs w:val="18"/>
              </w:rPr>
              <w:t xml:space="preserve">Matched</w:t>
            </w:r>
          </w:p>
        </w:tc>
      </w:tr>
      <w:tr>
        <w:tc>
          <w:tcPr>
            <w:tcW w:type="dxa" w:w="2050"/>
            <w:shd w:fill="F2F2F2" w:val="clear"/>
            <w:tcMar>
              <w:top w:type="dxa" w:w="60"/>
              <w:left w:type="dxa" w:w="100"/>
              <w:bottom w:type="dxa" w:w="60"/>
              <w:right w:type="dxa" w:w="100"/>
            </w:tcMar>
          </w:tcPr>
          <w:p>
            <w:pPr>
              <w:jc w:val="left"/>
            </w:pPr>
            <w:r>
              <w:rPr>
                <w:b w:val="false"/>
                <w:bCs w:val="false"/>
                <w:sz w:val="18"/>
                <w:szCs w:val="18"/>
              </w:rPr>
              <w:t xml:space="preserve">1602.4</w:t>
            </w:r>
          </w:p>
        </w:tc>
        <w:tc>
          <w:tcPr>
            <w:tcW w:type="dxa" w:w="2050"/>
            <w:shd w:fill="F2F2F2" w:val="clear"/>
            <w:tcMar>
              <w:top w:type="dxa" w:w="60"/>
              <w:left w:type="dxa" w:w="100"/>
              <w:bottom w:type="dxa" w:w="60"/>
              <w:right w:type="dxa" w:w="100"/>
            </w:tcMar>
          </w:tcPr>
          <w:p>
            <w:pPr>
              <w:jc w:val="left"/>
            </w:pPr>
            <w:r>
              <w:rPr>
                <w:b w:val="false"/>
                <w:bCs w:val="false"/>
                <w:sz w:val="18"/>
                <w:szCs w:val="18"/>
              </w:rPr>
              <w:t xml:space="preserve">1605.1</w:t>
            </w:r>
          </w:p>
        </w:tc>
        <w:tc>
          <w:tcPr>
            <w:tcW w:type="dxa" w:w="3300"/>
            <w:shd w:fill="F2F2F2" w:val="clear"/>
            <w:tcMar>
              <w:top w:type="dxa" w:w="60"/>
              <w:left w:type="dxa" w:w="100"/>
              <w:bottom w:type="dxa" w:w="60"/>
              <w:right w:type="dxa" w:w="100"/>
            </w:tcMar>
          </w:tcPr>
          <w:p>
            <w:pPr>
              <w:jc w:val="left"/>
            </w:pPr>
            <w:r>
              <w:rPr>
                <w:b w:val="false"/>
                <w:bCs w:val="false"/>
                <w:sz w:val="18"/>
                <w:szCs w:val="18"/>
              </w:rPr>
              <w:t xml:space="preserve">GlcNAc (N-acetyl-D-glucosamine)</w:t>
            </w:r>
          </w:p>
        </w:tc>
        <w:tc>
          <w:tcPr>
            <w:tcW w:type="dxa" w:w="1520"/>
            <w:shd w:fill="F2F2F2" w:val="clear"/>
            <w:tcMar>
              <w:top w:type="dxa" w:w="60"/>
              <w:left w:type="dxa" w:w="100"/>
              <w:bottom w:type="dxa" w:w="60"/>
              <w:right w:type="dxa" w:w="100"/>
            </w:tcMar>
          </w:tcPr>
          <w:p>
            <w:pPr>
              <w:jc w:val="left"/>
            </w:pPr>
            <w:r>
              <w:rPr>
                <w:b w:val="false"/>
                <w:bCs w:val="false"/>
                <w:sz w:val="18"/>
                <w:szCs w:val="18"/>
              </w:rPr>
              <w:t xml:space="preserve">2.7</w:t>
            </w:r>
          </w:p>
        </w:tc>
        <w:tc>
          <w:tcPr>
            <w:tcW w:type="dxa" w:w="1520"/>
            <w:shd w:fill="F2F2F2" w:val="clear"/>
            <w:tcMar>
              <w:top w:type="dxa" w:w="60"/>
              <w:left w:type="dxa" w:w="100"/>
              <w:bottom w:type="dxa" w:w="60"/>
              <w:right w:type="dxa" w:w="100"/>
            </w:tcMar>
          </w:tcPr>
          <w:p>
            <w:pPr>
              <w:jc w:val="left"/>
            </w:pPr>
            <w:r>
              <w:rPr>
                <w:b w:val="false"/>
                <w:bCs w:val="false"/>
                <w:sz w:val="18"/>
                <w:szCs w:val="18"/>
              </w:rPr>
              <w:t xml:space="preserve">Matched</w:t>
            </w:r>
          </w:p>
        </w:tc>
      </w:tr>
      <w:tr>
        <w:tc>
          <w:tcPr>
            <w:tcW w:type="dxa" w:w="2050"/>
            <w:tcMar>
              <w:top w:type="dxa" w:w="60"/>
              <w:left w:type="dxa" w:w="100"/>
              <w:bottom w:type="dxa" w:w="60"/>
              <w:right w:type="dxa" w:w="100"/>
            </w:tcMar>
          </w:tcPr>
          <w:p>
            <w:pPr>
              <w:jc w:val="left"/>
            </w:pPr>
            <w:r>
              <w:rPr>
                <w:b w:val="false"/>
                <w:bCs w:val="false"/>
                <w:sz w:val="18"/>
                <w:szCs w:val="18"/>
              </w:rPr>
              <w:t xml:space="preserve">1784.2</w:t>
            </w:r>
          </w:p>
        </w:tc>
        <w:tc>
          <w:tcPr>
            <w:tcW w:type="dxa" w:w="2050"/>
            <w:tcMar>
              <w:top w:type="dxa" w:w="60"/>
              <w:left w:type="dxa" w:w="100"/>
              <w:bottom w:type="dxa" w:w="60"/>
              <w:right w:type="dxa" w:w="100"/>
            </w:tcMar>
          </w:tcPr>
          <w:p>
            <w:pPr>
              <w:jc w:val="left"/>
            </w:pPr>
            <w:r>
              <w:rPr>
                <w:b w:val="false"/>
                <w:bCs w:val="false"/>
                <w:sz w:val="18"/>
                <w:szCs w:val="18"/>
              </w:rPr>
              <w:t xml:space="preserve">—</w:t>
            </w:r>
          </w:p>
        </w:tc>
        <w:tc>
          <w:tcPr>
            <w:tcW w:type="dxa" w:w="3300"/>
            <w:tcMar>
              <w:top w:type="dxa" w:w="60"/>
              <w:left w:type="dxa" w:w="100"/>
              <w:bottom w:type="dxa" w:w="60"/>
              <w:right w:type="dxa" w:w="100"/>
            </w:tcMar>
          </w:tcPr>
          <w:p>
            <w:pPr>
              <w:jc w:val="left"/>
            </w:pPr>
            <w:r>
              <w:rPr>
                <w:b w:val="false"/>
                <w:bCs w:val="false"/>
                <w:sz w:val="18"/>
                <w:szCs w:val="18"/>
              </w:rPr>
              <w:t xml:space="preserve">D-Alanine</w:t>
            </w:r>
          </w:p>
        </w:tc>
        <w:tc>
          <w:tcPr>
            <w:tcW w:type="dxa" w:w="1520"/>
            <w:tcMar>
              <w:top w:type="dxa" w:w="60"/>
              <w:left w:type="dxa" w:w="100"/>
              <w:bottom w:type="dxa" w:w="60"/>
              <w:right w:type="dxa" w:w="100"/>
            </w:tcMar>
          </w:tcPr>
          <w:p>
            <w:pPr>
              <w:jc w:val="left"/>
            </w:pPr>
            <w:r>
              <w:rPr>
                <w:b w:val="false"/>
                <w:bCs w:val="false"/>
                <w:sz w:val="18"/>
                <w:szCs w:val="18"/>
              </w:rPr>
              <w:t xml:space="preserve">94.6</w:t>
            </w:r>
          </w:p>
        </w:tc>
        <w:tc>
          <w:tcPr>
            <w:tcW w:type="dxa" w:w="1520"/>
            <w:tcMar>
              <w:top w:type="dxa" w:w="60"/>
              <w:left w:type="dxa" w:w="100"/>
              <w:bottom w:type="dxa" w:w="60"/>
              <w:right w:type="dxa" w:w="100"/>
            </w:tcMar>
          </w:tcPr>
          <w:p>
            <w:pPr>
              <w:jc w:val="left"/>
            </w:pPr>
            <w:r>
              <w:rPr>
                <w:b w:val="false"/>
                <w:bCs w:val="false"/>
                <w:sz w:val="18"/>
                <w:szCs w:val="18"/>
              </w:rPr>
              <w:t xml:space="preserve">Unmatched</w:t>
            </w:r>
          </w:p>
        </w:tc>
      </w:tr>
    </w:tbl>
    <w:p>
      <w:pPr>
        <w:spacing w:after="120"/>
      </w:pPr>
      <w:r>
        <w:rPr>
          <w:b/>
          <w:bCs/>
        </w:rPr>
        <w:t xml:space="preserve">Result: 5 of 7 experimental peaks matched a DFT candidate within 15 cm⁻¹. MAE = 7.2 cm⁻¹, RMSE = 8 cm⁻¹ (matched peaks only). One-to-one check: 0 DFT peaks were claimed by more than one experimental peak.</w:t>
      </w:r>
    </w:p>
    <w:p>
      <w:pPr>
        <w:pBdr>
          <w:left w:val="single" w:color="C0504D" w:sz="18" w:space="8"/>
        </w:pBdr>
        <w:spacing w:after="200" w:before="120"/>
        <w:ind w:left="200"/>
      </w:pPr>
      <w:r>
        <w:rPr>
          <w:i/>
          <w:iCs/>
        </w:rPr>
        <w:t xml:space="preserve">794.5 cm⁻¹ and 1784.2 cm⁻¹ are reported as unmatched. No DFT candidate was substituted for either; the underlying reason for each is stated in Section 5.</w:t>
      </w:r>
    </w:p>
    <w:p>
      <w:r>
        <w:br w:type="page"/>
      </w:r>
    </w:p>
    <w:p>
      <w:pPr>
        <w:pStyle w:val="Heading1"/>
        <w:spacing w:after="160" w:before="360"/>
      </w:pPr>
      <w:r>
        <w:t xml:space="preserve">4. Literature Comparison</w:t>
      </w:r>
    </w:p>
    <w:p>
      <w:pPr>
        <w:spacing w:after="120"/>
      </w:pPr>
      <w:r>
        <w:t xml:space="preserve">Literature bands are drawn from the evidence-tier table recorded in the project's own reference document (Experiment_Plan_LTA.docx), the only source that ties specific Raman positions to external literature with a stated confidence tier. Each entry below is cross-checked against the experimental peaks and, where matched, the corresponding DFT feature.</w:t>
      </w:r>
    </w:p>
    <w:p>
      <w:pPr>
        <w:spacing w:after="120" w:before="12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019425"/>
                    </a:xfrm>
                    <a:prstGeom prst="rect">
                      <a:avLst/>
                    </a:prstGeom>
                  </pic:spPr>
                </pic:pic>
              </a:graphicData>
            </a:graphic>
          </wp:inline>
        </w:drawing>
      </w:r>
    </w:p>
    <w:p>
      <w:pPr>
        <w:spacing w:after="240"/>
        <w:jc w:val="center"/>
      </w:pPr>
      <w:r>
        <w:rPr>
          <w:i/>
          <w:iCs/>
          <w:sz w:val="18"/>
          <w:szCs w:val="18"/>
        </w:rPr>
        <w:t xml:space="preserve">Figure 4. Experimental LTA powder Raman spectrum with literature-cited band positions overlaid; the LIT-CONFIRMED phosphodiester band is highlighted.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550"/>
        <w:gridCol w:w="1300"/>
        <w:gridCol w:w="1500"/>
        <w:gridCol w:w="1400"/>
        <w:gridCol w:w="2900"/>
        <w:gridCol w:w="1790"/>
      </w:tblGrid>
      <w:tr>
        <w:trPr>
          <w:tblHeader/>
        </w:trPr>
        <w:tc>
          <w:tcPr>
            <w:tcW w:type="dxa" w:w="1550"/>
            <w:shd w:fill="1F4E5F" w:val="clear"/>
            <w:tcMar>
              <w:top w:type="dxa" w:w="60"/>
              <w:left w:type="dxa" w:w="100"/>
              <w:bottom w:type="dxa" w:w="60"/>
              <w:right w:type="dxa" w:w="100"/>
            </w:tcMar>
          </w:tcPr>
          <w:p>
            <w:pPr>
              <w:jc w:val="left"/>
            </w:pPr>
            <w:r>
              <w:rPr>
                <w:b/>
                <w:bCs/>
                <w:color w:val="FFFFFF"/>
                <w:sz w:val="18"/>
                <w:szCs w:val="18"/>
              </w:rPr>
              <w:t xml:space="preserve">Experimental LTA (cm⁻¹)</w:t>
            </w:r>
          </w:p>
        </w:tc>
        <w:tc>
          <w:tcPr>
            <w:tcW w:type="dxa" w:w="1300"/>
            <w:shd w:fill="1F4E5F" w:val="clear"/>
            <w:tcMar>
              <w:top w:type="dxa" w:w="60"/>
              <w:left w:type="dxa" w:w="100"/>
              <w:bottom w:type="dxa" w:w="60"/>
              <w:right w:type="dxa" w:w="100"/>
            </w:tcMar>
          </w:tcPr>
          <w:p>
            <w:pPr>
              <w:jc w:val="left"/>
            </w:pPr>
            <w:r>
              <w:rPr>
                <w:b/>
                <w:bCs/>
                <w:color w:val="FFFFFF"/>
                <w:sz w:val="18"/>
                <w:szCs w:val="18"/>
              </w:rPr>
              <w:t xml:space="preserve">DFT (cm⁻¹)</w:t>
            </w:r>
          </w:p>
        </w:tc>
        <w:tc>
          <w:tcPr>
            <w:tcW w:type="dxa" w:w="1500"/>
            <w:shd w:fill="1F4E5F" w:val="clear"/>
            <w:tcMar>
              <w:top w:type="dxa" w:w="60"/>
              <w:left w:type="dxa" w:w="100"/>
              <w:bottom w:type="dxa" w:w="60"/>
              <w:right w:type="dxa" w:w="100"/>
            </w:tcMar>
          </w:tcPr>
          <w:p>
            <w:pPr>
              <w:jc w:val="left"/>
            </w:pPr>
            <w:r>
              <w:rPr>
                <w:b/>
                <w:bCs/>
                <w:color w:val="FFFFFF"/>
                <w:sz w:val="18"/>
                <w:szCs w:val="18"/>
              </w:rPr>
              <w:t xml:space="preserve">Literature (cm⁻¹)</w:t>
            </w:r>
          </w:p>
        </w:tc>
        <w:tc>
          <w:tcPr>
            <w:tcW w:type="dxa" w:w="1400"/>
            <w:shd w:fill="1F4E5F" w:val="clear"/>
            <w:tcMar>
              <w:top w:type="dxa" w:w="60"/>
              <w:left w:type="dxa" w:w="100"/>
              <w:bottom w:type="dxa" w:w="60"/>
              <w:right w:type="dxa" w:w="100"/>
            </w:tcMar>
          </w:tcPr>
          <w:p>
            <w:pPr>
              <w:jc w:val="left"/>
            </w:pPr>
            <w:r>
              <w:rPr>
                <w:b/>
                <w:bCs/>
                <w:color w:val="FFFFFF"/>
                <w:sz w:val="18"/>
                <w:szCs w:val="18"/>
              </w:rPr>
              <w:t xml:space="preserve">Δ Exp–Lit (cm⁻¹)</w:t>
            </w:r>
          </w:p>
        </w:tc>
        <w:tc>
          <w:tcPr>
            <w:tcW w:type="dxa" w:w="2900"/>
            <w:shd w:fill="1F4E5F" w:val="clear"/>
            <w:tcMar>
              <w:top w:type="dxa" w:w="60"/>
              <w:left w:type="dxa" w:w="100"/>
              <w:bottom w:type="dxa" w:w="60"/>
              <w:right w:type="dxa" w:w="100"/>
            </w:tcMar>
          </w:tcPr>
          <w:p>
            <w:pPr>
              <w:jc w:val="left"/>
            </w:pPr>
            <w:r>
              <w:rPr>
                <w:b/>
                <w:bCs/>
                <w:color w:val="FFFFFF"/>
                <w:sz w:val="18"/>
                <w:szCs w:val="18"/>
              </w:rPr>
              <w:t xml:space="preserve">Assignment</w:t>
            </w:r>
          </w:p>
        </w:tc>
        <w:tc>
          <w:tcPr>
            <w:tcW w:type="dxa" w:w="1790"/>
            <w:shd w:fill="1F4E5F" w:val="clear"/>
            <w:tcMar>
              <w:top w:type="dxa" w:w="60"/>
              <w:left w:type="dxa" w:w="100"/>
              <w:bottom w:type="dxa" w:w="60"/>
              <w:right w:type="dxa" w:w="100"/>
            </w:tcMar>
          </w:tcPr>
          <w:p>
            <w:pPr>
              <w:jc w:val="left"/>
            </w:pPr>
            <w:r>
              <w:rPr>
                <w:b/>
                <w:bCs/>
                <w:color w:val="FFFFFF"/>
                <w:sz w:val="18"/>
                <w:szCs w:val="18"/>
              </w:rPr>
              <w:t xml:space="preserve">Evidence level</w:t>
            </w:r>
          </w:p>
        </w:tc>
      </w:tr>
      <w:tr>
        <w:tc>
          <w:tcPr>
            <w:tcW w:type="dxa" w:w="1550"/>
            <w:tcMar>
              <w:top w:type="dxa" w:w="60"/>
              <w:left w:type="dxa" w:w="100"/>
              <w:bottom w:type="dxa" w:w="60"/>
              <w:right w:type="dxa" w:w="100"/>
            </w:tcMar>
          </w:tcPr>
          <w:p>
            <w:pPr>
              <w:jc w:val="left"/>
            </w:pPr>
            <w:r>
              <w:rPr>
                <w:b w:val="false"/>
                <w:bCs w:val="false"/>
                <w:sz w:val="18"/>
                <w:szCs w:val="18"/>
              </w:rPr>
              <w:t xml:space="preserve">1093.2</w:t>
            </w:r>
          </w:p>
        </w:tc>
        <w:tc>
          <w:tcPr>
            <w:tcW w:type="dxa" w:w="1300"/>
            <w:tcMar>
              <w:top w:type="dxa" w:w="60"/>
              <w:left w:type="dxa" w:w="100"/>
              <w:bottom w:type="dxa" w:w="60"/>
              <w:right w:type="dxa" w:w="100"/>
            </w:tcMar>
          </w:tcPr>
          <w:p>
            <w:pPr>
              <w:jc w:val="left"/>
            </w:pPr>
            <w:r>
              <w:rPr>
                <w:b w:val="false"/>
                <w:bCs w:val="false"/>
                <w:sz w:val="18"/>
                <w:szCs w:val="18"/>
              </w:rPr>
              <w:t xml:space="preserve">1105.9</w:t>
            </w:r>
          </w:p>
        </w:tc>
        <w:tc>
          <w:tcPr>
            <w:tcW w:type="dxa" w:w="1500"/>
            <w:tcMar>
              <w:top w:type="dxa" w:w="60"/>
              <w:left w:type="dxa" w:w="100"/>
              <w:bottom w:type="dxa" w:w="60"/>
              <w:right w:type="dxa" w:w="100"/>
            </w:tcMar>
          </w:tcPr>
          <w:p>
            <w:pPr>
              <w:jc w:val="left"/>
            </w:pPr>
            <w:r>
              <w:rPr>
                <w:b w:val="false"/>
                <w:bCs w:val="false"/>
                <w:sz w:val="18"/>
                <w:szCs w:val="18"/>
              </w:rPr>
              <w:t xml:space="preserve">1080-1095</w:t>
            </w:r>
          </w:p>
        </w:tc>
        <w:tc>
          <w:tcPr>
            <w:tcW w:type="dxa" w:w="1400"/>
            <w:tcMar>
              <w:top w:type="dxa" w:w="60"/>
              <w:left w:type="dxa" w:w="100"/>
              <w:bottom w:type="dxa" w:w="60"/>
              <w:right w:type="dxa" w:w="100"/>
            </w:tcMar>
          </w:tcPr>
          <w:p>
            <w:pPr>
              <w:jc w:val="left"/>
            </w:pPr>
            <w:r>
              <w:rPr>
                <w:b w:val="false"/>
                <w:bCs w:val="false"/>
                <w:sz w:val="18"/>
                <w:szCs w:val="18"/>
              </w:rPr>
              <w:t xml:space="preserve">5.7</w:t>
            </w:r>
          </w:p>
        </w:tc>
        <w:tc>
          <w:tcPr>
            <w:tcW w:type="dxa" w:w="2900"/>
            <w:tcMar>
              <w:top w:type="dxa" w:w="60"/>
              <w:left w:type="dxa" w:w="100"/>
              <w:bottom w:type="dxa" w:w="60"/>
              <w:right w:type="dxa" w:w="100"/>
            </w:tcMar>
          </w:tcPr>
          <w:p>
            <w:pPr>
              <w:jc w:val="left"/>
            </w:pPr>
            <w:r>
              <w:rPr>
                <w:b w:val="false"/>
                <w:bCs w:val="false"/>
                <w:sz w:val="18"/>
                <w:szCs w:val="18"/>
              </w:rPr>
              <w:t xml:space="preserve">PO2- symmetric stretch (phosphodiester backbone)</w:t>
            </w:r>
          </w:p>
        </w:tc>
        <w:tc>
          <w:tcPr>
            <w:tcW w:type="dxa" w:w="1790"/>
            <w:tcMar>
              <w:top w:type="dxa" w:w="60"/>
              <w:left w:type="dxa" w:w="100"/>
              <w:bottom w:type="dxa" w:w="60"/>
              <w:right w:type="dxa" w:w="100"/>
            </w:tcMar>
          </w:tcPr>
          <w:p>
            <w:pPr>
              <w:jc w:val="left"/>
            </w:pPr>
            <w:r>
              <w:rPr>
                <w:b w:val="false"/>
                <w:bCs w:val="false"/>
                <w:sz w:val="18"/>
                <w:szCs w:val="18"/>
              </w:rPr>
              <w:t xml:space="preserve">LIT-CONFIRMED</w:t>
            </w:r>
          </w:p>
        </w:tc>
      </w:tr>
      <w:tr>
        <w:tc>
          <w:tcPr>
            <w:tcW w:type="dxa" w:w="1550"/>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1300"/>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1500"/>
            <w:shd w:fill="F2F2F2" w:val="clear"/>
            <w:tcMar>
              <w:top w:type="dxa" w:w="60"/>
              <w:left w:type="dxa" w:w="100"/>
              <w:bottom w:type="dxa" w:w="60"/>
              <w:right w:type="dxa" w:w="100"/>
            </w:tcMar>
          </w:tcPr>
          <w:p>
            <w:pPr>
              <w:jc w:val="left"/>
            </w:pPr>
            <w:r>
              <w:rPr>
                <w:b w:val="false"/>
                <w:bCs w:val="false"/>
                <w:sz w:val="18"/>
                <w:szCs w:val="18"/>
              </w:rPr>
              <w:t xml:space="preserve">1225-1250</w:t>
            </w:r>
          </w:p>
        </w:tc>
        <w:tc>
          <w:tcPr>
            <w:tcW w:type="dxa" w:w="1400"/>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2900"/>
            <w:shd w:fill="F2F2F2" w:val="clear"/>
            <w:tcMar>
              <w:top w:type="dxa" w:w="60"/>
              <w:left w:type="dxa" w:w="100"/>
              <w:bottom w:type="dxa" w:w="60"/>
              <w:right w:type="dxa" w:w="100"/>
            </w:tcMar>
          </w:tcPr>
          <w:p>
            <w:pPr>
              <w:jc w:val="left"/>
            </w:pPr>
            <w:r>
              <w:rPr>
                <w:b w:val="false"/>
                <w:bCs w:val="false"/>
                <w:sz w:val="18"/>
                <w:szCs w:val="18"/>
              </w:rPr>
              <w:t xml:space="preserve">(as stated in source document)</w:t>
            </w:r>
          </w:p>
        </w:tc>
        <w:tc>
          <w:tcPr>
            <w:tcW w:type="dxa" w:w="1790"/>
            <w:shd w:fill="F2F2F2" w:val="clear"/>
            <w:tcMar>
              <w:top w:type="dxa" w:w="60"/>
              <w:left w:type="dxa" w:w="100"/>
              <w:bottom w:type="dxa" w:w="60"/>
              <w:right w:type="dxa" w:w="100"/>
            </w:tcMar>
          </w:tcPr>
          <w:p>
            <w:pPr>
              <w:jc w:val="left"/>
            </w:pPr>
            <w:r>
              <w:rPr>
                <w:b w:val="false"/>
                <w:bCs w:val="false"/>
                <w:sz w:val="18"/>
                <w:szCs w:val="18"/>
              </w:rPr>
              <w:t xml:space="preserve">PREDICTION</w:t>
            </w:r>
          </w:p>
        </w:tc>
      </w:tr>
      <w:tr>
        <w:tc>
          <w:tcPr>
            <w:tcW w:type="dxa" w:w="1550"/>
            <w:tcMar>
              <w:top w:type="dxa" w:w="60"/>
              <w:left w:type="dxa" w:w="100"/>
              <w:bottom w:type="dxa" w:w="60"/>
              <w:right w:type="dxa" w:w="100"/>
            </w:tcMar>
          </w:tcPr>
          <w:p>
            <w:pPr>
              <w:jc w:val="left"/>
            </w:pPr>
            <w:r>
              <w:rPr>
                <w:b w:val="false"/>
                <w:bCs w:val="false"/>
                <w:sz w:val="18"/>
                <w:szCs w:val="18"/>
              </w:rPr>
              <w:t xml:space="preserve">—</w:t>
            </w:r>
          </w:p>
        </w:tc>
        <w:tc>
          <w:tcPr>
            <w:tcW w:type="dxa" w:w="1300"/>
            <w:tcMar>
              <w:top w:type="dxa" w:w="60"/>
              <w:left w:type="dxa" w:w="100"/>
              <w:bottom w:type="dxa" w:w="60"/>
              <w:right w:type="dxa" w:w="100"/>
            </w:tcMar>
          </w:tcPr>
          <w:p>
            <w:pPr>
              <w:jc w:val="left"/>
            </w:pPr>
            <w:r>
              <w:rPr>
                <w:b w:val="false"/>
                <w:bCs w:val="false"/>
                <w:sz w:val="18"/>
                <w:szCs w:val="18"/>
              </w:rPr>
              <w:t xml:space="preserve">—</w:t>
            </w:r>
          </w:p>
        </w:tc>
        <w:tc>
          <w:tcPr>
            <w:tcW w:type="dxa" w:w="1500"/>
            <w:tcMar>
              <w:top w:type="dxa" w:w="60"/>
              <w:left w:type="dxa" w:w="100"/>
              <w:bottom w:type="dxa" w:w="60"/>
              <w:right w:type="dxa" w:w="100"/>
            </w:tcMar>
          </w:tcPr>
          <w:p>
            <w:pPr>
              <w:jc w:val="left"/>
            </w:pPr>
            <w:r>
              <w:rPr>
                <w:b w:val="false"/>
                <w:bCs w:val="false"/>
                <w:sz w:val="18"/>
                <w:szCs w:val="18"/>
              </w:rPr>
              <w:t xml:space="preserve">1450</w:t>
            </w:r>
          </w:p>
        </w:tc>
        <w:tc>
          <w:tcPr>
            <w:tcW w:type="dxa" w:w="1400"/>
            <w:tcMar>
              <w:top w:type="dxa" w:w="60"/>
              <w:left w:type="dxa" w:w="100"/>
              <w:bottom w:type="dxa" w:w="60"/>
              <w:right w:type="dxa" w:w="100"/>
            </w:tcMar>
          </w:tcPr>
          <w:p>
            <w:pPr>
              <w:jc w:val="left"/>
            </w:pPr>
            <w:r>
              <w:rPr>
                <w:b w:val="false"/>
                <w:bCs w:val="false"/>
                <w:sz w:val="18"/>
                <w:szCs w:val="18"/>
              </w:rPr>
              <w:t xml:space="preserve">—</w:t>
            </w:r>
          </w:p>
        </w:tc>
        <w:tc>
          <w:tcPr>
            <w:tcW w:type="dxa" w:w="2900"/>
            <w:tcMar>
              <w:top w:type="dxa" w:w="60"/>
              <w:left w:type="dxa" w:w="100"/>
              <w:bottom w:type="dxa" w:w="60"/>
              <w:right w:type="dxa" w:w="100"/>
            </w:tcMar>
          </w:tcPr>
          <w:p>
            <w:pPr>
              <w:jc w:val="left"/>
            </w:pPr>
            <w:r>
              <w:rPr>
                <w:b w:val="false"/>
                <w:bCs w:val="false"/>
                <w:sz w:val="18"/>
                <w:szCs w:val="18"/>
              </w:rPr>
              <w:t xml:space="preserve">(as stated in source document)</w:t>
            </w:r>
          </w:p>
        </w:tc>
        <w:tc>
          <w:tcPr>
            <w:tcW w:type="dxa" w:w="1790"/>
            <w:tcMar>
              <w:top w:type="dxa" w:w="60"/>
              <w:left w:type="dxa" w:w="100"/>
              <w:bottom w:type="dxa" w:w="60"/>
              <w:right w:type="dxa" w:w="100"/>
            </w:tcMar>
          </w:tcPr>
          <w:p>
            <w:pPr>
              <w:jc w:val="left"/>
            </w:pPr>
            <w:r>
              <w:rPr>
                <w:b w:val="false"/>
                <w:bCs w:val="false"/>
                <w:sz w:val="18"/>
                <w:szCs w:val="18"/>
              </w:rPr>
              <w:t xml:space="preserve">LIT-MENTIONED</w:t>
            </w:r>
          </w:p>
        </w:tc>
      </w:tr>
      <w:tr>
        <w:tc>
          <w:tcPr>
            <w:tcW w:type="dxa" w:w="1550"/>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1300"/>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1500"/>
            <w:shd w:fill="F2F2F2" w:val="clear"/>
            <w:tcMar>
              <w:top w:type="dxa" w:w="60"/>
              <w:left w:type="dxa" w:w="100"/>
              <w:bottom w:type="dxa" w:w="60"/>
              <w:right w:type="dxa" w:w="100"/>
            </w:tcMar>
          </w:tcPr>
          <w:p>
            <w:pPr>
              <w:jc w:val="left"/>
            </w:pPr>
            <w:r>
              <w:rPr>
                <w:b w:val="false"/>
                <w:bCs w:val="false"/>
                <w:sz w:val="18"/>
                <w:szCs w:val="18"/>
              </w:rPr>
              <w:t xml:space="preserve">1131</w:t>
            </w:r>
          </w:p>
        </w:tc>
        <w:tc>
          <w:tcPr>
            <w:tcW w:type="dxa" w:w="1400"/>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2900"/>
            <w:shd w:fill="F2F2F2" w:val="clear"/>
            <w:tcMar>
              <w:top w:type="dxa" w:w="60"/>
              <w:left w:type="dxa" w:w="100"/>
              <w:bottom w:type="dxa" w:w="60"/>
              <w:right w:type="dxa" w:w="100"/>
            </w:tcMar>
          </w:tcPr>
          <w:p>
            <w:pPr>
              <w:jc w:val="left"/>
            </w:pPr>
            <w:r>
              <w:rPr>
                <w:b w:val="false"/>
                <w:bCs w:val="false"/>
                <w:sz w:val="18"/>
                <w:szCs w:val="18"/>
              </w:rPr>
              <w:t xml:space="preserve">(as stated in source document)</w:t>
            </w:r>
          </w:p>
        </w:tc>
        <w:tc>
          <w:tcPr>
            <w:tcW w:type="dxa" w:w="1790"/>
            <w:shd w:fill="F2F2F2" w:val="clear"/>
            <w:tcMar>
              <w:top w:type="dxa" w:w="60"/>
              <w:left w:type="dxa" w:w="100"/>
              <w:bottom w:type="dxa" w:w="60"/>
              <w:right w:type="dxa" w:w="100"/>
            </w:tcMar>
          </w:tcPr>
          <w:p>
            <w:pPr>
              <w:jc w:val="left"/>
            </w:pPr>
            <w:r>
              <w:rPr>
                <w:b w:val="false"/>
                <w:bCs w:val="false"/>
                <w:sz w:val="18"/>
                <w:szCs w:val="18"/>
              </w:rPr>
              <w:t xml:space="preserve">(tier as stated)</w:t>
            </w:r>
          </w:p>
        </w:tc>
      </w:tr>
      <w:tr>
        <w:tc>
          <w:tcPr>
            <w:tcW w:type="dxa" w:w="1550"/>
            <w:tcMar>
              <w:top w:type="dxa" w:w="60"/>
              <w:left w:type="dxa" w:w="100"/>
              <w:bottom w:type="dxa" w:w="60"/>
              <w:right w:type="dxa" w:w="100"/>
            </w:tcMar>
          </w:tcPr>
          <w:p>
            <w:pPr>
              <w:jc w:val="left"/>
            </w:pPr>
            <w:r>
              <w:rPr>
                <w:b w:val="false"/>
                <w:bCs w:val="false"/>
                <w:sz w:val="18"/>
                <w:szCs w:val="18"/>
              </w:rPr>
              <w:t xml:space="preserve">—</w:t>
            </w:r>
          </w:p>
        </w:tc>
        <w:tc>
          <w:tcPr>
            <w:tcW w:type="dxa" w:w="1300"/>
            <w:tcMar>
              <w:top w:type="dxa" w:w="60"/>
              <w:left w:type="dxa" w:w="100"/>
              <w:bottom w:type="dxa" w:w="60"/>
              <w:right w:type="dxa" w:w="100"/>
            </w:tcMar>
          </w:tcPr>
          <w:p>
            <w:pPr>
              <w:jc w:val="left"/>
            </w:pPr>
            <w:r>
              <w:rPr>
                <w:b w:val="false"/>
                <w:bCs w:val="false"/>
                <w:sz w:val="18"/>
                <w:szCs w:val="18"/>
              </w:rPr>
              <w:t xml:space="preserve">—</w:t>
            </w:r>
          </w:p>
        </w:tc>
        <w:tc>
          <w:tcPr>
            <w:tcW w:type="dxa" w:w="1500"/>
            <w:tcMar>
              <w:top w:type="dxa" w:w="60"/>
              <w:left w:type="dxa" w:w="100"/>
              <w:bottom w:type="dxa" w:w="60"/>
              <w:right w:type="dxa" w:w="100"/>
            </w:tcMar>
          </w:tcPr>
          <w:p>
            <w:pPr>
              <w:jc w:val="left"/>
            </w:pPr>
            <w:r>
              <w:rPr>
                <w:b w:val="false"/>
                <w:bCs w:val="false"/>
                <w:sz w:val="18"/>
                <w:szCs w:val="18"/>
              </w:rPr>
              <w:t xml:space="preserve">850</w:t>
            </w:r>
          </w:p>
        </w:tc>
        <w:tc>
          <w:tcPr>
            <w:tcW w:type="dxa" w:w="1400"/>
            <w:tcMar>
              <w:top w:type="dxa" w:w="60"/>
              <w:left w:type="dxa" w:w="100"/>
              <w:bottom w:type="dxa" w:w="60"/>
              <w:right w:type="dxa" w:w="100"/>
            </w:tcMar>
          </w:tcPr>
          <w:p>
            <w:pPr>
              <w:jc w:val="left"/>
            </w:pPr>
            <w:r>
              <w:rPr>
                <w:b w:val="false"/>
                <w:bCs w:val="false"/>
                <w:sz w:val="18"/>
                <w:szCs w:val="18"/>
              </w:rPr>
              <w:t xml:space="preserve">—</w:t>
            </w:r>
          </w:p>
        </w:tc>
        <w:tc>
          <w:tcPr>
            <w:tcW w:type="dxa" w:w="2900"/>
            <w:tcMar>
              <w:top w:type="dxa" w:w="60"/>
              <w:left w:type="dxa" w:w="100"/>
              <w:bottom w:type="dxa" w:w="60"/>
              <w:right w:type="dxa" w:w="100"/>
            </w:tcMar>
          </w:tcPr>
          <w:p>
            <w:pPr>
              <w:jc w:val="left"/>
            </w:pPr>
            <w:r>
              <w:rPr>
                <w:b w:val="false"/>
                <w:bCs w:val="false"/>
                <w:sz w:val="18"/>
                <w:szCs w:val="18"/>
              </w:rPr>
              <w:t xml:space="preserve">(as stated in source document)</w:t>
            </w:r>
          </w:p>
        </w:tc>
        <w:tc>
          <w:tcPr>
            <w:tcW w:type="dxa" w:w="1790"/>
            <w:tcMar>
              <w:top w:type="dxa" w:w="60"/>
              <w:left w:type="dxa" w:w="100"/>
              <w:bottom w:type="dxa" w:w="60"/>
              <w:right w:type="dxa" w:w="100"/>
            </w:tcMar>
          </w:tcPr>
          <w:p>
            <w:pPr>
              <w:jc w:val="left"/>
            </w:pPr>
            <w:r>
              <w:rPr>
                <w:b w:val="false"/>
                <w:bCs w:val="false"/>
                <w:sz w:val="18"/>
                <w:szCs w:val="18"/>
              </w:rPr>
              <w:t xml:space="preserve">(tier as stated)</w:t>
            </w:r>
          </w:p>
        </w:tc>
      </w:tr>
      <w:tr>
        <w:tc>
          <w:tcPr>
            <w:tcW w:type="dxa" w:w="1550"/>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1300"/>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1500"/>
            <w:shd w:fill="F2F2F2" w:val="clear"/>
            <w:tcMar>
              <w:top w:type="dxa" w:w="60"/>
              <w:left w:type="dxa" w:w="100"/>
              <w:bottom w:type="dxa" w:w="60"/>
              <w:right w:type="dxa" w:w="100"/>
            </w:tcMar>
          </w:tcPr>
          <w:p>
            <w:pPr>
              <w:jc w:val="left"/>
            </w:pPr>
            <w:r>
              <w:rPr>
                <w:b w:val="false"/>
                <w:bCs w:val="false"/>
                <w:sz w:val="18"/>
                <w:szCs w:val="18"/>
              </w:rPr>
              <w:t xml:space="preserve">~1730</w:t>
            </w:r>
          </w:p>
        </w:tc>
        <w:tc>
          <w:tcPr>
            <w:tcW w:type="dxa" w:w="1400"/>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2900"/>
            <w:shd w:fill="F2F2F2" w:val="clear"/>
            <w:tcMar>
              <w:top w:type="dxa" w:w="60"/>
              <w:left w:type="dxa" w:w="100"/>
              <w:bottom w:type="dxa" w:w="60"/>
              <w:right w:type="dxa" w:w="100"/>
            </w:tcMar>
          </w:tcPr>
          <w:p>
            <w:pPr>
              <w:jc w:val="left"/>
            </w:pPr>
            <w:r>
              <w:rPr>
                <w:b w:val="false"/>
                <w:bCs w:val="false"/>
                <w:sz w:val="18"/>
                <w:szCs w:val="18"/>
              </w:rPr>
              <w:t xml:space="preserve">(as stated in source document)</w:t>
            </w:r>
          </w:p>
        </w:tc>
        <w:tc>
          <w:tcPr>
            <w:tcW w:type="dxa" w:w="1790"/>
            <w:shd w:fill="F2F2F2" w:val="clear"/>
            <w:tcMar>
              <w:top w:type="dxa" w:w="60"/>
              <w:left w:type="dxa" w:w="100"/>
              <w:bottom w:type="dxa" w:w="60"/>
              <w:right w:type="dxa" w:w="100"/>
            </w:tcMar>
          </w:tcPr>
          <w:p>
            <w:pPr>
              <w:jc w:val="left"/>
            </w:pPr>
            <w:r>
              <w:rPr>
                <w:b w:val="false"/>
                <w:bCs w:val="false"/>
                <w:sz w:val="18"/>
                <w:szCs w:val="18"/>
              </w:rPr>
              <w:t xml:space="preserve">PREDICTION</w:t>
            </w:r>
          </w:p>
        </w:tc>
      </w:tr>
      <w:tr>
        <w:tc>
          <w:tcPr>
            <w:tcW w:type="dxa" w:w="1550"/>
            <w:tcMar>
              <w:top w:type="dxa" w:w="60"/>
              <w:left w:type="dxa" w:w="100"/>
              <w:bottom w:type="dxa" w:w="60"/>
              <w:right w:type="dxa" w:w="100"/>
            </w:tcMar>
          </w:tcPr>
          <w:p>
            <w:pPr>
              <w:jc w:val="left"/>
            </w:pPr>
            <w:r>
              <w:rPr>
                <w:b w:val="false"/>
                <w:bCs w:val="false"/>
                <w:sz w:val="18"/>
                <w:szCs w:val="18"/>
              </w:rPr>
              <w:t xml:space="preserve">—</w:t>
            </w:r>
          </w:p>
        </w:tc>
        <w:tc>
          <w:tcPr>
            <w:tcW w:type="dxa" w:w="1300"/>
            <w:tcMar>
              <w:top w:type="dxa" w:w="60"/>
              <w:left w:type="dxa" w:w="100"/>
              <w:bottom w:type="dxa" w:w="60"/>
              <w:right w:type="dxa" w:w="100"/>
            </w:tcMar>
          </w:tcPr>
          <w:p>
            <w:pPr>
              <w:jc w:val="left"/>
            </w:pPr>
            <w:r>
              <w:rPr>
                <w:b w:val="false"/>
                <w:bCs w:val="false"/>
                <w:sz w:val="18"/>
                <w:szCs w:val="18"/>
              </w:rPr>
              <w:t xml:space="preserve">—</w:t>
            </w:r>
          </w:p>
        </w:tc>
        <w:tc>
          <w:tcPr>
            <w:tcW w:type="dxa" w:w="1500"/>
            <w:tcMar>
              <w:top w:type="dxa" w:w="60"/>
              <w:left w:type="dxa" w:w="100"/>
              <w:bottom w:type="dxa" w:w="60"/>
              <w:right w:type="dxa" w:w="100"/>
            </w:tcMar>
          </w:tcPr>
          <w:p>
            <w:pPr>
              <w:jc w:val="left"/>
            </w:pPr>
            <w:r>
              <w:rPr>
                <w:b w:val="false"/>
                <w:bCs w:val="false"/>
                <w:sz w:val="18"/>
                <w:szCs w:val="18"/>
              </w:rPr>
              <w:t xml:space="preserve">1160, 1120</w:t>
            </w:r>
          </w:p>
        </w:tc>
        <w:tc>
          <w:tcPr>
            <w:tcW w:type="dxa" w:w="1400"/>
            <w:tcMar>
              <w:top w:type="dxa" w:w="60"/>
              <w:left w:type="dxa" w:w="100"/>
              <w:bottom w:type="dxa" w:w="60"/>
              <w:right w:type="dxa" w:w="100"/>
            </w:tcMar>
          </w:tcPr>
          <w:p>
            <w:pPr>
              <w:jc w:val="left"/>
            </w:pPr>
            <w:r>
              <w:rPr>
                <w:b w:val="false"/>
                <w:bCs w:val="false"/>
                <w:sz w:val="18"/>
                <w:szCs w:val="18"/>
              </w:rPr>
              <w:t xml:space="preserve">—</w:t>
            </w:r>
          </w:p>
        </w:tc>
        <w:tc>
          <w:tcPr>
            <w:tcW w:type="dxa" w:w="2900"/>
            <w:tcMar>
              <w:top w:type="dxa" w:w="60"/>
              <w:left w:type="dxa" w:w="100"/>
              <w:bottom w:type="dxa" w:w="60"/>
              <w:right w:type="dxa" w:w="100"/>
            </w:tcMar>
          </w:tcPr>
          <w:p>
            <w:pPr>
              <w:jc w:val="left"/>
            </w:pPr>
            <w:r>
              <w:rPr>
                <w:b w:val="false"/>
                <w:bCs w:val="false"/>
                <w:sz w:val="18"/>
                <w:szCs w:val="18"/>
              </w:rPr>
              <w:t xml:space="preserve">(as stated in source document)</w:t>
            </w:r>
          </w:p>
        </w:tc>
        <w:tc>
          <w:tcPr>
            <w:tcW w:type="dxa" w:w="1790"/>
            <w:tcMar>
              <w:top w:type="dxa" w:w="60"/>
              <w:left w:type="dxa" w:w="100"/>
              <w:bottom w:type="dxa" w:w="60"/>
              <w:right w:type="dxa" w:w="100"/>
            </w:tcMar>
          </w:tcPr>
          <w:p>
            <w:pPr>
              <w:jc w:val="left"/>
            </w:pPr>
            <w:r>
              <w:rPr>
                <w:b w:val="false"/>
                <w:bCs w:val="false"/>
                <w:sz w:val="18"/>
                <w:szCs w:val="18"/>
              </w:rPr>
              <w:t xml:space="preserve">LIT-MENTIONED</w:t>
            </w:r>
          </w:p>
        </w:tc>
      </w:tr>
    </w:tbl>
    <w:p>
      <w:pPr>
        <w:spacing w:after="120"/>
      </w:pPr>
      <w:r>
        <w:t xml:space="preserve">The experimental 1093.2 cm⁻¹ peak falls within the only band the source document marks LIT-CONFIRMED — the 1080–1095 cm⁻¹ phosphodiester (PO₂⁻ symmetric stretch) region — and also has DFT support (1105.9 cm⁻¹, Δ = 12.7 cm⁻¹). No other experimental peak falls within 15 cm⁻¹ of a cited literature band.</w:t>
      </w:r>
    </w:p>
    <w:p>
      <w:pPr>
        <w:pBdr>
          <w:left w:val="single" w:color="C0504D" w:sz="18" w:space="8"/>
        </w:pBdr>
        <w:spacing w:after="200" w:before="120"/>
        <w:ind w:left="200"/>
      </w:pPr>
      <w:r>
        <w:rPr>
          <w:i/>
          <w:iCs/>
        </w:rPr>
        <w:t xml:space="preserve">Per the requirement not to overstate literature specificity: the source document does not state, for each cited reference, whether the underlying Raman/SERS measurement was performed on purified LTA or on whole bacterial cells / a cell-wall mixture. This sample-type distinction could not be independently verified within the scope of this review and is reported here as an open point, not resolved by assumption.</w:t>
      </w:r>
    </w:p>
    <w:p>
      <w:r>
        <w:br w:type="page"/>
      </w:r>
    </w:p>
    <w:p>
      <w:pPr>
        <w:pStyle w:val="Heading1"/>
        <w:spacing w:after="160" w:before="360"/>
      </w:pPr>
      <w:r>
        <w:t xml:space="preserve">5. High-Confidence Reference-Band Selection</w:t>
      </w:r>
    </w:p>
    <w:p>
      <w:pPr>
        <w:spacing w:after="120"/>
      </w:pPr>
      <w:r>
        <w:t xml:space="preserve">Each of the 7 experimental peaks is classified below using all evidence collected so far — reproducibility (Section 1), DFT correspondence (Section 3), literature support (Section 4), and SERS/blank evidence (Sections 6–7, summarized here). No band is rated on a single line of evidence alone.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70"/>
        <w:gridCol w:w="1541"/>
        <w:gridCol w:w="1681"/>
        <w:gridCol w:w="1541"/>
        <w:gridCol w:w="1681"/>
        <w:gridCol w:w="1541"/>
        <w:gridCol w:w="1685"/>
      </w:tblGrid>
      <w:tr>
        <w:trPr>
          <w:tblHeader/>
        </w:trPr>
        <w:tc>
          <w:tcPr>
            <w:tcW w:type="dxa" w:w="770"/>
            <w:shd w:fill="1F4E5F" w:val="clear"/>
            <w:tcMar>
              <w:top w:type="dxa" w:w="60"/>
              <w:left w:type="dxa" w:w="100"/>
              <w:bottom w:type="dxa" w:w="60"/>
              <w:right w:type="dxa" w:w="100"/>
            </w:tcMar>
          </w:tcPr>
          <w:p>
            <w:pPr>
              <w:jc w:val="left"/>
            </w:pPr>
            <w:r>
              <w:rPr>
                <w:b/>
                <w:bCs/>
                <w:color w:val="FFFFFF"/>
                <w:sz w:val="18"/>
                <w:szCs w:val="18"/>
              </w:rPr>
              <w:t xml:space="preserve">Peak</w:t>
            </w:r>
          </w:p>
        </w:tc>
        <w:tc>
          <w:tcPr>
            <w:tcW w:type="dxa" w:w="1541"/>
            <w:shd w:fill="1F4E5F" w:val="clear"/>
            <w:tcMar>
              <w:top w:type="dxa" w:w="60"/>
              <w:left w:type="dxa" w:w="100"/>
              <w:bottom w:type="dxa" w:w="60"/>
              <w:right w:type="dxa" w:w="100"/>
            </w:tcMar>
          </w:tcPr>
          <w:p>
            <w:pPr>
              <w:jc w:val="left"/>
            </w:pPr>
            <w:r>
              <w:rPr>
                <w:b/>
                <w:bCs/>
                <w:color w:val="FFFFFF"/>
                <w:sz w:val="18"/>
                <w:szCs w:val="18"/>
              </w:rPr>
              <w:t xml:space="preserve">Powder reproducibility</w:t>
            </w:r>
          </w:p>
        </w:tc>
        <w:tc>
          <w:tcPr>
            <w:tcW w:type="dxa" w:w="1681"/>
            <w:shd w:fill="1F4E5F" w:val="clear"/>
            <w:tcMar>
              <w:top w:type="dxa" w:w="60"/>
              <w:left w:type="dxa" w:w="100"/>
              <w:bottom w:type="dxa" w:w="60"/>
              <w:right w:type="dxa" w:w="100"/>
            </w:tcMar>
          </w:tcPr>
          <w:p>
            <w:pPr>
              <w:jc w:val="left"/>
            </w:pPr>
            <w:r>
              <w:rPr>
                <w:b/>
                <w:bCs/>
                <w:color w:val="FFFFFF"/>
                <w:sz w:val="18"/>
                <w:szCs w:val="18"/>
              </w:rPr>
              <w:t xml:space="preserve">DFT support</w:t>
            </w:r>
          </w:p>
        </w:tc>
        <w:tc>
          <w:tcPr>
            <w:tcW w:type="dxa" w:w="1541"/>
            <w:shd w:fill="1F4E5F" w:val="clear"/>
            <w:tcMar>
              <w:top w:type="dxa" w:w="60"/>
              <w:left w:type="dxa" w:w="100"/>
              <w:bottom w:type="dxa" w:w="60"/>
              <w:right w:type="dxa" w:w="100"/>
            </w:tcMar>
          </w:tcPr>
          <w:p>
            <w:pPr>
              <w:jc w:val="left"/>
            </w:pPr>
            <w:r>
              <w:rPr>
                <w:b/>
                <w:bCs/>
                <w:color w:val="FFFFFF"/>
                <w:sz w:val="18"/>
                <w:szCs w:val="18"/>
              </w:rPr>
              <w:t xml:space="preserve">Literature support</w:t>
            </w:r>
          </w:p>
        </w:tc>
        <w:tc>
          <w:tcPr>
            <w:tcW w:type="dxa" w:w="1681"/>
            <w:shd w:fill="1F4E5F" w:val="clear"/>
            <w:tcMar>
              <w:top w:type="dxa" w:w="60"/>
              <w:left w:type="dxa" w:w="100"/>
              <w:bottom w:type="dxa" w:w="60"/>
              <w:right w:type="dxa" w:w="100"/>
            </w:tcMar>
          </w:tcPr>
          <w:p>
            <w:pPr>
              <w:jc w:val="left"/>
            </w:pPr>
            <w:r>
              <w:rPr>
                <w:b/>
                <w:bCs/>
                <w:color w:val="FFFFFF"/>
                <w:sz w:val="18"/>
                <w:szCs w:val="18"/>
              </w:rPr>
              <w:t xml:space="preserve">SERS evidence</w:t>
            </w:r>
          </w:p>
        </w:tc>
        <w:tc>
          <w:tcPr>
            <w:tcW w:type="dxa" w:w="1541"/>
            <w:shd w:fill="1F4E5F" w:val="clear"/>
            <w:tcMar>
              <w:top w:type="dxa" w:w="60"/>
              <w:left w:type="dxa" w:w="100"/>
              <w:bottom w:type="dxa" w:w="60"/>
              <w:right w:type="dxa" w:w="100"/>
            </w:tcMar>
          </w:tcPr>
          <w:p>
            <w:pPr>
              <w:jc w:val="left"/>
            </w:pPr>
            <w:r>
              <w:rPr>
                <w:b/>
                <w:bCs/>
                <w:color w:val="FFFFFF"/>
                <w:sz w:val="18"/>
                <w:szCs w:val="18"/>
              </w:rPr>
              <w:t xml:space="preserve">Blank evidence</w:t>
            </w:r>
          </w:p>
        </w:tc>
        <w:tc>
          <w:tcPr>
            <w:tcW w:type="dxa" w:w="1685"/>
            <w:shd w:fill="1F4E5F" w:val="clear"/>
            <w:tcMar>
              <w:top w:type="dxa" w:w="60"/>
              <w:left w:type="dxa" w:w="100"/>
              <w:bottom w:type="dxa" w:w="60"/>
              <w:right w:type="dxa" w:w="100"/>
            </w:tcMar>
          </w:tcPr>
          <w:p>
            <w:pPr>
              <w:jc w:val="left"/>
            </w:pPr>
            <w:r>
              <w:rPr>
                <w:b/>
                <w:bCs/>
                <w:color w:val="FFFFFF"/>
                <w:sz w:val="18"/>
                <w:szCs w:val="18"/>
              </w:rPr>
              <w:t xml:space="preserve">Overall confidence</w:t>
            </w:r>
          </w:p>
        </w:tc>
      </w:tr>
      <w:tr>
        <w:tc>
          <w:tcPr>
            <w:tcW w:type="dxa" w:w="770"/>
            <w:tcMar>
              <w:top w:type="dxa" w:w="60"/>
              <w:left w:type="dxa" w:w="100"/>
              <w:bottom w:type="dxa" w:w="60"/>
              <w:right w:type="dxa" w:w="100"/>
            </w:tcMar>
          </w:tcPr>
          <w:p>
            <w:pPr>
              <w:jc w:val="left"/>
            </w:pPr>
            <w:r>
              <w:rPr>
                <w:b w:val="false"/>
                <w:bCs w:val="false"/>
                <w:sz w:val="18"/>
                <w:szCs w:val="18"/>
              </w:rPr>
              <w:t xml:space="preserve">620.1</w:t>
            </w:r>
          </w:p>
        </w:tc>
        <w:tc>
          <w:tcPr>
            <w:tcW w:type="dxa" w:w="1541"/>
            <w:tcMar>
              <w:top w:type="dxa" w:w="60"/>
              <w:left w:type="dxa" w:w="100"/>
              <w:bottom w:type="dxa" w:w="60"/>
              <w:right w:type="dxa" w:w="100"/>
            </w:tcMar>
          </w:tcPr>
          <w:p>
            <w:pPr>
              <w:jc w:val="left"/>
            </w:pPr>
            <w:r>
              <w:rPr>
                <w:b w:val="false"/>
                <w:bCs w:val="false"/>
                <w:sz w:val="18"/>
                <w:szCs w:val="18"/>
              </w:rPr>
              <w:t xml:space="preserve">position std 0.83 cm⁻¹, CV 10.68%, 12/12 spots</w:t>
            </w:r>
          </w:p>
        </w:tc>
        <w:tc>
          <w:tcPr>
            <w:tcW w:type="dxa" w:w="1681"/>
            <w:tcMar>
              <w:top w:type="dxa" w:w="60"/>
              <w:left w:type="dxa" w:w="100"/>
              <w:bottom w:type="dxa" w:w="60"/>
              <w:right w:type="dxa" w:w="100"/>
            </w:tcMar>
          </w:tcPr>
          <w:p>
            <w:pPr>
              <w:jc w:val="left"/>
            </w:pPr>
            <w:r>
              <w:rPr>
                <w:b w:val="false"/>
                <w:bCs w:val="false"/>
                <w:sz w:val="18"/>
                <w:szCs w:val="18"/>
              </w:rPr>
              <w:t xml:space="preserve">Yes (Δ=5.8 cm⁻¹, Glycerol-phosphate)</w:t>
            </w:r>
          </w:p>
        </w:tc>
        <w:tc>
          <w:tcPr>
            <w:tcW w:type="dxa" w:w="1541"/>
            <w:tcMar>
              <w:top w:type="dxa" w:w="60"/>
              <w:left w:type="dxa" w:w="100"/>
              <w:bottom w:type="dxa" w:w="60"/>
              <w:right w:type="dxa" w:w="100"/>
            </w:tcMar>
          </w:tcPr>
          <w:p>
            <w:pPr>
              <w:jc w:val="left"/>
            </w:pPr>
            <w:r>
              <w:rPr>
                <w:b w:val="false"/>
                <w:bCs w:val="false"/>
                <w:sz w:val="18"/>
                <w:szCs w:val="18"/>
              </w:rPr>
              <w:t xml:space="preserve">None found within tolerance</w:t>
            </w:r>
          </w:p>
        </w:tc>
        <w:tc>
          <w:tcPr>
            <w:tcW w:type="dxa" w:w="1681"/>
            <w:tcMar>
              <w:top w:type="dxa" w:w="60"/>
              <w:left w:type="dxa" w:w="100"/>
              <w:bottom w:type="dxa" w:w="60"/>
              <w:right w:type="dxa" w:w="100"/>
            </w:tcMar>
          </w:tcPr>
          <w:p>
            <w:pPr>
              <w:jc w:val="left"/>
            </w:pPr>
            <w:r>
              <w:rPr>
                <w:b w:val="false"/>
                <w:bCs w:val="false"/>
                <w:sz w:val="18"/>
                <w:szCs w:val="18"/>
              </w:rPr>
              <w:t xml:space="preserve">No SERS peak within tolerance (nearest 650.5 cm⁻¹, Δ=30.4)</w:t>
            </w:r>
          </w:p>
        </w:tc>
        <w:tc>
          <w:tcPr>
            <w:tcW w:type="dxa" w:w="1541"/>
            <w:tcMar>
              <w:top w:type="dxa" w:w="60"/>
              <w:left w:type="dxa" w:w="100"/>
              <w:bottom w:type="dxa" w:w="60"/>
              <w:right w:type="dxa" w:w="100"/>
            </w:tcMar>
          </w:tcPr>
          <w:p>
            <w:pPr>
              <w:jc w:val="left"/>
            </w:pPr>
            <w:r>
              <w:rPr>
                <w:b w:val="false"/>
                <w:bCs w:val="false"/>
                <w:sz w:val="18"/>
                <w:szCs w:val="18"/>
              </w:rPr>
              <w:t xml:space="preserve">Not testable at this position</w:t>
            </w:r>
          </w:p>
        </w:tc>
        <w:tc>
          <w:tcPr>
            <w:tcW w:type="dxa" w:w="1685"/>
            <w:tcMar>
              <w:top w:type="dxa" w:w="60"/>
              <w:left w:type="dxa" w:w="100"/>
              <w:bottom w:type="dxa" w:w="60"/>
              <w:right w:type="dxa" w:w="100"/>
            </w:tcMar>
          </w:tcPr>
          <w:p>
            <w:pPr>
              <w:jc w:val="left"/>
            </w:pPr>
            <w:r>
              <w:rPr>
                <w:b w:val="false"/>
                <w:bCs w:val="false"/>
                <w:sz w:val="18"/>
                <w:szCs w:val="18"/>
              </w:rPr>
              <w:t xml:space="preserve">Low-Moderate (DFT+Powder only)</w:t>
            </w:r>
          </w:p>
        </w:tc>
      </w:tr>
      <w:tr>
        <w:tc>
          <w:tcPr>
            <w:tcW w:type="dxa" w:w="770"/>
            <w:shd w:fill="F2F2F2" w:val="clear"/>
            <w:tcMar>
              <w:top w:type="dxa" w:w="60"/>
              <w:left w:type="dxa" w:w="100"/>
              <w:bottom w:type="dxa" w:w="60"/>
              <w:right w:type="dxa" w:w="100"/>
            </w:tcMar>
          </w:tcPr>
          <w:p>
            <w:pPr>
              <w:jc w:val="left"/>
            </w:pPr>
            <w:r>
              <w:rPr>
                <w:b w:val="false"/>
                <w:bCs w:val="false"/>
                <w:sz w:val="18"/>
                <w:szCs w:val="18"/>
              </w:rPr>
              <w:t xml:space="preserve">794.5</w:t>
            </w:r>
          </w:p>
        </w:tc>
        <w:tc>
          <w:tcPr>
            <w:tcW w:type="dxa" w:w="1541"/>
            <w:shd w:fill="F2F2F2" w:val="clear"/>
            <w:tcMar>
              <w:top w:type="dxa" w:w="60"/>
              <w:left w:type="dxa" w:w="100"/>
              <w:bottom w:type="dxa" w:w="60"/>
              <w:right w:type="dxa" w:w="100"/>
            </w:tcMar>
          </w:tcPr>
          <w:p>
            <w:pPr>
              <w:jc w:val="left"/>
            </w:pPr>
            <w:r>
              <w:rPr>
                <w:b w:val="false"/>
                <w:bCs w:val="false"/>
                <w:sz w:val="18"/>
                <w:szCs w:val="18"/>
              </w:rPr>
              <w:t xml:space="preserve">position std 0.94 cm⁻¹, CV 7.79%, 12/12 spots</w:t>
            </w:r>
          </w:p>
        </w:tc>
        <w:tc>
          <w:tcPr>
            <w:tcW w:type="dxa" w:w="1681"/>
            <w:shd w:fill="F2F2F2" w:val="clear"/>
            <w:tcMar>
              <w:top w:type="dxa" w:w="60"/>
              <w:left w:type="dxa" w:w="100"/>
              <w:bottom w:type="dxa" w:w="60"/>
              <w:right w:type="dxa" w:w="100"/>
            </w:tcMar>
          </w:tcPr>
          <w:p>
            <w:pPr>
              <w:jc w:val="left"/>
            </w:pPr>
            <w:r>
              <w:rPr>
                <w:b w:val="false"/>
                <w:bCs w:val="false"/>
                <w:sz w:val="18"/>
                <w:szCs w:val="18"/>
              </w:rPr>
              <w:t xml:space="preserve">No (nearest Δ=21.5 cm⁻¹, outside 15 cm⁻¹ tolerance)</w:t>
            </w:r>
          </w:p>
        </w:tc>
        <w:tc>
          <w:tcPr>
            <w:tcW w:type="dxa" w:w="1541"/>
            <w:shd w:fill="F2F2F2" w:val="clear"/>
            <w:tcMar>
              <w:top w:type="dxa" w:w="60"/>
              <w:left w:type="dxa" w:w="100"/>
              <w:bottom w:type="dxa" w:w="60"/>
              <w:right w:type="dxa" w:w="100"/>
            </w:tcMar>
          </w:tcPr>
          <w:p>
            <w:pPr>
              <w:jc w:val="left"/>
            </w:pPr>
            <w:r>
              <w:rPr>
                <w:b w:val="false"/>
                <w:bCs w:val="false"/>
                <w:sz w:val="18"/>
                <w:szCs w:val="18"/>
              </w:rPr>
              <w:t xml:space="preserve">None found within tolerance</w:t>
            </w:r>
          </w:p>
        </w:tc>
        <w:tc>
          <w:tcPr>
            <w:tcW w:type="dxa" w:w="1681"/>
            <w:shd w:fill="F2F2F2" w:val="clear"/>
            <w:tcMar>
              <w:top w:type="dxa" w:w="60"/>
              <w:left w:type="dxa" w:w="100"/>
              <w:bottom w:type="dxa" w:w="60"/>
              <w:right w:type="dxa" w:w="100"/>
            </w:tcMar>
          </w:tcPr>
          <w:p>
            <w:pPr>
              <w:jc w:val="left"/>
            </w:pPr>
            <w:r>
              <w:rPr>
                <w:b w:val="false"/>
                <w:bCs w:val="false"/>
                <w:sz w:val="18"/>
                <w:szCs w:val="18"/>
              </w:rPr>
              <w:t xml:space="preserve">Peak at 781.2 cm⁻¹ (Δ=13.3 cm⁻¹)</w:t>
            </w:r>
          </w:p>
        </w:tc>
        <w:tc>
          <w:tcPr>
            <w:tcW w:type="dxa" w:w="1541"/>
            <w:shd w:fill="F2F2F2" w:val="clear"/>
            <w:tcMar>
              <w:top w:type="dxa" w:w="60"/>
              <w:left w:type="dxa" w:w="100"/>
              <w:bottom w:type="dxa" w:w="60"/>
              <w:right w:type="dxa" w:w="100"/>
            </w:tcMar>
          </w:tcPr>
          <w:p>
            <w:pPr>
              <w:jc w:val="left"/>
            </w:pPr>
            <w:r>
              <w:rPr>
                <w:b w:val="false"/>
                <w:bCs w:val="false"/>
                <w:sz w:val="18"/>
                <w:szCs w:val="18"/>
              </w:rPr>
              <w:t xml:space="preserve">Present in blank → substrate artifact</w:t>
            </w:r>
          </w:p>
        </w:tc>
        <w:tc>
          <w:tcPr>
            <w:tcW w:type="dxa" w:w="1685"/>
            <w:shd w:fill="F2F2F2" w:val="clear"/>
            <w:tcMar>
              <w:top w:type="dxa" w:w="60"/>
              <w:left w:type="dxa" w:w="100"/>
              <w:bottom w:type="dxa" w:w="60"/>
              <w:right w:type="dxa" w:w="100"/>
            </w:tcMar>
          </w:tcPr>
          <w:p>
            <w:pPr>
              <w:jc w:val="left"/>
            </w:pPr>
            <w:r>
              <w:rPr>
                <w:b w:val="false"/>
                <w:bCs w:val="false"/>
                <w:sz w:val="18"/>
                <w:szCs w:val="18"/>
              </w:rPr>
              <w:t xml:space="preserve">Unconfirmed (no DFT support within tolerance)</w:t>
            </w:r>
          </w:p>
        </w:tc>
      </w:tr>
      <w:tr>
        <w:tc>
          <w:tcPr>
            <w:tcW w:type="dxa" w:w="770"/>
            <w:tcMar>
              <w:top w:type="dxa" w:w="60"/>
              <w:left w:type="dxa" w:w="100"/>
              <w:bottom w:type="dxa" w:w="60"/>
              <w:right w:type="dxa" w:w="100"/>
            </w:tcMar>
          </w:tcPr>
          <w:p>
            <w:pPr>
              <w:jc w:val="left"/>
            </w:pPr>
            <w:r>
              <w:rPr>
                <w:b w:val="false"/>
                <w:bCs w:val="false"/>
                <w:sz w:val="18"/>
                <w:szCs w:val="18"/>
              </w:rPr>
              <w:t xml:space="preserve">999.9</w:t>
            </w:r>
          </w:p>
        </w:tc>
        <w:tc>
          <w:tcPr>
            <w:tcW w:type="dxa" w:w="1541"/>
            <w:tcMar>
              <w:top w:type="dxa" w:w="60"/>
              <w:left w:type="dxa" w:w="100"/>
              <w:bottom w:type="dxa" w:w="60"/>
              <w:right w:type="dxa" w:w="100"/>
            </w:tcMar>
          </w:tcPr>
          <w:p>
            <w:pPr>
              <w:jc w:val="left"/>
            </w:pPr>
            <w:r>
              <w:rPr>
                <w:b w:val="false"/>
                <w:bCs w:val="false"/>
                <w:sz w:val="18"/>
                <w:szCs w:val="18"/>
              </w:rPr>
              <w:t xml:space="preserve">position std 0.45 cm⁻¹, CV 19.88%, 12/12 spots</w:t>
            </w:r>
          </w:p>
        </w:tc>
        <w:tc>
          <w:tcPr>
            <w:tcW w:type="dxa" w:w="1681"/>
            <w:tcMar>
              <w:top w:type="dxa" w:w="60"/>
              <w:left w:type="dxa" w:w="100"/>
              <w:bottom w:type="dxa" w:w="60"/>
              <w:right w:type="dxa" w:w="100"/>
            </w:tcMar>
          </w:tcPr>
          <w:p>
            <w:pPr>
              <w:jc w:val="left"/>
            </w:pPr>
            <w:r>
              <w:rPr>
                <w:b w:val="false"/>
                <w:bCs w:val="false"/>
                <w:sz w:val="18"/>
                <w:szCs w:val="18"/>
              </w:rPr>
              <w:t xml:space="preserve">Yes (Δ=9.2 cm⁻¹, D-Alanine)</w:t>
            </w:r>
          </w:p>
        </w:tc>
        <w:tc>
          <w:tcPr>
            <w:tcW w:type="dxa" w:w="1541"/>
            <w:tcMar>
              <w:top w:type="dxa" w:w="60"/>
              <w:left w:type="dxa" w:w="100"/>
              <w:bottom w:type="dxa" w:w="60"/>
              <w:right w:type="dxa" w:w="100"/>
            </w:tcMar>
          </w:tcPr>
          <w:p>
            <w:pPr>
              <w:jc w:val="left"/>
            </w:pPr>
            <w:r>
              <w:rPr>
                <w:b w:val="false"/>
                <w:bCs w:val="false"/>
                <w:sz w:val="18"/>
                <w:szCs w:val="18"/>
              </w:rPr>
              <w:t xml:space="preserve">None found within tolerance</w:t>
            </w:r>
          </w:p>
        </w:tc>
        <w:tc>
          <w:tcPr>
            <w:tcW w:type="dxa" w:w="1681"/>
            <w:tcMar>
              <w:top w:type="dxa" w:w="60"/>
              <w:left w:type="dxa" w:w="100"/>
              <w:bottom w:type="dxa" w:w="60"/>
              <w:right w:type="dxa" w:w="100"/>
            </w:tcMar>
          </w:tcPr>
          <w:p>
            <w:pPr>
              <w:jc w:val="left"/>
            </w:pPr>
            <w:r>
              <w:rPr>
                <w:b w:val="false"/>
                <w:bCs w:val="false"/>
                <w:sz w:val="18"/>
                <w:szCs w:val="18"/>
              </w:rPr>
              <w:t xml:space="preserve">No SERS peak within tolerance (nearest 1035.2 cm⁻¹, Δ=35.3)</w:t>
            </w:r>
          </w:p>
        </w:tc>
        <w:tc>
          <w:tcPr>
            <w:tcW w:type="dxa" w:w="1541"/>
            <w:tcMar>
              <w:top w:type="dxa" w:w="60"/>
              <w:left w:type="dxa" w:w="100"/>
              <w:bottom w:type="dxa" w:w="60"/>
              <w:right w:type="dxa" w:w="100"/>
            </w:tcMar>
          </w:tcPr>
          <w:p>
            <w:pPr>
              <w:jc w:val="left"/>
            </w:pPr>
            <w:r>
              <w:rPr>
                <w:b w:val="false"/>
                <w:bCs w:val="false"/>
                <w:sz w:val="18"/>
                <w:szCs w:val="18"/>
              </w:rPr>
              <w:t xml:space="preserve">Not testable at this position</w:t>
            </w:r>
          </w:p>
        </w:tc>
        <w:tc>
          <w:tcPr>
            <w:tcW w:type="dxa" w:w="1685"/>
            <w:tcMar>
              <w:top w:type="dxa" w:w="60"/>
              <w:left w:type="dxa" w:w="100"/>
              <w:bottom w:type="dxa" w:w="60"/>
              <w:right w:type="dxa" w:w="100"/>
            </w:tcMar>
          </w:tcPr>
          <w:p>
            <w:pPr>
              <w:jc w:val="left"/>
            </w:pPr>
            <w:r>
              <w:rPr>
                <w:b w:val="false"/>
                <w:bCs w:val="false"/>
                <w:sz w:val="18"/>
                <w:szCs w:val="18"/>
              </w:rPr>
              <w:t xml:space="preserve">Low-Moderate (DFT+Powder only)</w:t>
            </w:r>
          </w:p>
        </w:tc>
      </w:tr>
      <w:tr>
        <w:tc>
          <w:tcPr>
            <w:tcW w:type="dxa" w:w="770"/>
            <w:shd w:fill="F2F2F2" w:val="clear"/>
            <w:tcMar>
              <w:top w:type="dxa" w:w="60"/>
              <w:left w:type="dxa" w:w="100"/>
              <w:bottom w:type="dxa" w:w="60"/>
              <w:right w:type="dxa" w:w="100"/>
            </w:tcMar>
          </w:tcPr>
          <w:p>
            <w:pPr>
              <w:jc w:val="left"/>
            </w:pPr>
            <w:r>
              <w:rPr>
                <w:b w:val="false"/>
                <w:bCs w:val="false"/>
                <w:sz w:val="18"/>
                <w:szCs w:val="18"/>
              </w:rPr>
              <w:t xml:space="preserve">1093.2</w:t>
            </w:r>
          </w:p>
        </w:tc>
        <w:tc>
          <w:tcPr>
            <w:tcW w:type="dxa" w:w="1541"/>
            <w:shd w:fill="F2F2F2" w:val="clear"/>
            <w:tcMar>
              <w:top w:type="dxa" w:w="60"/>
              <w:left w:type="dxa" w:w="100"/>
              <w:bottom w:type="dxa" w:w="60"/>
              <w:right w:type="dxa" w:w="100"/>
            </w:tcMar>
          </w:tcPr>
          <w:p>
            <w:pPr>
              <w:jc w:val="left"/>
            </w:pPr>
            <w:r>
              <w:rPr>
                <w:b w:val="false"/>
                <w:bCs w:val="false"/>
                <w:sz w:val="18"/>
                <w:szCs w:val="18"/>
              </w:rPr>
              <w:t xml:space="preserve">position std 1.95 cm⁻¹, CV 37.52%, 11/12 spots</w:t>
            </w:r>
          </w:p>
        </w:tc>
        <w:tc>
          <w:tcPr>
            <w:tcW w:type="dxa" w:w="1681"/>
            <w:shd w:fill="F2F2F2" w:val="clear"/>
            <w:tcMar>
              <w:top w:type="dxa" w:w="60"/>
              <w:left w:type="dxa" w:w="100"/>
              <w:bottom w:type="dxa" w:w="60"/>
              <w:right w:type="dxa" w:w="100"/>
            </w:tcMar>
          </w:tcPr>
          <w:p>
            <w:pPr>
              <w:jc w:val="left"/>
            </w:pPr>
            <w:r>
              <w:rPr>
                <w:b w:val="false"/>
                <w:bCs w:val="false"/>
                <w:sz w:val="18"/>
                <w:szCs w:val="18"/>
              </w:rPr>
              <w:t xml:space="preserve">Yes (Δ=12.7 cm⁻¹, GlcNAc (N-acetyl-D-glucosamine))</w:t>
            </w:r>
          </w:p>
        </w:tc>
        <w:tc>
          <w:tcPr>
            <w:tcW w:type="dxa" w:w="1541"/>
            <w:shd w:fill="F2F2F2" w:val="clear"/>
            <w:tcMar>
              <w:top w:type="dxa" w:w="60"/>
              <w:left w:type="dxa" w:w="100"/>
              <w:bottom w:type="dxa" w:w="60"/>
              <w:right w:type="dxa" w:w="100"/>
            </w:tcMar>
          </w:tcPr>
          <w:p>
            <w:pPr>
              <w:jc w:val="left"/>
            </w:pPr>
            <w:r>
              <w:rPr>
                <w:b w:val="false"/>
                <w:bCs w:val="false"/>
                <w:sz w:val="18"/>
                <w:szCs w:val="18"/>
              </w:rPr>
              <w:t xml:space="preserve">Yes (LIT-CONFIRMED, within 1080-1095 cm⁻¹)</w:t>
            </w:r>
          </w:p>
        </w:tc>
        <w:tc>
          <w:tcPr>
            <w:tcW w:type="dxa" w:w="1681"/>
            <w:shd w:fill="F2F2F2" w:val="clear"/>
            <w:tcMar>
              <w:top w:type="dxa" w:w="60"/>
              <w:left w:type="dxa" w:w="100"/>
              <w:bottom w:type="dxa" w:w="60"/>
              <w:right w:type="dxa" w:w="100"/>
            </w:tcMar>
          </w:tcPr>
          <w:p>
            <w:pPr>
              <w:jc w:val="left"/>
            </w:pPr>
            <w:r>
              <w:rPr>
                <w:b w:val="false"/>
                <w:bCs w:val="false"/>
                <w:sz w:val="18"/>
                <w:szCs w:val="18"/>
              </w:rPr>
              <w:t xml:space="preserve">No SERS peak within tolerance (nearest 1133.5 cm⁻¹, Δ=40.3)</w:t>
            </w:r>
          </w:p>
        </w:tc>
        <w:tc>
          <w:tcPr>
            <w:tcW w:type="dxa" w:w="1541"/>
            <w:shd w:fill="F2F2F2" w:val="clear"/>
            <w:tcMar>
              <w:top w:type="dxa" w:w="60"/>
              <w:left w:type="dxa" w:w="100"/>
              <w:bottom w:type="dxa" w:w="60"/>
              <w:right w:type="dxa" w:w="100"/>
            </w:tcMar>
          </w:tcPr>
          <w:p>
            <w:pPr>
              <w:jc w:val="left"/>
            </w:pPr>
            <w:r>
              <w:rPr>
                <w:b w:val="false"/>
                <w:bCs w:val="false"/>
                <w:sz w:val="18"/>
                <w:szCs w:val="18"/>
              </w:rPr>
              <w:t xml:space="preserve">Not testable at this position</w:t>
            </w:r>
          </w:p>
        </w:tc>
        <w:tc>
          <w:tcPr>
            <w:tcW w:type="dxa" w:w="1685"/>
            <w:shd w:fill="F2F2F2" w:val="clear"/>
            <w:tcMar>
              <w:top w:type="dxa" w:w="60"/>
              <w:left w:type="dxa" w:w="100"/>
              <w:bottom w:type="dxa" w:w="60"/>
              <w:right w:type="dxa" w:w="100"/>
            </w:tcMar>
          </w:tcPr>
          <w:p>
            <w:pPr>
              <w:jc w:val="left"/>
            </w:pPr>
            <w:r>
              <w:rPr>
                <w:b w:val="false"/>
                <w:bCs w:val="false"/>
                <w:sz w:val="18"/>
                <w:szCs w:val="18"/>
              </w:rPr>
              <w:t xml:space="preserve">Moderate (DFT+Powder+Literature converge; SERS unconfirmed)</w:t>
            </w:r>
          </w:p>
        </w:tc>
      </w:tr>
      <w:tr>
        <w:tc>
          <w:tcPr>
            <w:tcW w:type="dxa" w:w="770"/>
            <w:tcMar>
              <w:top w:type="dxa" w:w="60"/>
              <w:left w:type="dxa" w:w="100"/>
              <w:bottom w:type="dxa" w:w="60"/>
              <w:right w:type="dxa" w:w="100"/>
            </w:tcMar>
          </w:tcPr>
          <w:p>
            <w:pPr>
              <w:jc w:val="left"/>
            </w:pPr>
            <w:r>
              <w:rPr>
                <w:b w:val="false"/>
                <w:bCs w:val="false"/>
                <w:sz w:val="18"/>
                <w:szCs w:val="18"/>
              </w:rPr>
              <w:t xml:space="preserve">1184.6</w:t>
            </w:r>
          </w:p>
        </w:tc>
        <w:tc>
          <w:tcPr>
            <w:tcW w:type="dxa" w:w="1541"/>
            <w:tcMar>
              <w:top w:type="dxa" w:w="60"/>
              <w:left w:type="dxa" w:w="100"/>
              <w:bottom w:type="dxa" w:w="60"/>
              <w:right w:type="dxa" w:w="100"/>
            </w:tcMar>
          </w:tcPr>
          <w:p>
            <w:pPr>
              <w:jc w:val="left"/>
            </w:pPr>
            <w:r>
              <w:rPr>
                <w:b w:val="false"/>
                <w:bCs w:val="false"/>
                <w:sz w:val="18"/>
                <w:szCs w:val="18"/>
              </w:rPr>
              <w:t xml:space="preserve">position std 1.72 cm⁻¹, CV 13.2%, 11/12 spots</w:t>
            </w:r>
          </w:p>
        </w:tc>
        <w:tc>
          <w:tcPr>
            <w:tcW w:type="dxa" w:w="1681"/>
            <w:tcMar>
              <w:top w:type="dxa" w:w="60"/>
              <w:left w:type="dxa" w:w="100"/>
              <w:bottom w:type="dxa" w:w="60"/>
              <w:right w:type="dxa" w:w="100"/>
            </w:tcMar>
          </w:tcPr>
          <w:p>
            <w:pPr>
              <w:jc w:val="left"/>
            </w:pPr>
            <w:r>
              <w:rPr>
                <w:b w:val="false"/>
                <w:bCs w:val="false"/>
                <w:sz w:val="18"/>
                <w:szCs w:val="18"/>
              </w:rPr>
              <w:t xml:space="preserve">Yes (Δ=5.7 cm⁻¹, Glycerol-phosphate)</w:t>
            </w:r>
          </w:p>
        </w:tc>
        <w:tc>
          <w:tcPr>
            <w:tcW w:type="dxa" w:w="1541"/>
            <w:tcMar>
              <w:top w:type="dxa" w:w="60"/>
              <w:left w:type="dxa" w:w="100"/>
              <w:bottom w:type="dxa" w:w="60"/>
              <w:right w:type="dxa" w:w="100"/>
            </w:tcMar>
          </w:tcPr>
          <w:p>
            <w:pPr>
              <w:jc w:val="left"/>
            </w:pPr>
            <w:r>
              <w:rPr>
                <w:b w:val="false"/>
                <w:bCs w:val="false"/>
                <w:sz w:val="18"/>
                <w:szCs w:val="18"/>
              </w:rPr>
              <w:t xml:space="preserve">None found within tolerance</w:t>
            </w:r>
          </w:p>
        </w:tc>
        <w:tc>
          <w:tcPr>
            <w:tcW w:type="dxa" w:w="1681"/>
            <w:tcMar>
              <w:top w:type="dxa" w:w="60"/>
              <w:left w:type="dxa" w:w="100"/>
              <w:bottom w:type="dxa" w:w="60"/>
              <w:right w:type="dxa" w:w="100"/>
            </w:tcMar>
          </w:tcPr>
          <w:p>
            <w:pPr>
              <w:jc w:val="left"/>
            </w:pPr>
            <w:r>
              <w:rPr>
                <w:b w:val="false"/>
                <w:bCs w:val="false"/>
                <w:sz w:val="18"/>
                <w:szCs w:val="18"/>
              </w:rPr>
              <w:t xml:space="preserve">No SERS peak within tolerance (nearest 1133.5 cm⁻¹, Δ=51.1)</w:t>
            </w:r>
          </w:p>
        </w:tc>
        <w:tc>
          <w:tcPr>
            <w:tcW w:type="dxa" w:w="1541"/>
            <w:tcMar>
              <w:top w:type="dxa" w:w="60"/>
              <w:left w:type="dxa" w:w="100"/>
              <w:bottom w:type="dxa" w:w="60"/>
              <w:right w:type="dxa" w:w="100"/>
            </w:tcMar>
          </w:tcPr>
          <w:p>
            <w:pPr>
              <w:jc w:val="left"/>
            </w:pPr>
            <w:r>
              <w:rPr>
                <w:b w:val="false"/>
                <w:bCs w:val="false"/>
                <w:sz w:val="18"/>
                <w:szCs w:val="18"/>
              </w:rPr>
              <w:t xml:space="preserve">Not testable at this position</w:t>
            </w:r>
          </w:p>
        </w:tc>
        <w:tc>
          <w:tcPr>
            <w:tcW w:type="dxa" w:w="1685"/>
            <w:tcMar>
              <w:top w:type="dxa" w:w="60"/>
              <w:left w:type="dxa" w:w="100"/>
              <w:bottom w:type="dxa" w:w="60"/>
              <w:right w:type="dxa" w:w="100"/>
            </w:tcMar>
          </w:tcPr>
          <w:p>
            <w:pPr>
              <w:jc w:val="left"/>
            </w:pPr>
            <w:r>
              <w:rPr>
                <w:b w:val="false"/>
                <w:bCs w:val="false"/>
                <w:sz w:val="18"/>
                <w:szCs w:val="18"/>
              </w:rPr>
              <w:t xml:space="preserve">Low-Moderate (DFT+Powder only)</w:t>
            </w:r>
          </w:p>
        </w:tc>
      </w:tr>
      <w:tr>
        <w:tc>
          <w:tcPr>
            <w:tcW w:type="dxa" w:w="770"/>
            <w:shd w:fill="F2F2F2" w:val="clear"/>
            <w:tcMar>
              <w:top w:type="dxa" w:w="60"/>
              <w:left w:type="dxa" w:w="100"/>
              <w:bottom w:type="dxa" w:w="60"/>
              <w:right w:type="dxa" w:w="100"/>
            </w:tcMar>
          </w:tcPr>
          <w:p>
            <w:pPr>
              <w:jc w:val="left"/>
            </w:pPr>
            <w:r>
              <w:rPr>
                <w:b w:val="false"/>
                <w:bCs w:val="false"/>
                <w:sz w:val="18"/>
                <w:szCs w:val="18"/>
              </w:rPr>
              <w:t xml:space="preserve">1602.4</w:t>
            </w:r>
          </w:p>
        </w:tc>
        <w:tc>
          <w:tcPr>
            <w:tcW w:type="dxa" w:w="1541"/>
            <w:shd w:fill="F2F2F2" w:val="clear"/>
            <w:tcMar>
              <w:top w:type="dxa" w:w="60"/>
              <w:left w:type="dxa" w:w="100"/>
              <w:bottom w:type="dxa" w:w="60"/>
              <w:right w:type="dxa" w:w="100"/>
            </w:tcMar>
          </w:tcPr>
          <w:p>
            <w:pPr>
              <w:jc w:val="left"/>
            </w:pPr>
            <w:r>
              <w:rPr>
                <w:b w:val="false"/>
                <w:bCs w:val="false"/>
                <w:sz w:val="18"/>
                <w:szCs w:val="18"/>
              </w:rPr>
              <w:t xml:space="preserve">position std 0.61 cm⁻¹, CV 13.24%, 12/12 spots</w:t>
            </w:r>
          </w:p>
        </w:tc>
        <w:tc>
          <w:tcPr>
            <w:tcW w:type="dxa" w:w="1681"/>
            <w:shd w:fill="F2F2F2" w:val="clear"/>
            <w:tcMar>
              <w:top w:type="dxa" w:w="60"/>
              <w:left w:type="dxa" w:w="100"/>
              <w:bottom w:type="dxa" w:w="60"/>
              <w:right w:type="dxa" w:w="100"/>
            </w:tcMar>
          </w:tcPr>
          <w:p>
            <w:pPr>
              <w:jc w:val="left"/>
            </w:pPr>
            <w:r>
              <w:rPr>
                <w:b w:val="false"/>
                <w:bCs w:val="false"/>
                <w:sz w:val="18"/>
                <w:szCs w:val="18"/>
              </w:rPr>
              <w:t xml:space="preserve">Yes (Δ=2.7 cm⁻¹, GlcNAc (N-acetyl-D-glucosamine))</w:t>
            </w:r>
          </w:p>
        </w:tc>
        <w:tc>
          <w:tcPr>
            <w:tcW w:type="dxa" w:w="1541"/>
            <w:shd w:fill="F2F2F2" w:val="clear"/>
            <w:tcMar>
              <w:top w:type="dxa" w:w="60"/>
              <w:left w:type="dxa" w:w="100"/>
              <w:bottom w:type="dxa" w:w="60"/>
              <w:right w:type="dxa" w:w="100"/>
            </w:tcMar>
          </w:tcPr>
          <w:p>
            <w:pPr>
              <w:jc w:val="left"/>
            </w:pPr>
            <w:r>
              <w:rPr>
                <w:b w:val="false"/>
                <w:bCs w:val="false"/>
                <w:sz w:val="18"/>
                <w:szCs w:val="18"/>
              </w:rPr>
              <w:t xml:space="preserve">None found within tolerance</w:t>
            </w:r>
          </w:p>
        </w:tc>
        <w:tc>
          <w:tcPr>
            <w:tcW w:type="dxa" w:w="1681"/>
            <w:shd w:fill="F2F2F2" w:val="clear"/>
            <w:tcMar>
              <w:top w:type="dxa" w:w="60"/>
              <w:left w:type="dxa" w:w="100"/>
              <w:bottom w:type="dxa" w:w="60"/>
              <w:right w:type="dxa" w:w="100"/>
            </w:tcMar>
          </w:tcPr>
          <w:p>
            <w:pPr>
              <w:jc w:val="left"/>
            </w:pPr>
            <w:r>
              <w:rPr>
                <w:b w:val="false"/>
                <w:bCs w:val="false"/>
                <w:sz w:val="18"/>
                <w:szCs w:val="18"/>
              </w:rPr>
              <w:t xml:space="preserve">Peak at 1602.7 cm⁻¹ (Δ=0.3 cm⁻¹)</w:t>
            </w:r>
          </w:p>
        </w:tc>
        <w:tc>
          <w:tcPr>
            <w:tcW w:type="dxa" w:w="1541"/>
            <w:shd w:fill="F2F2F2" w:val="clear"/>
            <w:tcMar>
              <w:top w:type="dxa" w:w="60"/>
              <w:left w:type="dxa" w:w="100"/>
              <w:bottom w:type="dxa" w:w="60"/>
              <w:right w:type="dxa" w:w="100"/>
            </w:tcMar>
          </w:tcPr>
          <w:p>
            <w:pPr>
              <w:jc w:val="left"/>
            </w:pPr>
            <w:r>
              <w:rPr>
                <w:b w:val="false"/>
                <w:bCs w:val="false"/>
                <w:sz w:val="18"/>
                <w:szCs w:val="18"/>
              </w:rPr>
              <w:t xml:space="preserve">Present in blank → substrate artifact</w:t>
            </w:r>
          </w:p>
        </w:tc>
        <w:tc>
          <w:tcPr>
            <w:tcW w:type="dxa" w:w="1685"/>
            <w:shd w:fill="F2F2F2" w:val="clear"/>
            <w:tcMar>
              <w:top w:type="dxa" w:w="60"/>
              <w:left w:type="dxa" w:w="100"/>
              <w:bottom w:type="dxa" w:w="60"/>
              <w:right w:type="dxa" w:w="100"/>
            </w:tcMar>
          </w:tcPr>
          <w:p>
            <w:pPr>
              <w:jc w:val="left"/>
            </w:pPr>
            <w:r>
              <w:rPr>
                <w:b w:val="false"/>
                <w:bCs w:val="false"/>
                <w:sz w:val="18"/>
                <w:szCs w:val="18"/>
              </w:rPr>
              <w:t xml:space="preserve">Flagged: substrate artifact</w:t>
            </w:r>
          </w:p>
        </w:tc>
      </w:tr>
      <w:tr>
        <w:tc>
          <w:tcPr>
            <w:tcW w:type="dxa" w:w="770"/>
            <w:tcMar>
              <w:top w:type="dxa" w:w="60"/>
              <w:left w:type="dxa" w:w="100"/>
              <w:bottom w:type="dxa" w:w="60"/>
              <w:right w:type="dxa" w:w="100"/>
            </w:tcMar>
          </w:tcPr>
          <w:p>
            <w:pPr>
              <w:jc w:val="left"/>
            </w:pPr>
            <w:r>
              <w:rPr>
                <w:b w:val="false"/>
                <w:bCs w:val="false"/>
                <w:sz w:val="18"/>
                <w:szCs w:val="18"/>
              </w:rPr>
              <w:t xml:space="preserve">1784.2</w:t>
            </w:r>
          </w:p>
        </w:tc>
        <w:tc>
          <w:tcPr>
            <w:tcW w:type="dxa" w:w="1541"/>
            <w:tcMar>
              <w:top w:type="dxa" w:w="60"/>
              <w:left w:type="dxa" w:w="100"/>
              <w:bottom w:type="dxa" w:w="60"/>
              <w:right w:type="dxa" w:w="100"/>
            </w:tcMar>
          </w:tcPr>
          <w:p>
            <w:pPr>
              <w:jc w:val="left"/>
            </w:pPr>
            <w:r>
              <w:rPr>
                <w:b w:val="false"/>
                <w:bCs w:val="false"/>
                <w:sz w:val="18"/>
                <w:szCs w:val="18"/>
              </w:rPr>
              <w:t xml:space="preserve">position std 0.0 cm⁻¹, CV 14.86%, 6/12 spots</w:t>
            </w:r>
          </w:p>
        </w:tc>
        <w:tc>
          <w:tcPr>
            <w:tcW w:type="dxa" w:w="1681"/>
            <w:tcMar>
              <w:top w:type="dxa" w:w="60"/>
              <w:left w:type="dxa" w:w="100"/>
              <w:bottom w:type="dxa" w:w="60"/>
              <w:right w:type="dxa" w:w="100"/>
            </w:tcMar>
          </w:tcPr>
          <w:p>
            <w:pPr>
              <w:jc w:val="left"/>
            </w:pPr>
            <w:r>
              <w:rPr>
                <w:b w:val="false"/>
                <w:bCs w:val="false"/>
                <w:sz w:val="18"/>
                <w:szCs w:val="18"/>
              </w:rPr>
              <w:t xml:space="preserve">No (nearest Δ=94.6 cm⁻¹, outside 15 cm⁻¹ tolerance)</w:t>
            </w:r>
          </w:p>
        </w:tc>
        <w:tc>
          <w:tcPr>
            <w:tcW w:type="dxa" w:w="1541"/>
            <w:tcMar>
              <w:top w:type="dxa" w:w="60"/>
              <w:left w:type="dxa" w:w="100"/>
              <w:bottom w:type="dxa" w:w="60"/>
              <w:right w:type="dxa" w:w="100"/>
            </w:tcMar>
          </w:tcPr>
          <w:p>
            <w:pPr>
              <w:jc w:val="left"/>
            </w:pPr>
            <w:r>
              <w:rPr>
                <w:b w:val="false"/>
                <w:bCs w:val="false"/>
                <w:sz w:val="18"/>
                <w:szCs w:val="18"/>
              </w:rPr>
              <w:t xml:space="preserve">None found within tolerance</w:t>
            </w:r>
          </w:p>
        </w:tc>
        <w:tc>
          <w:tcPr>
            <w:tcW w:type="dxa" w:w="1681"/>
            <w:tcMar>
              <w:top w:type="dxa" w:w="60"/>
              <w:left w:type="dxa" w:w="100"/>
              <w:bottom w:type="dxa" w:w="60"/>
              <w:right w:type="dxa" w:w="100"/>
            </w:tcMar>
          </w:tcPr>
          <w:p>
            <w:pPr>
              <w:jc w:val="left"/>
            </w:pPr>
            <w:r>
              <w:rPr>
                <w:b w:val="false"/>
                <w:bCs w:val="false"/>
                <w:sz w:val="18"/>
                <w:szCs w:val="18"/>
              </w:rPr>
              <w:t xml:space="preserve">No SERS peak within tolerance (nearest 1893.2 cm⁻¹, Δ=109.0)</w:t>
            </w:r>
          </w:p>
        </w:tc>
        <w:tc>
          <w:tcPr>
            <w:tcW w:type="dxa" w:w="1541"/>
            <w:tcMar>
              <w:top w:type="dxa" w:w="60"/>
              <w:left w:type="dxa" w:w="100"/>
              <w:bottom w:type="dxa" w:w="60"/>
              <w:right w:type="dxa" w:w="100"/>
            </w:tcMar>
          </w:tcPr>
          <w:p>
            <w:pPr>
              <w:jc w:val="left"/>
            </w:pPr>
            <w:r>
              <w:rPr>
                <w:b w:val="false"/>
                <w:bCs w:val="false"/>
                <w:sz w:val="18"/>
                <w:szCs w:val="18"/>
              </w:rPr>
              <w:t xml:space="preserve">Not testable at this position</w:t>
            </w:r>
          </w:p>
        </w:tc>
        <w:tc>
          <w:tcPr>
            <w:tcW w:type="dxa" w:w="1685"/>
            <w:tcMar>
              <w:top w:type="dxa" w:w="60"/>
              <w:left w:type="dxa" w:w="100"/>
              <w:bottom w:type="dxa" w:w="60"/>
              <w:right w:type="dxa" w:w="100"/>
            </w:tcMar>
          </w:tcPr>
          <w:p>
            <w:pPr>
              <w:jc w:val="left"/>
            </w:pPr>
            <w:r>
              <w:rPr>
                <w:b w:val="false"/>
                <w:bCs w:val="false"/>
                <w:sz w:val="18"/>
                <w:szCs w:val="18"/>
              </w:rPr>
              <w:t xml:space="preserve">Unconfirmed (no DFT support within tolerance)</w:t>
            </w:r>
          </w:p>
        </w:tc>
      </w:tr>
    </w:tbl>
    <w:p>
      <w:pPr>
        <w:spacing w:after="120"/>
      </w:pPr>
      <w:r>
        <w:rPr>
          <w:b/>
          <w:bCs/>
        </w:rPr>
        <w:t xml:space="preserve">Strongest currently supported band: 1093.2 cm⁻¹.</w:t>
      </w:r>
    </w:p>
    <w:p>
      <w:pPr>
        <w:spacing w:after="120"/>
      </w:pPr>
      <w:r>
        <w:t xml:space="preserve">This is the only band with all three of: reproducible position (std dev 1.95 cm⁻¹, detected in 11/12 spots), a DFT candidate within tolerance (GlcNAc fragment, Δ = 12.7 cm⁻¹), and literature support at the LIT-CONFIRMED tier (1080–1095 cm⁻¹ phosphodiester PO₂⁻ region). Its intensity is nonetheless the most variable of the seven characteristic peaks (CV = 37.5%), and no SERS peak was found within tolerance at this position (Section 8) — both are retained as explicit caveats rather than smoothed into a higher rating.</w:t>
      </w:r>
    </w:p>
    <w:p>
      <w:r>
        <w:br w:type="page"/>
      </w:r>
    </w:p>
    <w:p>
      <w:pPr>
        <w:pStyle w:val="Heading1"/>
        <w:spacing w:after="160" w:before="360"/>
      </w:pPr>
      <w:r>
        <w:t xml:space="preserve">6. SERS Analysis</w:t>
      </w:r>
    </w:p>
    <w:p>
      <w:pPr>
        <w:spacing w:after="120"/>
      </w:pPr>
      <w:r>
        <w:t xml:space="preserve">14-08-26-lta-2m-etched/ contains 15 raw candidate spectra of LTA acquired on an Ag/black-Si (MACE-etched) SERS substrate at 785 nm. A matched blank-substrate batch (27 spectra, same day, identical calibration and laser settings) is available in the sibling folder raw-si-2m-etched/. This is substrate-enhanced (SERS) data and is treated as such throughout — it is not conflated with the powder Raman data in Section 1.</w:t>
      </w:r>
    </w:p>
    <w:p>
      <w:pPr>
        <w:spacing w:after="120"/>
      </w:pPr>
      <w:r>
        <w:t xml:space="preserve">The 15 candidate and 27 blank spectra were averaged, baseline-corrected, smoothed, and normalized using the same processing family as Section 1 (restricted to 200–1900 cm⁻¹). Peaks detected in the averaged candidate spectrum were compared against the nearest peak in the averaged blank spectrum, using the same 15 cm⁻¹ tolerance used elsewhere in this report.</w:t>
      </w:r>
    </w:p>
    <w:p>
      <w:pPr>
        <w:spacing w:after="120" w:before="120"/>
        <w:jc w:val="center"/>
      </w:pPr>
      <w:r>
        <w:drawing>
          <wp:inline distT="0" distB="0" distL="0" distR="0">
            <wp:extent cx="5905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267075"/>
                    </a:xfrm>
                    <a:prstGeom prst="rect">
                      <a:avLst/>
                    </a:prstGeom>
                  </pic:spPr>
                </pic:pic>
              </a:graphicData>
            </a:graphic>
          </wp:inline>
        </w:drawing>
      </w:r>
    </w:p>
    <w:p>
      <w:pPr>
        <w:spacing w:after="240"/>
        <w:jc w:val="center"/>
      </w:pPr>
      <w:r>
        <w:rPr>
          <w:i/>
          <w:iCs/>
          <w:sz w:val="18"/>
          <w:szCs w:val="18"/>
        </w:rPr>
        <w:t xml:space="preserve">Figure 5. Averaged LTA-candidate SERS spectrum vs. averaged matched-blank substrate spectrum. Peaks shared with the blank (substrate features) and candidate-only peaks are marked separately.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3440"/>
      </w:tblGrid>
      <w:tr>
        <w:trPr>
          <w:tblHeader/>
        </w:trPr>
        <w:tc>
          <w:tcPr>
            <w:tcW w:type="dxa" w:w="2600"/>
            <w:shd w:fill="1F4E5F" w:val="clear"/>
            <w:tcMar>
              <w:top w:type="dxa" w:w="60"/>
              <w:left w:type="dxa" w:w="100"/>
              <w:bottom w:type="dxa" w:w="60"/>
              <w:right w:type="dxa" w:w="100"/>
            </w:tcMar>
          </w:tcPr>
          <w:p>
            <w:pPr>
              <w:jc w:val="left"/>
            </w:pPr>
            <w:r>
              <w:rPr>
                <w:b/>
                <w:bCs/>
                <w:color w:val="FFFFFF"/>
                <w:sz w:val="18"/>
                <w:szCs w:val="18"/>
              </w:rPr>
              <w:t xml:space="preserve">LTA-candidate peak (cm⁻¹)</w:t>
            </w:r>
          </w:p>
        </w:tc>
        <w:tc>
          <w:tcPr>
            <w:tcW w:type="dxa" w:w="2600"/>
            <w:shd w:fill="1F4E5F" w:val="clear"/>
            <w:tcMar>
              <w:top w:type="dxa" w:w="60"/>
              <w:left w:type="dxa" w:w="100"/>
              <w:bottom w:type="dxa" w:w="60"/>
              <w:right w:type="dxa" w:w="100"/>
            </w:tcMar>
          </w:tcPr>
          <w:p>
            <w:pPr>
              <w:jc w:val="left"/>
            </w:pPr>
            <w:r>
              <w:rPr>
                <w:b/>
                <w:bCs/>
                <w:color w:val="FFFFFF"/>
                <w:sz w:val="18"/>
                <w:szCs w:val="18"/>
              </w:rPr>
              <w:t xml:space="preserve">Nearest blank peak (cm⁻¹)</w:t>
            </w:r>
          </w:p>
        </w:tc>
        <w:tc>
          <w:tcPr>
            <w:tcW w:type="dxa" w:w="1800"/>
            <w:shd w:fill="1F4E5F" w:val="clear"/>
            <w:tcMar>
              <w:top w:type="dxa" w:w="60"/>
              <w:left w:type="dxa" w:w="100"/>
              <w:bottom w:type="dxa" w:w="60"/>
              <w:right w:type="dxa" w:w="100"/>
            </w:tcMar>
          </w:tcPr>
          <w:p>
            <w:pPr>
              <w:jc w:val="left"/>
            </w:pPr>
            <w:r>
              <w:rPr>
                <w:b/>
                <w:bCs/>
                <w:color w:val="FFFFFF"/>
                <w:sz w:val="18"/>
                <w:szCs w:val="18"/>
              </w:rPr>
              <w:t xml:space="preserve">Δ (cm⁻¹)</w:t>
            </w:r>
          </w:p>
        </w:tc>
        <w:tc>
          <w:tcPr>
            <w:tcW w:type="dxa" w:w="3440"/>
            <w:shd w:fill="1F4E5F" w:val="clear"/>
            <w:tcMar>
              <w:top w:type="dxa" w:w="60"/>
              <w:left w:type="dxa" w:w="100"/>
              <w:bottom w:type="dxa" w:w="60"/>
              <w:right w:type="dxa" w:w="100"/>
            </w:tcMar>
          </w:tcPr>
          <w:p>
            <w:pPr>
              <w:jc w:val="left"/>
            </w:pPr>
            <w:r>
              <w:rPr>
                <w:b/>
                <w:bCs/>
                <w:color w:val="FFFFFF"/>
                <w:sz w:val="18"/>
                <w:szCs w:val="18"/>
              </w:rPr>
              <w:t xml:space="preserve">Classification</w:t>
            </w:r>
          </w:p>
        </w:tc>
      </w:tr>
      <w:tr>
        <w:tc>
          <w:tcPr>
            <w:tcW w:type="dxa" w:w="2600"/>
            <w:tcMar>
              <w:top w:type="dxa" w:w="60"/>
              <w:left w:type="dxa" w:w="100"/>
              <w:bottom w:type="dxa" w:w="60"/>
              <w:right w:type="dxa" w:w="100"/>
            </w:tcMar>
          </w:tcPr>
          <w:p>
            <w:pPr>
              <w:jc w:val="left"/>
            </w:pPr>
            <w:r>
              <w:rPr>
                <w:b w:val="false"/>
                <w:bCs w:val="false"/>
                <w:sz w:val="18"/>
                <w:szCs w:val="18"/>
              </w:rPr>
              <w:t xml:space="preserve">227.6</w:t>
            </w:r>
          </w:p>
        </w:tc>
        <w:tc>
          <w:tcPr>
            <w:tcW w:type="dxa" w:w="2600"/>
            <w:tcMar>
              <w:top w:type="dxa" w:w="60"/>
              <w:left w:type="dxa" w:w="100"/>
              <w:bottom w:type="dxa" w:w="60"/>
              <w:right w:type="dxa" w:w="100"/>
            </w:tcMar>
          </w:tcPr>
          <w:p>
            <w:pPr>
              <w:jc w:val="left"/>
            </w:pPr>
            <w:r>
              <w:rPr>
                <w:b w:val="false"/>
                <w:bCs w:val="false"/>
                <w:sz w:val="18"/>
                <w:szCs w:val="18"/>
              </w:rPr>
              <w:t xml:space="preserve">227.6</w:t>
            </w:r>
          </w:p>
        </w:tc>
        <w:tc>
          <w:tcPr>
            <w:tcW w:type="dxa" w:w="1800"/>
            <w:tcMar>
              <w:top w:type="dxa" w:w="60"/>
              <w:left w:type="dxa" w:w="100"/>
              <w:bottom w:type="dxa" w:w="60"/>
              <w:right w:type="dxa" w:w="100"/>
            </w:tcMar>
          </w:tcPr>
          <w:p>
            <w:pPr>
              <w:jc w:val="left"/>
            </w:pPr>
            <w:r>
              <w:rPr>
                <w:b w:val="false"/>
                <w:bCs w:val="false"/>
                <w:sz w:val="18"/>
                <w:szCs w:val="18"/>
              </w:rPr>
              <w:t xml:space="preserve">0</w:t>
            </w:r>
          </w:p>
        </w:tc>
        <w:tc>
          <w:tcPr>
            <w:tcW w:type="dxa" w:w="3440"/>
            <w:tcMar>
              <w:top w:type="dxa" w:w="60"/>
              <w:left w:type="dxa" w:w="100"/>
              <w:bottom w:type="dxa" w:w="60"/>
              <w:right w:type="dxa" w:w="100"/>
            </w:tcMar>
          </w:tcPr>
          <w:p>
            <w:pPr>
              <w:jc w:val="left"/>
            </w:pPr>
            <w:r>
              <w:rPr>
                <w:b w:val="false"/>
                <w:bCs w:val="false"/>
                <w:sz w:val="18"/>
                <w:szCs w:val="18"/>
              </w:rPr>
              <w:t xml:space="preserve">Shared with blank</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396</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517.8</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121.7</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Candidate-only</w:t>
            </w:r>
          </w:p>
        </w:tc>
      </w:tr>
      <w:tr>
        <w:tc>
          <w:tcPr>
            <w:tcW w:type="dxa" w:w="2600"/>
            <w:tcMar>
              <w:top w:type="dxa" w:w="60"/>
              <w:left w:type="dxa" w:w="100"/>
              <w:bottom w:type="dxa" w:w="60"/>
              <w:right w:type="dxa" w:w="100"/>
            </w:tcMar>
          </w:tcPr>
          <w:p>
            <w:pPr>
              <w:jc w:val="left"/>
            </w:pPr>
            <w:r>
              <w:rPr>
                <w:b w:val="false"/>
                <w:bCs w:val="false"/>
                <w:sz w:val="18"/>
                <w:szCs w:val="18"/>
              </w:rPr>
              <w:t xml:space="preserve">517.8</w:t>
            </w:r>
          </w:p>
        </w:tc>
        <w:tc>
          <w:tcPr>
            <w:tcW w:type="dxa" w:w="2600"/>
            <w:tcMar>
              <w:top w:type="dxa" w:w="60"/>
              <w:left w:type="dxa" w:w="100"/>
              <w:bottom w:type="dxa" w:w="60"/>
              <w:right w:type="dxa" w:w="100"/>
            </w:tcMar>
          </w:tcPr>
          <w:p>
            <w:pPr>
              <w:jc w:val="left"/>
            </w:pPr>
            <w:r>
              <w:rPr>
                <w:b w:val="false"/>
                <w:bCs w:val="false"/>
                <w:sz w:val="18"/>
                <w:szCs w:val="18"/>
              </w:rPr>
              <w:t xml:space="preserve">517.8</w:t>
            </w:r>
          </w:p>
        </w:tc>
        <w:tc>
          <w:tcPr>
            <w:tcW w:type="dxa" w:w="1800"/>
            <w:tcMar>
              <w:top w:type="dxa" w:w="60"/>
              <w:left w:type="dxa" w:w="100"/>
              <w:bottom w:type="dxa" w:w="60"/>
              <w:right w:type="dxa" w:w="100"/>
            </w:tcMar>
          </w:tcPr>
          <w:p>
            <w:pPr>
              <w:jc w:val="left"/>
            </w:pPr>
            <w:r>
              <w:rPr>
                <w:b w:val="false"/>
                <w:bCs w:val="false"/>
                <w:sz w:val="18"/>
                <w:szCs w:val="18"/>
              </w:rPr>
              <w:t xml:space="preserve">0</w:t>
            </w:r>
          </w:p>
        </w:tc>
        <w:tc>
          <w:tcPr>
            <w:tcW w:type="dxa" w:w="3440"/>
            <w:tcMar>
              <w:top w:type="dxa" w:w="60"/>
              <w:left w:type="dxa" w:w="100"/>
              <w:bottom w:type="dxa" w:w="60"/>
              <w:right w:type="dxa" w:w="100"/>
            </w:tcMar>
          </w:tcPr>
          <w:p>
            <w:pPr>
              <w:jc w:val="left"/>
            </w:pPr>
            <w:r>
              <w:rPr>
                <w:b w:val="false"/>
                <w:bCs w:val="false"/>
                <w:sz w:val="18"/>
                <w:szCs w:val="18"/>
              </w:rPr>
              <w:t xml:space="preserve">Shared with blank</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551.7</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553.5</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1.8</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Shared with blank</w:t>
            </w:r>
          </w:p>
        </w:tc>
      </w:tr>
      <w:tr>
        <w:tc>
          <w:tcPr>
            <w:tcW w:type="dxa" w:w="2600"/>
            <w:tcMar>
              <w:top w:type="dxa" w:w="60"/>
              <w:left w:type="dxa" w:w="100"/>
              <w:bottom w:type="dxa" w:w="60"/>
              <w:right w:type="dxa" w:w="100"/>
            </w:tcMar>
          </w:tcPr>
          <w:p>
            <w:pPr>
              <w:jc w:val="left"/>
            </w:pPr>
            <w:r>
              <w:rPr>
                <w:b w:val="false"/>
                <w:bCs w:val="false"/>
                <w:sz w:val="18"/>
                <w:szCs w:val="18"/>
              </w:rPr>
              <w:t xml:space="preserve">650.5</w:t>
            </w:r>
          </w:p>
        </w:tc>
        <w:tc>
          <w:tcPr>
            <w:tcW w:type="dxa" w:w="2600"/>
            <w:tcMar>
              <w:top w:type="dxa" w:w="60"/>
              <w:left w:type="dxa" w:w="100"/>
              <w:bottom w:type="dxa" w:w="60"/>
              <w:right w:type="dxa" w:w="100"/>
            </w:tcMar>
          </w:tcPr>
          <w:p>
            <w:pPr>
              <w:jc w:val="left"/>
            </w:pPr>
            <w:r>
              <w:rPr>
                <w:b w:val="false"/>
                <w:bCs w:val="false"/>
                <w:sz w:val="18"/>
                <w:szCs w:val="18"/>
              </w:rPr>
              <w:t xml:space="preserve">615.4</w:t>
            </w:r>
          </w:p>
        </w:tc>
        <w:tc>
          <w:tcPr>
            <w:tcW w:type="dxa" w:w="1800"/>
            <w:tcMar>
              <w:top w:type="dxa" w:w="60"/>
              <w:left w:type="dxa" w:w="100"/>
              <w:bottom w:type="dxa" w:w="60"/>
              <w:right w:type="dxa" w:w="100"/>
            </w:tcMar>
          </w:tcPr>
          <w:p>
            <w:pPr>
              <w:jc w:val="left"/>
            </w:pPr>
            <w:r>
              <w:rPr>
                <w:b w:val="false"/>
                <w:bCs w:val="false"/>
                <w:sz w:val="18"/>
                <w:szCs w:val="18"/>
              </w:rPr>
              <w:t xml:space="preserve">35</w:t>
            </w:r>
          </w:p>
        </w:tc>
        <w:tc>
          <w:tcPr>
            <w:tcW w:type="dxa" w:w="3440"/>
            <w:tcMar>
              <w:top w:type="dxa" w:w="60"/>
              <w:left w:type="dxa" w:w="100"/>
              <w:bottom w:type="dxa" w:w="60"/>
              <w:right w:type="dxa" w:w="100"/>
            </w:tcMar>
          </w:tcPr>
          <w:p>
            <w:pPr>
              <w:jc w:val="left"/>
            </w:pPr>
            <w:r>
              <w:rPr>
                <w:b w:val="false"/>
                <w:bCs w:val="false"/>
                <w:sz w:val="18"/>
                <w:szCs w:val="18"/>
              </w:rPr>
              <w:t xml:space="preserve">Candidate-only</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714.6</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788</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73.4</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Candidate-only</w:t>
            </w:r>
          </w:p>
        </w:tc>
      </w:tr>
      <w:tr>
        <w:tc>
          <w:tcPr>
            <w:tcW w:type="dxa" w:w="2600"/>
            <w:tcMar>
              <w:top w:type="dxa" w:w="60"/>
              <w:left w:type="dxa" w:w="100"/>
              <w:bottom w:type="dxa" w:w="60"/>
              <w:right w:type="dxa" w:w="100"/>
            </w:tcMar>
          </w:tcPr>
          <w:p>
            <w:pPr>
              <w:jc w:val="left"/>
            </w:pPr>
            <w:r>
              <w:rPr>
                <w:b w:val="false"/>
                <w:bCs w:val="false"/>
                <w:sz w:val="18"/>
                <w:szCs w:val="18"/>
              </w:rPr>
              <w:t xml:space="preserve">781.2</w:t>
            </w:r>
          </w:p>
        </w:tc>
        <w:tc>
          <w:tcPr>
            <w:tcW w:type="dxa" w:w="2600"/>
            <w:tcMar>
              <w:top w:type="dxa" w:w="60"/>
              <w:left w:type="dxa" w:w="100"/>
              <w:bottom w:type="dxa" w:w="60"/>
              <w:right w:type="dxa" w:w="100"/>
            </w:tcMar>
          </w:tcPr>
          <w:p>
            <w:pPr>
              <w:jc w:val="left"/>
            </w:pPr>
            <w:r>
              <w:rPr>
                <w:b w:val="false"/>
                <w:bCs w:val="false"/>
                <w:sz w:val="18"/>
                <w:szCs w:val="18"/>
              </w:rPr>
              <w:t xml:space="preserve">788</w:t>
            </w:r>
          </w:p>
        </w:tc>
        <w:tc>
          <w:tcPr>
            <w:tcW w:type="dxa" w:w="1800"/>
            <w:tcMar>
              <w:top w:type="dxa" w:w="60"/>
              <w:left w:type="dxa" w:w="100"/>
              <w:bottom w:type="dxa" w:w="60"/>
              <w:right w:type="dxa" w:w="100"/>
            </w:tcMar>
          </w:tcPr>
          <w:p>
            <w:pPr>
              <w:jc w:val="left"/>
            </w:pPr>
            <w:r>
              <w:rPr>
                <w:b w:val="false"/>
                <w:bCs w:val="false"/>
                <w:sz w:val="18"/>
                <w:szCs w:val="18"/>
              </w:rPr>
              <w:t xml:space="preserve">6.8</w:t>
            </w:r>
          </w:p>
        </w:tc>
        <w:tc>
          <w:tcPr>
            <w:tcW w:type="dxa" w:w="3440"/>
            <w:tcMar>
              <w:top w:type="dxa" w:w="60"/>
              <w:left w:type="dxa" w:w="100"/>
              <w:bottom w:type="dxa" w:w="60"/>
              <w:right w:type="dxa" w:w="100"/>
            </w:tcMar>
          </w:tcPr>
          <w:p>
            <w:pPr>
              <w:jc w:val="left"/>
            </w:pPr>
            <w:r>
              <w:rPr>
                <w:b w:val="false"/>
                <w:bCs w:val="false"/>
                <w:sz w:val="18"/>
                <w:szCs w:val="18"/>
              </w:rPr>
              <w:t xml:space="preserve">Shared with blank</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853.6</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788</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65.6</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Candidate-only</w:t>
            </w:r>
          </w:p>
        </w:tc>
      </w:tr>
      <w:tr>
        <w:tc>
          <w:tcPr>
            <w:tcW w:type="dxa" w:w="2600"/>
            <w:tcMar>
              <w:top w:type="dxa" w:w="60"/>
              <w:left w:type="dxa" w:w="100"/>
              <w:bottom w:type="dxa" w:w="60"/>
              <w:right w:type="dxa" w:w="100"/>
            </w:tcMar>
          </w:tcPr>
          <w:p>
            <w:pPr>
              <w:jc w:val="left"/>
            </w:pPr>
            <w:r>
              <w:rPr>
                <w:b w:val="false"/>
                <w:bCs w:val="false"/>
                <w:sz w:val="18"/>
                <w:szCs w:val="18"/>
              </w:rPr>
              <w:t xml:space="preserve">962.5</w:t>
            </w:r>
          </w:p>
        </w:tc>
        <w:tc>
          <w:tcPr>
            <w:tcW w:type="dxa" w:w="2600"/>
            <w:tcMar>
              <w:top w:type="dxa" w:w="60"/>
              <w:left w:type="dxa" w:w="100"/>
              <w:bottom w:type="dxa" w:w="60"/>
              <w:right w:type="dxa" w:w="100"/>
            </w:tcMar>
          </w:tcPr>
          <w:p>
            <w:pPr>
              <w:jc w:val="left"/>
            </w:pPr>
            <w:r>
              <w:rPr>
                <w:b w:val="false"/>
                <w:bCs w:val="false"/>
                <w:sz w:val="18"/>
                <w:szCs w:val="18"/>
              </w:rPr>
              <w:t xml:space="preserve">962.5</w:t>
            </w:r>
          </w:p>
        </w:tc>
        <w:tc>
          <w:tcPr>
            <w:tcW w:type="dxa" w:w="1800"/>
            <w:tcMar>
              <w:top w:type="dxa" w:w="60"/>
              <w:left w:type="dxa" w:w="100"/>
              <w:bottom w:type="dxa" w:w="60"/>
              <w:right w:type="dxa" w:w="100"/>
            </w:tcMar>
          </w:tcPr>
          <w:p>
            <w:pPr>
              <w:jc w:val="left"/>
            </w:pPr>
            <w:r>
              <w:rPr>
                <w:b w:val="false"/>
                <w:bCs w:val="false"/>
                <w:sz w:val="18"/>
                <w:szCs w:val="18"/>
              </w:rPr>
              <w:t xml:space="preserve">0</w:t>
            </w:r>
          </w:p>
        </w:tc>
        <w:tc>
          <w:tcPr>
            <w:tcW w:type="dxa" w:w="3440"/>
            <w:tcMar>
              <w:top w:type="dxa" w:w="60"/>
              <w:left w:type="dxa" w:w="100"/>
              <w:bottom w:type="dxa" w:w="60"/>
              <w:right w:type="dxa" w:w="100"/>
            </w:tcMar>
          </w:tcPr>
          <w:p>
            <w:pPr>
              <w:jc w:val="left"/>
            </w:pPr>
            <w:r>
              <w:rPr>
                <w:b w:val="false"/>
                <w:bCs w:val="false"/>
                <w:sz w:val="18"/>
                <w:szCs w:val="18"/>
              </w:rPr>
              <w:t xml:space="preserve">Shared with blank</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1035.2</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962.5</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72.7</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Candidate-only</w:t>
            </w:r>
          </w:p>
        </w:tc>
      </w:tr>
      <w:tr>
        <w:tc>
          <w:tcPr>
            <w:tcW w:type="dxa" w:w="2600"/>
            <w:tcMar>
              <w:top w:type="dxa" w:w="60"/>
              <w:left w:type="dxa" w:w="100"/>
              <w:bottom w:type="dxa" w:w="60"/>
              <w:right w:type="dxa" w:w="100"/>
            </w:tcMar>
          </w:tcPr>
          <w:p>
            <w:pPr>
              <w:jc w:val="left"/>
            </w:pPr>
            <w:r>
              <w:rPr>
                <w:b w:val="false"/>
                <w:bCs w:val="false"/>
                <w:sz w:val="18"/>
                <w:szCs w:val="18"/>
              </w:rPr>
              <w:t xml:space="preserve">1133.5</w:t>
            </w:r>
          </w:p>
        </w:tc>
        <w:tc>
          <w:tcPr>
            <w:tcW w:type="dxa" w:w="2600"/>
            <w:tcMar>
              <w:top w:type="dxa" w:w="60"/>
              <w:left w:type="dxa" w:w="100"/>
              <w:bottom w:type="dxa" w:w="60"/>
              <w:right w:type="dxa" w:w="100"/>
            </w:tcMar>
          </w:tcPr>
          <w:p>
            <w:pPr>
              <w:jc w:val="left"/>
            </w:pPr>
            <w:r>
              <w:rPr>
                <w:b w:val="false"/>
                <w:bCs w:val="false"/>
                <w:sz w:val="18"/>
                <w:szCs w:val="18"/>
              </w:rPr>
              <w:t xml:space="preserve">1181.8</w:t>
            </w:r>
          </w:p>
        </w:tc>
        <w:tc>
          <w:tcPr>
            <w:tcW w:type="dxa" w:w="1800"/>
            <w:tcMar>
              <w:top w:type="dxa" w:w="60"/>
              <w:left w:type="dxa" w:w="100"/>
              <w:bottom w:type="dxa" w:w="60"/>
              <w:right w:type="dxa" w:w="100"/>
            </w:tcMar>
          </w:tcPr>
          <w:p>
            <w:pPr>
              <w:jc w:val="left"/>
            </w:pPr>
            <w:r>
              <w:rPr>
                <w:b w:val="false"/>
                <w:bCs w:val="false"/>
                <w:sz w:val="18"/>
                <w:szCs w:val="18"/>
              </w:rPr>
              <w:t xml:space="preserve">48.3</w:t>
            </w:r>
          </w:p>
        </w:tc>
        <w:tc>
          <w:tcPr>
            <w:tcW w:type="dxa" w:w="3440"/>
            <w:tcMar>
              <w:top w:type="dxa" w:w="60"/>
              <w:left w:type="dxa" w:w="100"/>
              <w:bottom w:type="dxa" w:w="60"/>
              <w:right w:type="dxa" w:w="100"/>
            </w:tcMar>
          </w:tcPr>
          <w:p>
            <w:pPr>
              <w:jc w:val="left"/>
            </w:pPr>
            <w:r>
              <w:rPr>
                <w:b w:val="false"/>
                <w:bCs w:val="false"/>
                <w:sz w:val="18"/>
                <w:szCs w:val="18"/>
              </w:rPr>
              <w:t xml:space="preserve">Candidate-only</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1285.8</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1181.8</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104.1</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Candidate-only</w:t>
            </w:r>
          </w:p>
        </w:tc>
      </w:tr>
      <w:tr>
        <w:tc>
          <w:tcPr>
            <w:tcW w:type="dxa" w:w="2600"/>
            <w:tcMar>
              <w:top w:type="dxa" w:w="60"/>
              <w:left w:type="dxa" w:w="100"/>
              <w:bottom w:type="dxa" w:w="60"/>
              <w:right w:type="dxa" w:w="100"/>
            </w:tcMar>
          </w:tcPr>
          <w:p>
            <w:pPr>
              <w:jc w:val="left"/>
            </w:pPr>
            <w:r>
              <w:rPr>
                <w:b w:val="false"/>
                <w:bCs w:val="false"/>
                <w:sz w:val="18"/>
                <w:szCs w:val="18"/>
              </w:rPr>
              <w:t xml:space="preserve">1388.9</w:t>
            </w:r>
          </w:p>
        </w:tc>
        <w:tc>
          <w:tcPr>
            <w:tcW w:type="dxa" w:w="2600"/>
            <w:tcMar>
              <w:top w:type="dxa" w:w="60"/>
              <w:left w:type="dxa" w:w="100"/>
              <w:bottom w:type="dxa" w:w="60"/>
              <w:right w:type="dxa" w:w="100"/>
            </w:tcMar>
          </w:tcPr>
          <w:p>
            <w:pPr>
              <w:jc w:val="left"/>
            </w:pPr>
            <w:r>
              <w:rPr>
                <w:b w:val="false"/>
                <w:bCs w:val="false"/>
                <w:sz w:val="18"/>
                <w:szCs w:val="18"/>
              </w:rPr>
              <w:t xml:space="preserve">1409.5</w:t>
            </w:r>
          </w:p>
        </w:tc>
        <w:tc>
          <w:tcPr>
            <w:tcW w:type="dxa" w:w="1800"/>
            <w:tcMar>
              <w:top w:type="dxa" w:w="60"/>
              <w:left w:type="dxa" w:w="100"/>
              <w:bottom w:type="dxa" w:w="60"/>
              <w:right w:type="dxa" w:w="100"/>
            </w:tcMar>
          </w:tcPr>
          <w:p>
            <w:pPr>
              <w:jc w:val="left"/>
            </w:pPr>
            <w:r>
              <w:rPr>
                <w:b w:val="false"/>
                <w:bCs w:val="false"/>
                <w:sz w:val="18"/>
                <w:szCs w:val="18"/>
              </w:rPr>
              <w:t xml:space="preserve">20.6</w:t>
            </w:r>
          </w:p>
        </w:tc>
        <w:tc>
          <w:tcPr>
            <w:tcW w:type="dxa" w:w="3440"/>
            <w:tcMar>
              <w:top w:type="dxa" w:w="60"/>
              <w:left w:type="dxa" w:w="100"/>
              <w:bottom w:type="dxa" w:w="60"/>
              <w:right w:type="dxa" w:w="100"/>
            </w:tcMar>
          </w:tcPr>
          <w:p>
            <w:pPr>
              <w:jc w:val="left"/>
            </w:pPr>
            <w:r>
              <w:rPr>
                <w:b w:val="false"/>
                <w:bCs w:val="false"/>
                <w:sz w:val="18"/>
                <w:szCs w:val="18"/>
              </w:rPr>
              <w:t xml:space="preserve">Candidate-only</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1602.7</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1602.7</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0</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Shared with blank</w:t>
            </w:r>
          </w:p>
        </w:tc>
      </w:tr>
      <w:tr>
        <w:tc>
          <w:tcPr>
            <w:tcW w:type="dxa" w:w="2600"/>
            <w:tcMar>
              <w:top w:type="dxa" w:w="60"/>
              <w:left w:type="dxa" w:w="100"/>
              <w:bottom w:type="dxa" w:w="60"/>
              <w:right w:type="dxa" w:w="100"/>
            </w:tcMar>
          </w:tcPr>
          <w:p>
            <w:pPr>
              <w:jc w:val="left"/>
            </w:pPr>
            <w:r>
              <w:rPr>
                <w:b w:val="false"/>
                <w:bCs w:val="false"/>
                <w:sz w:val="18"/>
                <w:szCs w:val="18"/>
              </w:rPr>
              <w:t xml:space="preserve">1893.2</w:t>
            </w:r>
          </w:p>
        </w:tc>
        <w:tc>
          <w:tcPr>
            <w:tcW w:type="dxa" w:w="2600"/>
            <w:tcMar>
              <w:top w:type="dxa" w:w="60"/>
              <w:left w:type="dxa" w:w="100"/>
              <w:bottom w:type="dxa" w:w="60"/>
              <w:right w:type="dxa" w:w="100"/>
            </w:tcMar>
          </w:tcPr>
          <w:p>
            <w:pPr>
              <w:jc w:val="left"/>
            </w:pPr>
            <w:r>
              <w:rPr>
                <w:b w:val="false"/>
                <w:bCs w:val="false"/>
                <w:sz w:val="18"/>
                <w:szCs w:val="18"/>
              </w:rPr>
              <w:t xml:space="preserve">1800.2</w:t>
            </w:r>
          </w:p>
        </w:tc>
        <w:tc>
          <w:tcPr>
            <w:tcW w:type="dxa" w:w="1800"/>
            <w:tcMar>
              <w:top w:type="dxa" w:w="60"/>
              <w:left w:type="dxa" w:w="100"/>
              <w:bottom w:type="dxa" w:w="60"/>
              <w:right w:type="dxa" w:w="100"/>
            </w:tcMar>
          </w:tcPr>
          <w:p>
            <w:pPr>
              <w:jc w:val="left"/>
            </w:pPr>
            <w:r>
              <w:rPr>
                <w:b w:val="false"/>
                <w:bCs w:val="false"/>
                <w:sz w:val="18"/>
                <w:szCs w:val="18"/>
              </w:rPr>
              <w:t xml:space="preserve">93</w:t>
            </w:r>
          </w:p>
        </w:tc>
        <w:tc>
          <w:tcPr>
            <w:tcW w:type="dxa" w:w="3440"/>
            <w:tcMar>
              <w:top w:type="dxa" w:w="60"/>
              <w:left w:type="dxa" w:w="100"/>
              <w:bottom w:type="dxa" w:w="60"/>
              <w:right w:type="dxa" w:w="100"/>
            </w:tcMar>
          </w:tcPr>
          <w:p>
            <w:pPr>
              <w:jc w:val="left"/>
            </w:pPr>
            <w:r>
              <w:rPr>
                <w:b w:val="false"/>
                <w:bCs w:val="false"/>
                <w:sz w:val="18"/>
                <w:szCs w:val="18"/>
              </w:rPr>
              <w:t xml:space="preserve">Candidate-only</w:t>
            </w:r>
          </w:p>
        </w:tc>
      </w:tr>
    </w:tbl>
    <w:p>
      <w:pPr>
        <w:spacing w:after="120"/>
      </w:pPr>
      <w:r>
        <w:rPr>
          <w:b/>
          <w:bCs/>
        </w:rPr>
        <w:t xml:space="preserve">Of 15 detected peaks in the candidate spectrum, 6 coincide with a blank-substrate peak within 15 cm⁻¹ and are treated as substrate features, not LTA signal. 9 do not coincide with the blank and remain candidate peaks.</w:t>
      </w:r>
    </w:p>
    <w:p>
      <w:r>
        <w:br w:type="page"/>
      </w:r>
    </w:p>
    <w:p>
      <w:pPr>
        <w:pStyle w:val="Heading1"/>
        <w:spacing w:after="160" w:before="360"/>
      </w:pPr>
      <w:r>
        <w:t xml:space="preserve">7. Blank-Substrate Validation</w:t>
      </w:r>
    </w:p>
    <w:p>
      <w:pPr>
        <w:pBdr>
          <w:left w:val="single" w:color="C0504D" w:sz="18" w:space="8"/>
        </w:pBdr>
        <w:spacing w:after="200" w:before="120"/>
        <w:ind w:left="200"/>
      </w:pPr>
      <w:r>
        <w:rPr>
          <w:i/>
          <w:iCs/>
        </w:rPr>
        <w:t xml:space="preserve">A previously recorded positive claim — an apparent LTA detection at 1095 cm⁻¹ in this exact 14-Aug SERS dataset — has already been investigated by the project at the pixel level and reclassified as a single-pixel artifact (recorded verdict: "NOT DETECTED"). That finding is the standing result for this dataset and is treated as authoritative here.</w:t>
      </w:r>
    </w:p>
    <w:p>
      <w:pPr>
        <w:spacing w:after="120"/>
      </w:pPr>
      <w:r>
        <w:t xml:space="preserve">This report's own reprocessing (Section 6) independently confirms that the closest candidate-spectrum feature to the substrate-artifact region, 1602.7 cm⁻¹, coincides with a blank-substrate peak at the same position (Δ = 0.3 cm⁻¹) and is therefore classified as a substrate artifact, not an LTA signal — consistent with the project's prior finding that this general spectral behavior is substrate-driven rather than analyte-driven.</w:t>
      </w:r>
    </w:p>
    <w:p>
      <w:pPr>
        <w:spacing w:after="120"/>
      </w:pPr>
      <w:r>
        <w:t xml:space="preserve">The remaining 9 candidate-only peaks (Section 6) have not undergone the same pixel-level scrutiny that identified the earlier artifact. They are therefore reported as unvalidated candidates, not as confirmed LTA SERS signal. Validating any of them would require, at minimum: pixel/spot-level inspection for single-pixel or cosmic-ray artifacts, and a second independent replicate SERS measurement to confirm reproducibility, neither of which has yet been performed on this dataset.</w:t>
      </w:r>
    </w:p>
    <w:p>
      <w:r>
        <w:br w:type="page"/>
      </w:r>
    </w:p>
    <w:p>
      <w:pPr>
        <w:pStyle w:val="Heading1"/>
        <w:spacing w:after="160" w:before="360"/>
      </w:pPr>
      <w:r>
        <w:t xml:space="preserve">8. DFT → Powder → SERS Comparison</w:t>
      </w:r>
    </w:p>
    <w:p>
      <w:pPr>
        <w:spacing w:after="120"/>
      </w:pPr>
      <w:r>
        <w:t xml:space="preserve">Each of the 7 powder characteristic peaks is followed here through all three evidence types — DFT, powder Raman, and SERS — together with literature support (Section 4) and the blank-substrate check (Sections 6–7), to determine whether any band is genuinely confirmed across the full evidence chain.</w:t>
      </w:r>
    </w:p>
    <w:p>
      <w:pPr>
        <w:spacing w:after="120" w:before="120"/>
        <w:jc w:val="center"/>
      </w:pPr>
      <w:r>
        <w:drawing>
          <wp:inline distT="0" distB="0" distL="0" distR="0">
            <wp:extent cx="495300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838700"/>
                    </a:xfrm>
                    <a:prstGeom prst="rect">
                      <a:avLst/>
                    </a:prstGeom>
                  </pic:spPr>
                </pic:pic>
              </a:graphicData>
            </a:graphic>
          </wp:inline>
        </w:drawing>
      </w:r>
    </w:p>
    <w:p>
      <w:pPr>
        <w:spacing w:after="240"/>
        <w:jc w:val="center"/>
      </w:pPr>
      <w:r>
        <w:rPr>
          <w:i/>
          <w:iCs/>
          <w:sz w:val="18"/>
          <w:szCs w:val="18"/>
        </w:rPr>
        <w:t xml:space="preserve">Figure 6. Focused DFT → Powder → SERS → Blank comparison around the 1093 cm⁻¹ literature phosphodiester band. No SERS peak falls within the shaded literature band or within tolerance of the powder/DFT position.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1200"/>
        <w:gridCol w:w="1150"/>
        <w:gridCol w:w="1150"/>
        <w:gridCol w:w="1150"/>
        <w:gridCol w:w="1150"/>
        <w:gridCol w:w="2340"/>
      </w:tblGrid>
      <w:tr>
        <w:trPr>
          <w:tblHeader/>
        </w:trPr>
        <w:tc>
          <w:tcPr>
            <w:tcW w:type="dxa" w:w="1150"/>
            <w:shd w:fill="1F4E5F" w:val="clear"/>
            <w:tcMar>
              <w:top w:type="dxa" w:w="60"/>
              <w:left w:type="dxa" w:w="100"/>
              <w:bottom w:type="dxa" w:w="60"/>
              <w:right w:type="dxa" w:w="100"/>
            </w:tcMar>
          </w:tcPr>
          <w:p>
            <w:pPr>
              <w:jc w:val="left"/>
            </w:pPr>
            <w:r>
              <w:rPr>
                <w:b/>
                <w:bCs/>
                <w:color w:val="FFFFFF"/>
                <w:sz w:val="18"/>
                <w:szCs w:val="18"/>
              </w:rPr>
              <w:t xml:space="preserve">Powder (cm⁻¹)</w:t>
            </w:r>
          </w:p>
        </w:tc>
        <w:tc>
          <w:tcPr>
            <w:tcW w:type="dxa" w:w="1150"/>
            <w:shd w:fill="1F4E5F" w:val="clear"/>
            <w:tcMar>
              <w:top w:type="dxa" w:w="60"/>
              <w:left w:type="dxa" w:w="100"/>
              <w:bottom w:type="dxa" w:w="60"/>
              <w:right w:type="dxa" w:w="100"/>
            </w:tcMar>
          </w:tcPr>
          <w:p>
            <w:pPr>
              <w:jc w:val="left"/>
            </w:pPr>
            <w:r>
              <w:rPr>
                <w:b/>
                <w:bCs/>
                <w:color w:val="FFFFFF"/>
                <w:sz w:val="18"/>
                <w:szCs w:val="18"/>
              </w:rPr>
              <w:t xml:space="preserve">DFT (cm⁻¹)</w:t>
            </w:r>
          </w:p>
        </w:tc>
        <w:tc>
          <w:tcPr>
            <w:tcW w:type="dxa" w:w="1200"/>
            <w:shd w:fill="1F4E5F" w:val="clear"/>
            <w:tcMar>
              <w:top w:type="dxa" w:w="60"/>
              <w:left w:type="dxa" w:w="100"/>
              <w:bottom w:type="dxa" w:w="60"/>
              <w:right w:type="dxa" w:w="100"/>
            </w:tcMar>
          </w:tcPr>
          <w:p>
            <w:pPr>
              <w:jc w:val="left"/>
            </w:pPr>
            <w:r>
              <w:rPr>
                <w:b/>
                <w:bCs/>
                <w:color w:val="FFFFFF"/>
                <w:sz w:val="18"/>
                <w:szCs w:val="18"/>
              </w:rPr>
              <w:t xml:space="preserve">Nearest SERS (cm⁻¹)</w:t>
            </w:r>
          </w:p>
        </w:tc>
        <w:tc>
          <w:tcPr>
            <w:tcW w:type="dxa" w:w="1150"/>
            <w:shd w:fill="1F4E5F" w:val="clear"/>
            <w:tcMar>
              <w:top w:type="dxa" w:w="60"/>
              <w:left w:type="dxa" w:w="100"/>
              <w:bottom w:type="dxa" w:w="60"/>
              <w:right w:type="dxa" w:w="100"/>
            </w:tcMar>
          </w:tcPr>
          <w:p>
            <w:pPr>
              <w:jc w:val="left"/>
            </w:pPr>
            <w:r>
              <w:rPr>
                <w:b/>
                <w:bCs/>
                <w:color w:val="FFFFFF"/>
                <w:sz w:val="18"/>
                <w:szCs w:val="18"/>
              </w:rPr>
              <w:t xml:space="preserve">ΔDFT–Powder</w:t>
            </w:r>
          </w:p>
        </w:tc>
        <w:tc>
          <w:tcPr>
            <w:tcW w:type="dxa" w:w="1150"/>
            <w:shd w:fill="1F4E5F" w:val="clear"/>
            <w:tcMar>
              <w:top w:type="dxa" w:w="60"/>
              <w:left w:type="dxa" w:w="100"/>
              <w:bottom w:type="dxa" w:w="60"/>
              <w:right w:type="dxa" w:w="100"/>
            </w:tcMar>
          </w:tcPr>
          <w:p>
            <w:pPr>
              <w:jc w:val="left"/>
            </w:pPr>
            <w:r>
              <w:rPr>
                <w:b/>
                <w:bCs/>
                <w:color w:val="FFFFFF"/>
                <w:sz w:val="18"/>
                <w:szCs w:val="18"/>
              </w:rPr>
              <w:t xml:space="preserve">ΔPowder–SERS</w:t>
            </w:r>
          </w:p>
        </w:tc>
        <w:tc>
          <w:tcPr>
            <w:tcW w:type="dxa" w:w="1150"/>
            <w:shd w:fill="1F4E5F" w:val="clear"/>
            <w:tcMar>
              <w:top w:type="dxa" w:w="60"/>
              <w:left w:type="dxa" w:w="100"/>
              <w:bottom w:type="dxa" w:w="60"/>
              <w:right w:type="dxa" w:w="100"/>
            </w:tcMar>
          </w:tcPr>
          <w:p>
            <w:pPr>
              <w:jc w:val="left"/>
            </w:pPr>
            <w:r>
              <w:rPr>
                <w:b/>
                <w:bCs/>
                <w:color w:val="FFFFFF"/>
                <w:sz w:val="18"/>
                <w:szCs w:val="18"/>
              </w:rPr>
              <w:t xml:space="preserve">Literature support</w:t>
            </w:r>
          </w:p>
        </w:tc>
        <w:tc>
          <w:tcPr>
            <w:tcW w:type="dxa" w:w="1150"/>
            <w:shd w:fill="1F4E5F" w:val="clear"/>
            <w:tcMar>
              <w:top w:type="dxa" w:w="60"/>
              <w:left w:type="dxa" w:w="100"/>
              <w:bottom w:type="dxa" w:w="60"/>
              <w:right w:type="dxa" w:w="100"/>
            </w:tcMar>
          </w:tcPr>
          <w:p>
            <w:pPr>
              <w:jc w:val="left"/>
            </w:pPr>
            <w:r>
              <w:rPr>
                <w:b/>
                <w:bCs/>
                <w:color w:val="FFFFFF"/>
                <w:sz w:val="18"/>
                <w:szCs w:val="18"/>
              </w:rPr>
              <w:t xml:space="preserve">Blank present?</w:t>
            </w:r>
          </w:p>
        </w:tc>
        <w:tc>
          <w:tcPr>
            <w:tcW w:type="dxa" w:w="2340"/>
            <w:shd w:fill="1F4E5F" w:val="clear"/>
            <w:tcMar>
              <w:top w:type="dxa" w:w="60"/>
              <w:left w:type="dxa" w:w="100"/>
              <w:bottom w:type="dxa" w:w="60"/>
              <w:right w:type="dxa" w:w="100"/>
            </w:tcMar>
          </w:tcPr>
          <w:p>
            <w:pPr>
              <w:jc w:val="left"/>
            </w:pPr>
            <w:r>
              <w:rPr>
                <w:b/>
                <w:bCs/>
                <w:color w:val="FFFFFF"/>
                <w:sz w:val="18"/>
                <w:szCs w:val="18"/>
              </w:rPr>
              <w:t xml:space="preserve">Category</w:t>
            </w:r>
          </w:p>
        </w:tc>
      </w:tr>
      <w:tr>
        <w:tc>
          <w:tcPr>
            <w:tcW w:type="dxa" w:w="1150"/>
            <w:tcMar>
              <w:top w:type="dxa" w:w="60"/>
              <w:left w:type="dxa" w:w="100"/>
              <w:bottom w:type="dxa" w:w="60"/>
              <w:right w:type="dxa" w:w="100"/>
            </w:tcMar>
          </w:tcPr>
          <w:p>
            <w:pPr>
              <w:jc w:val="left"/>
            </w:pPr>
            <w:r>
              <w:rPr>
                <w:b w:val="false"/>
                <w:bCs w:val="false"/>
                <w:sz w:val="18"/>
                <w:szCs w:val="18"/>
              </w:rPr>
              <w:t xml:space="preserve">620.1</w:t>
            </w:r>
          </w:p>
        </w:tc>
        <w:tc>
          <w:tcPr>
            <w:tcW w:type="dxa" w:w="1150"/>
            <w:tcMar>
              <w:top w:type="dxa" w:w="60"/>
              <w:left w:type="dxa" w:w="100"/>
              <w:bottom w:type="dxa" w:w="60"/>
              <w:right w:type="dxa" w:w="100"/>
            </w:tcMar>
          </w:tcPr>
          <w:p>
            <w:pPr>
              <w:jc w:val="left"/>
            </w:pPr>
            <w:r>
              <w:rPr>
                <w:b w:val="false"/>
                <w:bCs w:val="false"/>
                <w:sz w:val="18"/>
                <w:szCs w:val="18"/>
              </w:rPr>
              <w:t xml:space="preserve">625.9</w:t>
            </w:r>
          </w:p>
        </w:tc>
        <w:tc>
          <w:tcPr>
            <w:tcW w:type="dxa" w:w="1200"/>
            <w:tcMar>
              <w:top w:type="dxa" w:w="60"/>
              <w:left w:type="dxa" w:w="100"/>
              <w:bottom w:type="dxa" w:w="60"/>
              <w:right w:type="dxa" w:w="100"/>
            </w:tcMar>
          </w:tcPr>
          <w:p>
            <w:pPr>
              <w:jc w:val="left"/>
            </w:pPr>
            <w:r>
              <w:rPr>
                <w:b w:val="false"/>
                <w:bCs w:val="false"/>
                <w:sz w:val="18"/>
                <w:szCs w:val="18"/>
              </w:rPr>
              <w:t xml:space="preserve">650.5</w:t>
            </w:r>
          </w:p>
        </w:tc>
        <w:tc>
          <w:tcPr>
            <w:tcW w:type="dxa" w:w="1150"/>
            <w:tcMar>
              <w:top w:type="dxa" w:w="60"/>
              <w:left w:type="dxa" w:w="100"/>
              <w:bottom w:type="dxa" w:w="60"/>
              <w:right w:type="dxa" w:w="100"/>
            </w:tcMar>
          </w:tcPr>
          <w:p>
            <w:pPr>
              <w:jc w:val="left"/>
            </w:pPr>
            <w:r>
              <w:rPr>
                <w:b w:val="false"/>
                <w:bCs w:val="false"/>
                <w:sz w:val="18"/>
                <w:szCs w:val="18"/>
              </w:rPr>
              <w:t xml:space="preserve">5.8</w:t>
            </w:r>
          </w:p>
        </w:tc>
        <w:tc>
          <w:tcPr>
            <w:tcW w:type="dxa" w:w="1150"/>
            <w:tcMar>
              <w:top w:type="dxa" w:w="60"/>
              <w:left w:type="dxa" w:w="100"/>
              <w:bottom w:type="dxa" w:w="60"/>
              <w:right w:type="dxa" w:w="100"/>
            </w:tcMar>
          </w:tcPr>
          <w:p>
            <w:pPr>
              <w:jc w:val="left"/>
            </w:pPr>
            <w:r>
              <w:rPr>
                <w:b w:val="false"/>
                <w:bCs w:val="false"/>
                <w:sz w:val="18"/>
                <w:szCs w:val="18"/>
              </w:rPr>
              <w:t xml:space="preserve">30.4</w:t>
            </w:r>
          </w:p>
        </w:tc>
        <w:tc>
          <w:tcPr>
            <w:tcW w:type="dxa" w:w="1150"/>
            <w:tcMar>
              <w:top w:type="dxa" w:w="60"/>
              <w:left w:type="dxa" w:w="100"/>
              <w:bottom w:type="dxa" w:w="60"/>
              <w:right w:type="dxa" w:w="100"/>
            </w:tcMar>
          </w:tcPr>
          <w:p>
            <w:pPr>
              <w:jc w:val="left"/>
            </w:pPr>
            <w:r>
              <w:rPr>
                <w:b w:val="false"/>
                <w:bCs w:val="false"/>
                <w:sz w:val="18"/>
                <w:szCs w:val="18"/>
              </w:rPr>
              <w:t xml:space="preserve">No</w:t>
            </w:r>
          </w:p>
        </w:tc>
        <w:tc>
          <w:tcPr>
            <w:tcW w:type="dxa" w:w="1150"/>
            <w:tcMar>
              <w:top w:type="dxa" w:w="60"/>
              <w:left w:type="dxa" w:w="100"/>
              <w:bottom w:type="dxa" w:w="60"/>
              <w:right w:type="dxa" w:w="100"/>
            </w:tcMar>
          </w:tcPr>
          <w:p>
            <w:pPr>
              <w:jc w:val="left"/>
            </w:pPr>
            <w:r>
              <w:rPr>
                <w:b w:val="false"/>
                <w:bCs w:val="false"/>
                <w:sz w:val="18"/>
                <w:szCs w:val="18"/>
              </w:rPr>
              <w:t xml:space="preserve">No</w:t>
            </w:r>
          </w:p>
        </w:tc>
        <w:tc>
          <w:tcPr>
            <w:tcW w:type="dxa" w:w="2340"/>
            <w:tcMar>
              <w:top w:type="dxa" w:w="60"/>
              <w:left w:type="dxa" w:w="100"/>
              <w:bottom w:type="dxa" w:w="60"/>
              <w:right w:type="dxa" w:w="100"/>
            </w:tcMar>
          </w:tcPr>
          <w:p>
            <w:pPr>
              <w:jc w:val="left"/>
            </w:pPr>
            <w:r>
              <w:rPr>
                <w:b w:val="false"/>
                <w:bCs w:val="false"/>
                <w:sz w:val="18"/>
                <w:szCs w:val="18"/>
              </w:rPr>
              <w:t xml:space="preserve">Candidate</w:t>
            </w:r>
          </w:p>
        </w:tc>
      </w:tr>
      <w:tr>
        <w:tc>
          <w:tcPr>
            <w:tcW w:type="dxa" w:w="1150"/>
            <w:shd w:fill="F2F2F2" w:val="clear"/>
            <w:tcMar>
              <w:top w:type="dxa" w:w="60"/>
              <w:left w:type="dxa" w:w="100"/>
              <w:bottom w:type="dxa" w:w="60"/>
              <w:right w:type="dxa" w:w="100"/>
            </w:tcMar>
          </w:tcPr>
          <w:p>
            <w:pPr>
              <w:jc w:val="left"/>
            </w:pPr>
            <w:r>
              <w:rPr>
                <w:b w:val="false"/>
                <w:bCs w:val="false"/>
                <w:sz w:val="18"/>
                <w:szCs w:val="18"/>
              </w:rPr>
              <w:t xml:space="preserve">794.5</w:t>
            </w:r>
          </w:p>
        </w:tc>
        <w:tc>
          <w:tcPr>
            <w:tcW w:type="dxa" w:w="1150"/>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1200"/>
            <w:shd w:fill="F2F2F2" w:val="clear"/>
            <w:tcMar>
              <w:top w:type="dxa" w:w="60"/>
              <w:left w:type="dxa" w:w="100"/>
              <w:bottom w:type="dxa" w:w="60"/>
              <w:right w:type="dxa" w:w="100"/>
            </w:tcMar>
          </w:tcPr>
          <w:p>
            <w:pPr>
              <w:jc w:val="left"/>
            </w:pPr>
            <w:r>
              <w:rPr>
                <w:b w:val="false"/>
                <w:bCs w:val="false"/>
                <w:sz w:val="18"/>
                <w:szCs w:val="18"/>
              </w:rPr>
              <w:t xml:space="preserve">781.2</w:t>
            </w:r>
          </w:p>
        </w:tc>
        <w:tc>
          <w:tcPr>
            <w:tcW w:type="dxa" w:w="1150"/>
            <w:shd w:fill="F2F2F2" w:val="clear"/>
            <w:tcMar>
              <w:top w:type="dxa" w:w="60"/>
              <w:left w:type="dxa" w:w="100"/>
              <w:bottom w:type="dxa" w:w="60"/>
              <w:right w:type="dxa" w:w="100"/>
            </w:tcMar>
          </w:tcPr>
          <w:p>
            <w:pPr>
              <w:jc w:val="left"/>
            </w:pPr>
            <w:r>
              <w:rPr>
                <w:b w:val="false"/>
                <w:bCs w:val="false"/>
                <w:sz w:val="18"/>
                <w:szCs w:val="18"/>
              </w:rPr>
              <w:t xml:space="preserve">21.5</w:t>
            </w:r>
          </w:p>
        </w:tc>
        <w:tc>
          <w:tcPr>
            <w:tcW w:type="dxa" w:w="1150"/>
            <w:shd w:fill="F2F2F2" w:val="clear"/>
            <w:tcMar>
              <w:top w:type="dxa" w:w="60"/>
              <w:left w:type="dxa" w:w="100"/>
              <w:bottom w:type="dxa" w:w="60"/>
              <w:right w:type="dxa" w:w="100"/>
            </w:tcMar>
          </w:tcPr>
          <w:p>
            <w:pPr>
              <w:jc w:val="left"/>
            </w:pPr>
            <w:r>
              <w:rPr>
                <w:b w:val="false"/>
                <w:bCs w:val="false"/>
                <w:sz w:val="18"/>
                <w:szCs w:val="18"/>
              </w:rPr>
              <w:t xml:space="preserve">13.3</w:t>
            </w:r>
          </w:p>
        </w:tc>
        <w:tc>
          <w:tcPr>
            <w:tcW w:type="dxa" w:w="1150"/>
            <w:shd w:fill="F2F2F2" w:val="clear"/>
            <w:tcMar>
              <w:top w:type="dxa" w:w="60"/>
              <w:left w:type="dxa" w:w="100"/>
              <w:bottom w:type="dxa" w:w="60"/>
              <w:right w:type="dxa" w:w="100"/>
            </w:tcMar>
          </w:tcPr>
          <w:p>
            <w:pPr>
              <w:jc w:val="left"/>
            </w:pPr>
            <w:r>
              <w:rPr>
                <w:b w:val="false"/>
                <w:bCs w:val="false"/>
                <w:sz w:val="18"/>
                <w:szCs w:val="18"/>
              </w:rPr>
              <w:t xml:space="preserve">No</w:t>
            </w:r>
          </w:p>
        </w:tc>
        <w:tc>
          <w:tcPr>
            <w:tcW w:type="dxa" w:w="1150"/>
            <w:shd w:fill="F2F2F2" w:val="clear"/>
            <w:tcMar>
              <w:top w:type="dxa" w:w="60"/>
              <w:left w:type="dxa" w:w="100"/>
              <w:bottom w:type="dxa" w:w="60"/>
              <w:right w:type="dxa" w:w="100"/>
            </w:tcMar>
          </w:tcPr>
          <w:p>
            <w:pPr>
              <w:jc w:val="left"/>
            </w:pPr>
            <w:r>
              <w:rPr>
                <w:b w:val="false"/>
                <w:bCs w:val="false"/>
                <w:sz w:val="18"/>
                <w:szCs w:val="18"/>
              </w:rPr>
              <w:t xml:space="preserve">Yes</w:t>
            </w:r>
          </w:p>
        </w:tc>
        <w:tc>
          <w:tcPr>
            <w:tcW w:type="dxa" w:w="2340"/>
            <w:shd w:fill="F2F2F2" w:val="clear"/>
            <w:tcMar>
              <w:top w:type="dxa" w:w="60"/>
              <w:left w:type="dxa" w:w="100"/>
              <w:bottom w:type="dxa" w:w="60"/>
              <w:right w:type="dxa" w:w="100"/>
            </w:tcMar>
          </w:tcPr>
          <w:p>
            <w:pPr>
              <w:jc w:val="left"/>
            </w:pPr>
            <w:r>
              <w:rPr>
                <w:b w:val="false"/>
                <w:bCs w:val="false"/>
                <w:sz w:val="18"/>
                <w:szCs w:val="18"/>
              </w:rPr>
              <w:t xml:space="preserve">Unconfirmed</w:t>
            </w:r>
          </w:p>
        </w:tc>
      </w:tr>
      <w:tr>
        <w:tc>
          <w:tcPr>
            <w:tcW w:type="dxa" w:w="1150"/>
            <w:tcMar>
              <w:top w:type="dxa" w:w="60"/>
              <w:left w:type="dxa" w:w="100"/>
              <w:bottom w:type="dxa" w:w="60"/>
              <w:right w:type="dxa" w:w="100"/>
            </w:tcMar>
          </w:tcPr>
          <w:p>
            <w:pPr>
              <w:jc w:val="left"/>
            </w:pPr>
            <w:r>
              <w:rPr>
                <w:b w:val="false"/>
                <w:bCs w:val="false"/>
                <w:sz w:val="18"/>
                <w:szCs w:val="18"/>
              </w:rPr>
              <w:t xml:space="preserve">999.9</w:t>
            </w:r>
          </w:p>
        </w:tc>
        <w:tc>
          <w:tcPr>
            <w:tcW w:type="dxa" w:w="1150"/>
            <w:tcMar>
              <w:top w:type="dxa" w:w="60"/>
              <w:left w:type="dxa" w:w="100"/>
              <w:bottom w:type="dxa" w:w="60"/>
              <w:right w:type="dxa" w:w="100"/>
            </w:tcMar>
          </w:tcPr>
          <w:p>
            <w:pPr>
              <w:jc w:val="left"/>
            </w:pPr>
            <w:r>
              <w:rPr>
                <w:b w:val="false"/>
                <w:bCs w:val="false"/>
                <w:sz w:val="18"/>
                <w:szCs w:val="18"/>
              </w:rPr>
              <w:t xml:space="preserve">990.7</w:t>
            </w:r>
          </w:p>
        </w:tc>
        <w:tc>
          <w:tcPr>
            <w:tcW w:type="dxa" w:w="1200"/>
            <w:tcMar>
              <w:top w:type="dxa" w:w="60"/>
              <w:left w:type="dxa" w:w="100"/>
              <w:bottom w:type="dxa" w:w="60"/>
              <w:right w:type="dxa" w:w="100"/>
            </w:tcMar>
          </w:tcPr>
          <w:p>
            <w:pPr>
              <w:jc w:val="left"/>
            </w:pPr>
            <w:r>
              <w:rPr>
                <w:b w:val="false"/>
                <w:bCs w:val="false"/>
                <w:sz w:val="18"/>
                <w:szCs w:val="18"/>
              </w:rPr>
              <w:t xml:space="preserve">1035.2</w:t>
            </w:r>
          </w:p>
        </w:tc>
        <w:tc>
          <w:tcPr>
            <w:tcW w:type="dxa" w:w="1150"/>
            <w:tcMar>
              <w:top w:type="dxa" w:w="60"/>
              <w:left w:type="dxa" w:w="100"/>
              <w:bottom w:type="dxa" w:w="60"/>
              <w:right w:type="dxa" w:w="100"/>
            </w:tcMar>
          </w:tcPr>
          <w:p>
            <w:pPr>
              <w:jc w:val="left"/>
            </w:pPr>
            <w:r>
              <w:rPr>
                <w:b w:val="false"/>
                <w:bCs w:val="false"/>
                <w:sz w:val="18"/>
                <w:szCs w:val="18"/>
              </w:rPr>
              <w:t xml:space="preserve">9.2</w:t>
            </w:r>
          </w:p>
        </w:tc>
        <w:tc>
          <w:tcPr>
            <w:tcW w:type="dxa" w:w="1150"/>
            <w:tcMar>
              <w:top w:type="dxa" w:w="60"/>
              <w:left w:type="dxa" w:w="100"/>
              <w:bottom w:type="dxa" w:w="60"/>
              <w:right w:type="dxa" w:w="100"/>
            </w:tcMar>
          </w:tcPr>
          <w:p>
            <w:pPr>
              <w:jc w:val="left"/>
            </w:pPr>
            <w:r>
              <w:rPr>
                <w:b w:val="false"/>
                <w:bCs w:val="false"/>
                <w:sz w:val="18"/>
                <w:szCs w:val="18"/>
              </w:rPr>
              <w:t xml:space="preserve">35.3</w:t>
            </w:r>
          </w:p>
        </w:tc>
        <w:tc>
          <w:tcPr>
            <w:tcW w:type="dxa" w:w="1150"/>
            <w:tcMar>
              <w:top w:type="dxa" w:w="60"/>
              <w:left w:type="dxa" w:w="100"/>
              <w:bottom w:type="dxa" w:w="60"/>
              <w:right w:type="dxa" w:w="100"/>
            </w:tcMar>
          </w:tcPr>
          <w:p>
            <w:pPr>
              <w:jc w:val="left"/>
            </w:pPr>
            <w:r>
              <w:rPr>
                <w:b w:val="false"/>
                <w:bCs w:val="false"/>
                <w:sz w:val="18"/>
                <w:szCs w:val="18"/>
              </w:rPr>
              <w:t xml:space="preserve">No</w:t>
            </w:r>
          </w:p>
        </w:tc>
        <w:tc>
          <w:tcPr>
            <w:tcW w:type="dxa" w:w="1150"/>
            <w:tcMar>
              <w:top w:type="dxa" w:w="60"/>
              <w:left w:type="dxa" w:w="100"/>
              <w:bottom w:type="dxa" w:w="60"/>
              <w:right w:type="dxa" w:w="100"/>
            </w:tcMar>
          </w:tcPr>
          <w:p>
            <w:pPr>
              <w:jc w:val="left"/>
            </w:pPr>
            <w:r>
              <w:rPr>
                <w:b w:val="false"/>
                <w:bCs w:val="false"/>
                <w:sz w:val="18"/>
                <w:szCs w:val="18"/>
              </w:rPr>
              <w:t xml:space="preserve">No</w:t>
            </w:r>
          </w:p>
        </w:tc>
        <w:tc>
          <w:tcPr>
            <w:tcW w:type="dxa" w:w="2340"/>
            <w:tcMar>
              <w:top w:type="dxa" w:w="60"/>
              <w:left w:type="dxa" w:w="100"/>
              <w:bottom w:type="dxa" w:w="60"/>
              <w:right w:type="dxa" w:w="100"/>
            </w:tcMar>
          </w:tcPr>
          <w:p>
            <w:pPr>
              <w:jc w:val="left"/>
            </w:pPr>
            <w:r>
              <w:rPr>
                <w:b w:val="false"/>
                <w:bCs w:val="false"/>
                <w:sz w:val="18"/>
                <w:szCs w:val="18"/>
              </w:rPr>
              <w:t xml:space="preserve">Candidate</w:t>
            </w:r>
          </w:p>
        </w:tc>
      </w:tr>
      <w:tr>
        <w:tc>
          <w:tcPr>
            <w:tcW w:type="dxa" w:w="1150"/>
            <w:shd w:fill="F2F2F2" w:val="clear"/>
            <w:tcMar>
              <w:top w:type="dxa" w:w="60"/>
              <w:left w:type="dxa" w:w="100"/>
              <w:bottom w:type="dxa" w:w="60"/>
              <w:right w:type="dxa" w:w="100"/>
            </w:tcMar>
          </w:tcPr>
          <w:p>
            <w:pPr>
              <w:jc w:val="left"/>
            </w:pPr>
            <w:r>
              <w:rPr>
                <w:b w:val="false"/>
                <w:bCs w:val="false"/>
                <w:sz w:val="18"/>
                <w:szCs w:val="18"/>
              </w:rPr>
              <w:t xml:space="preserve">1093.2</w:t>
            </w:r>
          </w:p>
        </w:tc>
        <w:tc>
          <w:tcPr>
            <w:tcW w:type="dxa" w:w="1150"/>
            <w:shd w:fill="F2F2F2" w:val="clear"/>
            <w:tcMar>
              <w:top w:type="dxa" w:w="60"/>
              <w:left w:type="dxa" w:w="100"/>
              <w:bottom w:type="dxa" w:w="60"/>
              <w:right w:type="dxa" w:w="100"/>
            </w:tcMar>
          </w:tcPr>
          <w:p>
            <w:pPr>
              <w:jc w:val="left"/>
            </w:pPr>
            <w:r>
              <w:rPr>
                <w:b w:val="false"/>
                <w:bCs w:val="false"/>
                <w:sz w:val="18"/>
                <w:szCs w:val="18"/>
              </w:rPr>
              <w:t xml:space="preserve">1105.9</w:t>
            </w:r>
          </w:p>
        </w:tc>
        <w:tc>
          <w:tcPr>
            <w:tcW w:type="dxa" w:w="1200"/>
            <w:shd w:fill="F2F2F2" w:val="clear"/>
            <w:tcMar>
              <w:top w:type="dxa" w:w="60"/>
              <w:left w:type="dxa" w:w="100"/>
              <w:bottom w:type="dxa" w:w="60"/>
              <w:right w:type="dxa" w:w="100"/>
            </w:tcMar>
          </w:tcPr>
          <w:p>
            <w:pPr>
              <w:jc w:val="left"/>
            </w:pPr>
            <w:r>
              <w:rPr>
                <w:b w:val="false"/>
                <w:bCs w:val="false"/>
                <w:sz w:val="18"/>
                <w:szCs w:val="18"/>
              </w:rPr>
              <w:t xml:space="preserve">1133.5</w:t>
            </w:r>
          </w:p>
        </w:tc>
        <w:tc>
          <w:tcPr>
            <w:tcW w:type="dxa" w:w="1150"/>
            <w:shd w:fill="F2F2F2" w:val="clear"/>
            <w:tcMar>
              <w:top w:type="dxa" w:w="60"/>
              <w:left w:type="dxa" w:w="100"/>
              <w:bottom w:type="dxa" w:w="60"/>
              <w:right w:type="dxa" w:w="100"/>
            </w:tcMar>
          </w:tcPr>
          <w:p>
            <w:pPr>
              <w:jc w:val="left"/>
            </w:pPr>
            <w:r>
              <w:rPr>
                <w:b w:val="false"/>
                <w:bCs w:val="false"/>
                <w:sz w:val="18"/>
                <w:szCs w:val="18"/>
              </w:rPr>
              <w:t xml:space="preserve">12.7</w:t>
            </w:r>
          </w:p>
        </w:tc>
        <w:tc>
          <w:tcPr>
            <w:tcW w:type="dxa" w:w="1150"/>
            <w:shd w:fill="F2F2F2" w:val="clear"/>
            <w:tcMar>
              <w:top w:type="dxa" w:w="60"/>
              <w:left w:type="dxa" w:w="100"/>
              <w:bottom w:type="dxa" w:w="60"/>
              <w:right w:type="dxa" w:w="100"/>
            </w:tcMar>
          </w:tcPr>
          <w:p>
            <w:pPr>
              <w:jc w:val="left"/>
            </w:pPr>
            <w:r>
              <w:rPr>
                <w:b w:val="false"/>
                <w:bCs w:val="false"/>
                <w:sz w:val="18"/>
                <w:szCs w:val="18"/>
              </w:rPr>
              <w:t xml:space="preserve">40.3</w:t>
            </w:r>
          </w:p>
        </w:tc>
        <w:tc>
          <w:tcPr>
            <w:tcW w:type="dxa" w:w="1150"/>
            <w:shd w:fill="F2F2F2" w:val="clear"/>
            <w:tcMar>
              <w:top w:type="dxa" w:w="60"/>
              <w:left w:type="dxa" w:w="100"/>
              <w:bottom w:type="dxa" w:w="60"/>
              <w:right w:type="dxa" w:w="100"/>
            </w:tcMar>
          </w:tcPr>
          <w:p>
            <w:pPr>
              <w:jc w:val="left"/>
            </w:pPr>
            <w:r>
              <w:rPr>
                <w:b w:val="false"/>
                <w:bCs w:val="false"/>
                <w:sz w:val="18"/>
                <w:szCs w:val="18"/>
              </w:rPr>
              <w:t xml:space="preserve">Yes</w:t>
            </w:r>
          </w:p>
        </w:tc>
        <w:tc>
          <w:tcPr>
            <w:tcW w:type="dxa" w:w="1150"/>
            <w:shd w:fill="F2F2F2" w:val="clear"/>
            <w:tcMar>
              <w:top w:type="dxa" w:w="60"/>
              <w:left w:type="dxa" w:w="100"/>
              <w:bottom w:type="dxa" w:w="60"/>
              <w:right w:type="dxa" w:w="100"/>
            </w:tcMar>
          </w:tcPr>
          <w:p>
            <w:pPr>
              <w:jc w:val="left"/>
            </w:pPr>
            <w:r>
              <w:rPr>
                <w:b w:val="false"/>
                <w:bCs w:val="false"/>
                <w:sz w:val="18"/>
                <w:szCs w:val="18"/>
              </w:rPr>
              <w:t xml:space="preserve">No</w:t>
            </w:r>
          </w:p>
        </w:tc>
        <w:tc>
          <w:tcPr>
            <w:tcW w:type="dxa" w:w="2340"/>
            <w:shd w:fill="F2F2F2" w:val="clear"/>
            <w:tcMar>
              <w:top w:type="dxa" w:w="60"/>
              <w:left w:type="dxa" w:w="100"/>
              <w:bottom w:type="dxa" w:w="60"/>
              <w:right w:type="dxa" w:w="100"/>
            </w:tcMar>
          </w:tcPr>
          <w:p>
            <w:pPr>
              <w:jc w:val="left"/>
            </w:pPr>
            <w:r>
              <w:rPr>
                <w:b w:val="false"/>
                <w:bCs w:val="false"/>
                <w:sz w:val="18"/>
                <w:szCs w:val="18"/>
              </w:rPr>
              <w:t xml:space="preserve">Strong candidate</w:t>
            </w:r>
          </w:p>
        </w:tc>
      </w:tr>
      <w:tr>
        <w:tc>
          <w:tcPr>
            <w:tcW w:type="dxa" w:w="1150"/>
            <w:tcMar>
              <w:top w:type="dxa" w:w="60"/>
              <w:left w:type="dxa" w:w="100"/>
              <w:bottom w:type="dxa" w:w="60"/>
              <w:right w:type="dxa" w:w="100"/>
            </w:tcMar>
          </w:tcPr>
          <w:p>
            <w:pPr>
              <w:jc w:val="left"/>
            </w:pPr>
            <w:r>
              <w:rPr>
                <w:b w:val="false"/>
                <w:bCs w:val="false"/>
                <w:sz w:val="18"/>
                <w:szCs w:val="18"/>
              </w:rPr>
              <w:t xml:space="preserve">1184.6</w:t>
            </w:r>
          </w:p>
        </w:tc>
        <w:tc>
          <w:tcPr>
            <w:tcW w:type="dxa" w:w="1150"/>
            <w:tcMar>
              <w:top w:type="dxa" w:w="60"/>
              <w:left w:type="dxa" w:w="100"/>
              <w:bottom w:type="dxa" w:w="60"/>
              <w:right w:type="dxa" w:w="100"/>
            </w:tcMar>
          </w:tcPr>
          <w:p>
            <w:pPr>
              <w:jc w:val="left"/>
            </w:pPr>
            <w:r>
              <w:rPr>
                <w:b w:val="false"/>
                <w:bCs w:val="false"/>
                <w:sz w:val="18"/>
                <w:szCs w:val="18"/>
              </w:rPr>
              <w:t xml:space="preserve">1178.9</w:t>
            </w:r>
          </w:p>
        </w:tc>
        <w:tc>
          <w:tcPr>
            <w:tcW w:type="dxa" w:w="1200"/>
            <w:tcMar>
              <w:top w:type="dxa" w:w="60"/>
              <w:left w:type="dxa" w:w="100"/>
              <w:bottom w:type="dxa" w:w="60"/>
              <w:right w:type="dxa" w:w="100"/>
            </w:tcMar>
          </w:tcPr>
          <w:p>
            <w:pPr>
              <w:jc w:val="left"/>
            </w:pPr>
            <w:r>
              <w:rPr>
                <w:b w:val="false"/>
                <w:bCs w:val="false"/>
                <w:sz w:val="18"/>
                <w:szCs w:val="18"/>
              </w:rPr>
              <w:t xml:space="preserve">1133.5</w:t>
            </w:r>
          </w:p>
        </w:tc>
        <w:tc>
          <w:tcPr>
            <w:tcW w:type="dxa" w:w="1150"/>
            <w:tcMar>
              <w:top w:type="dxa" w:w="60"/>
              <w:left w:type="dxa" w:w="100"/>
              <w:bottom w:type="dxa" w:w="60"/>
              <w:right w:type="dxa" w:w="100"/>
            </w:tcMar>
          </w:tcPr>
          <w:p>
            <w:pPr>
              <w:jc w:val="left"/>
            </w:pPr>
            <w:r>
              <w:rPr>
                <w:b w:val="false"/>
                <w:bCs w:val="false"/>
                <w:sz w:val="18"/>
                <w:szCs w:val="18"/>
              </w:rPr>
              <w:t xml:space="preserve">5.7</w:t>
            </w:r>
          </w:p>
        </w:tc>
        <w:tc>
          <w:tcPr>
            <w:tcW w:type="dxa" w:w="1150"/>
            <w:tcMar>
              <w:top w:type="dxa" w:w="60"/>
              <w:left w:type="dxa" w:w="100"/>
              <w:bottom w:type="dxa" w:w="60"/>
              <w:right w:type="dxa" w:w="100"/>
            </w:tcMar>
          </w:tcPr>
          <w:p>
            <w:pPr>
              <w:jc w:val="left"/>
            </w:pPr>
            <w:r>
              <w:rPr>
                <w:b w:val="false"/>
                <w:bCs w:val="false"/>
                <w:sz w:val="18"/>
                <w:szCs w:val="18"/>
              </w:rPr>
              <w:t xml:space="preserve">51.1</w:t>
            </w:r>
          </w:p>
        </w:tc>
        <w:tc>
          <w:tcPr>
            <w:tcW w:type="dxa" w:w="1150"/>
            <w:tcMar>
              <w:top w:type="dxa" w:w="60"/>
              <w:left w:type="dxa" w:w="100"/>
              <w:bottom w:type="dxa" w:w="60"/>
              <w:right w:type="dxa" w:w="100"/>
            </w:tcMar>
          </w:tcPr>
          <w:p>
            <w:pPr>
              <w:jc w:val="left"/>
            </w:pPr>
            <w:r>
              <w:rPr>
                <w:b w:val="false"/>
                <w:bCs w:val="false"/>
                <w:sz w:val="18"/>
                <w:szCs w:val="18"/>
              </w:rPr>
              <w:t xml:space="preserve">No</w:t>
            </w:r>
          </w:p>
        </w:tc>
        <w:tc>
          <w:tcPr>
            <w:tcW w:type="dxa" w:w="1150"/>
            <w:tcMar>
              <w:top w:type="dxa" w:w="60"/>
              <w:left w:type="dxa" w:w="100"/>
              <w:bottom w:type="dxa" w:w="60"/>
              <w:right w:type="dxa" w:w="100"/>
            </w:tcMar>
          </w:tcPr>
          <w:p>
            <w:pPr>
              <w:jc w:val="left"/>
            </w:pPr>
            <w:r>
              <w:rPr>
                <w:b w:val="false"/>
                <w:bCs w:val="false"/>
                <w:sz w:val="18"/>
                <w:szCs w:val="18"/>
              </w:rPr>
              <w:t xml:space="preserve">No</w:t>
            </w:r>
          </w:p>
        </w:tc>
        <w:tc>
          <w:tcPr>
            <w:tcW w:type="dxa" w:w="2340"/>
            <w:tcMar>
              <w:top w:type="dxa" w:w="60"/>
              <w:left w:type="dxa" w:w="100"/>
              <w:bottom w:type="dxa" w:w="60"/>
              <w:right w:type="dxa" w:w="100"/>
            </w:tcMar>
          </w:tcPr>
          <w:p>
            <w:pPr>
              <w:jc w:val="left"/>
            </w:pPr>
            <w:r>
              <w:rPr>
                <w:b w:val="false"/>
                <w:bCs w:val="false"/>
                <w:sz w:val="18"/>
                <w:szCs w:val="18"/>
              </w:rPr>
              <w:t xml:space="preserve">Candidate</w:t>
            </w:r>
          </w:p>
        </w:tc>
      </w:tr>
      <w:tr>
        <w:tc>
          <w:tcPr>
            <w:tcW w:type="dxa" w:w="1150"/>
            <w:shd w:fill="F2F2F2" w:val="clear"/>
            <w:tcMar>
              <w:top w:type="dxa" w:w="60"/>
              <w:left w:type="dxa" w:w="100"/>
              <w:bottom w:type="dxa" w:w="60"/>
              <w:right w:type="dxa" w:w="100"/>
            </w:tcMar>
          </w:tcPr>
          <w:p>
            <w:pPr>
              <w:jc w:val="left"/>
            </w:pPr>
            <w:r>
              <w:rPr>
                <w:b w:val="false"/>
                <w:bCs w:val="false"/>
                <w:sz w:val="18"/>
                <w:szCs w:val="18"/>
              </w:rPr>
              <w:t xml:space="preserve">1602.4</w:t>
            </w:r>
          </w:p>
        </w:tc>
        <w:tc>
          <w:tcPr>
            <w:tcW w:type="dxa" w:w="1150"/>
            <w:shd w:fill="F2F2F2" w:val="clear"/>
            <w:tcMar>
              <w:top w:type="dxa" w:w="60"/>
              <w:left w:type="dxa" w:w="100"/>
              <w:bottom w:type="dxa" w:w="60"/>
              <w:right w:type="dxa" w:w="100"/>
            </w:tcMar>
          </w:tcPr>
          <w:p>
            <w:pPr>
              <w:jc w:val="left"/>
            </w:pPr>
            <w:r>
              <w:rPr>
                <w:b w:val="false"/>
                <w:bCs w:val="false"/>
                <w:sz w:val="18"/>
                <w:szCs w:val="18"/>
              </w:rPr>
              <w:t xml:space="preserve">1605.1</w:t>
            </w:r>
          </w:p>
        </w:tc>
        <w:tc>
          <w:tcPr>
            <w:tcW w:type="dxa" w:w="1200"/>
            <w:shd w:fill="F2F2F2" w:val="clear"/>
            <w:tcMar>
              <w:top w:type="dxa" w:w="60"/>
              <w:left w:type="dxa" w:w="100"/>
              <w:bottom w:type="dxa" w:w="60"/>
              <w:right w:type="dxa" w:w="100"/>
            </w:tcMar>
          </w:tcPr>
          <w:p>
            <w:pPr>
              <w:jc w:val="left"/>
            </w:pPr>
            <w:r>
              <w:rPr>
                <w:b w:val="false"/>
                <w:bCs w:val="false"/>
                <w:sz w:val="18"/>
                <w:szCs w:val="18"/>
              </w:rPr>
              <w:t xml:space="preserve">1602.7</w:t>
            </w:r>
          </w:p>
        </w:tc>
        <w:tc>
          <w:tcPr>
            <w:tcW w:type="dxa" w:w="1150"/>
            <w:shd w:fill="F2F2F2" w:val="clear"/>
            <w:tcMar>
              <w:top w:type="dxa" w:w="60"/>
              <w:left w:type="dxa" w:w="100"/>
              <w:bottom w:type="dxa" w:w="60"/>
              <w:right w:type="dxa" w:w="100"/>
            </w:tcMar>
          </w:tcPr>
          <w:p>
            <w:pPr>
              <w:jc w:val="left"/>
            </w:pPr>
            <w:r>
              <w:rPr>
                <w:b w:val="false"/>
                <w:bCs w:val="false"/>
                <w:sz w:val="18"/>
                <w:szCs w:val="18"/>
              </w:rPr>
              <w:t xml:space="preserve">2.7</w:t>
            </w:r>
          </w:p>
        </w:tc>
        <w:tc>
          <w:tcPr>
            <w:tcW w:type="dxa" w:w="1150"/>
            <w:shd w:fill="F2F2F2" w:val="clear"/>
            <w:tcMar>
              <w:top w:type="dxa" w:w="60"/>
              <w:left w:type="dxa" w:w="100"/>
              <w:bottom w:type="dxa" w:w="60"/>
              <w:right w:type="dxa" w:w="100"/>
            </w:tcMar>
          </w:tcPr>
          <w:p>
            <w:pPr>
              <w:jc w:val="left"/>
            </w:pPr>
            <w:r>
              <w:rPr>
                <w:b w:val="false"/>
                <w:bCs w:val="false"/>
                <w:sz w:val="18"/>
                <w:szCs w:val="18"/>
              </w:rPr>
              <w:t xml:space="preserve">0.3</w:t>
            </w:r>
          </w:p>
        </w:tc>
        <w:tc>
          <w:tcPr>
            <w:tcW w:type="dxa" w:w="1150"/>
            <w:shd w:fill="F2F2F2" w:val="clear"/>
            <w:tcMar>
              <w:top w:type="dxa" w:w="60"/>
              <w:left w:type="dxa" w:w="100"/>
              <w:bottom w:type="dxa" w:w="60"/>
              <w:right w:type="dxa" w:w="100"/>
            </w:tcMar>
          </w:tcPr>
          <w:p>
            <w:pPr>
              <w:jc w:val="left"/>
            </w:pPr>
            <w:r>
              <w:rPr>
                <w:b w:val="false"/>
                <w:bCs w:val="false"/>
                <w:sz w:val="18"/>
                <w:szCs w:val="18"/>
              </w:rPr>
              <w:t xml:space="preserve">No</w:t>
            </w:r>
          </w:p>
        </w:tc>
        <w:tc>
          <w:tcPr>
            <w:tcW w:type="dxa" w:w="1150"/>
            <w:shd w:fill="F2F2F2" w:val="clear"/>
            <w:tcMar>
              <w:top w:type="dxa" w:w="60"/>
              <w:left w:type="dxa" w:w="100"/>
              <w:bottom w:type="dxa" w:w="60"/>
              <w:right w:type="dxa" w:w="100"/>
            </w:tcMar>
          </w:tcPr>
          <w:p>
            <w:pPr>
              <w:jc w:val="left"/>
            </w:pPr>
            <w:r>
              <w:rPr>
                <w:b w:val="false"/>
                <w:bCs w:val="false"/>
                <w:sz w:val="18"/>
                <w:szCs w:val="18"/>
              </w:rPr>
              <w:t xml:space="preserve">Yes</w:t>
            </w:r>
          </w:p>
        </w:tc>
        <w:tc>
          <w:tcPr>
            <w:tcW w:type="dxa" w:w="2340"/>
            <w:shd w:fill="F2F2F2" w:val="clear"/>
            <w:tcMar>
              <w:top w:type="dxa" w:w="60"/>
              <w:left w:type="dxa" w:w="100"/>
              <w:bottom w:type="dxa" w:w="60"/>
              <w:right w:type="dxa" w:w="100"/>
            </w:tcMar>
          </w:tcPr>
          <w:p>
            <w:pPr>
              <w:jc w:val="left"/>
            </w:pPr>
            <w:r>
              <w:rPr>
                <w:b w:val="false"/>
                <w:bCs w:val="false"/>
                <w:sz w:val="18"/>
                <w:szCs w:val="18"/>
              </w:rPr>
              <w:t xml:space="preserve">Substrate artifact</w:t>
            </w:r>
          </w:p>
        </w:tc>
      </w:tr>
      <w:tr>
        <w:tc>
          <w:tcPr>
            <w:tcW w:type="dxa" w:w="1150"/>
            <w:tcMar>
              <w:top w:type="dxa" w:w="60"/>
              <w:left w:type="dxa" w:w="100"/>
              <w:bottom w:type="dxa" w:w="60"/>
              <w:right w:type="dxa" w:w="100"/>
            </w:tcMar>
          </w:tcPr>
          <w:p>
            <w:pPr>
              <w:jc w:val="left"/>
            </w:pPr>
            <w:r>
              <w:rPr>
                <w:b w:val="false"/>
                <w:bCs w:val="false"/>
                <w:sz w:val="18"/>
                <w:szCs w:val="18"/>
              </w:rPr>
              <w:t xml:space="preserve">1784.2</w:t>
            </w:r>
          </w:p>
        </w:tc>
        <w:tc>
          <w:tcPr>
            <w:tcW w:type="dxa" w:w="1150"/>
            <w:tcMar>
              <w:top w:type="dxa" w:w="60"/>
              <w:left w:type="dxa" w:w="100"/>
              <w:bottom w:type="dxa" w:w="60"/>
              <w:right w:type="dxa" w:w="100"/>
            </w:tcMar>
          </w:tcPr>
          <w:p>
            <w:pPr>
              <w:jc w:val="left"/>
            </w:pPr>
            <w:r>
              <w:rPr>
                <w:b w:val="false"/>
                <w:bCs w:val="false"/>
                <w:sz w:val="18"/>
                <w:szCs w:val="18"/>
              </w:rPr>
              <w:t xml:space="preserve">—</w:t>
            </w:r>
          </w:p>
        </w:tc>
        <w:tc>
          <w:tcPr>
            <w:tcW w:type="dxa" w:w="1200"/>
            <w:tcMar>
              <w:top w:type="dxa" w:w="60"/>
              <w:left w:type="dxa" w:w="100"/>
              <w:bottom w:type="dxa" w:w="60"/>
              <w:right w:type="dxa" w:w="100"/>
            </w:tcMar>
          </w:tcPr>
          <w:p>
            <w:pPr>
              <w:jc w:val="left"/>
            </w:pPr>
            <w:r>
              <w:rPr>
                <w:b w:val="false"/>
                <w:bCs w:val="false"/>
                <w:sz w:val="18"/>
                <w:szCs w:val="18"/>
              </w:rPr>
              <w:t xml:space="preserve">1893.2</w:t>
            </w:r>
          </w:p>
        </w:tc>
        <w:tc>
          <w:tcPr>
            <w:tcW w:type="dxa" w:w="1150"/>
            <w:tcMar>
              <w:top w:type="dxa" w:w="60"/>
              <w:left w:type="dxa" w:w="100"/>
              <w:bottom w:type="dxa" w:w="60"/>
              <w:right w:type="dxa" w:w="100"/>
            </w:tcMar>
          </w:tcPr>
          <w:p>
            <w:pPr>
              <w:jc w:val="left"/>
            </w:pPr>
            <w:r>
              <w:rPr>
                <w:b w:val="false"/>
                <w:bCs w:val="false"/>
                <w:sz w:val="18"/>
                <w:szCs w:val="18"/>
              </w:rPr>
              <w:t xml:space="preserve">94.6</w:t>
            </w:r>
          </w:p>
        </w:tc>
        <w:tc>
          <w:tcPr>
            <w:tcW w:type="dxa" w:w="1150"/>
            <w:tcMar>
              <w:top w:type="dxa" w:w="60"/>
              <w:left w:type="dxa" w:w="100"/>
              <w:bottom w:type="dxa" w:w="60"/>
              <w:right w:type="dxa" w:w="100"/>
            </w:tcMar>
          </w:tcPr>
          <w:p>
            <w:pPr>
              <w:jc w:val="left"/>
            </w:pPr>
            <w:r>
              <w:rPr>
                <w:b w:val="false"/>
                <w:bCs w:val="false"/>
                <w:sz w:val="18"/>
                <w:szCs w:val="18"/>
              </w:rPr>
              <w:t xml:space="preserve">109</w:t>
            </w:r>
          </w:p>
        </w:tc>
        <w:tc>
          <w:tcPr>
            <w:tcW w:type="dxa" w:w="1150"/>
            <w:tcMar>
              <w:top w:type="dxa" w:w="60"/>
              <w:left w:type="dxa" w:w="100"/>
              <w:bottom w:type="dxa" w:w="60"/>
              <w:right w:type="dxa" w:w="100"/>
            </w:tcMar>
          </w:tcPr>
          <w:p>
            <w:pPr>
              <w:jc w:val="left"/>
            </w:pPr>
            <w:r>
              <w:rPr>
                <w:b w:val="false"/>
                <w:bCs w:val="false"/>
                <w:sz w:val="18"/>
                <w:szCs w:val="18"/>
              </w:rPr>
              <w:t xml:space="preserve">No</w:t>
            </w:r>
          </w:p>
        </w:tc>
        <w:tc>
          <w:tcPr>
            <w:tcW w:type="dxa" w:w="1150"/>
            <w:tcMar>
              <w:top w:type="dxa" w:w="60"/>
              <w:left w:type="dxa" w:w="100"/>
              <w:bottom w:type="dxa" w:w="60"/>
              <w:right w:type="dxa" w:w="100"/>
            </w:tcMar>
          </w:tcPr>
          <w:p>
            <w:pPr>
              <w:jc w:val="left"/>
            </w:pPr>
            <w:r>
              <w:rPr>
                <w:b w:val="false"/>
                <w:bCs w:val="false"/>
                <w:sz w:val="18"/>
                <w:szCs w:val="18"/>
              </w:rPr>
              <w:t xml:space="preserve">No</w:t>
            </w:r>
          </w:p>
        </w:tc>
        <w:tc>
          <w:tcPr>
            <w:tcW w:type="dxa" w:w="2340"/>
            <w:tcMar>
              <w:top w:type="dxa" w:w="60"/>
              <w:left w:type="dxa" w:w="100"/>
              <w:bottom w:type="dxa" w:w="60"/>
              <w:right w:type="dxa" w:w="100"/>
            </w:tcMar>
          </w:tcPr>
          <w:p>
            <w:pPr>
              <w:jc w:val="left"/>
            </w:pPr>
            <w:r>
              <w:rPr>
                <w:b w:val="false"/>
                <w:bCs w:val="false"/>
                <w:sz w:val="18"/>
                <w:szCs w:val="18"/>
              </w:rPr>
              <w:t xml:space="preserve">Unmatched</w:t>
            </w:r>
          </w:p>
        </w:tc>
      </w:tr>
    </w:tbl>
    <w:p>
      <w:pPr>
        <w:spacing w:after="120"/>
      </w:pPr>
      <w:r>
        <w:rPr>
          <w:b/>
          <w:bCs/>
        </w:rPr>
        <w:t xml:space="preserve">Classification tally: Confirmed = 0, Strong candidate = 1, Candidate = 3, Unconfirmed = 1, Substrate artifact = 1, Unmatched = 1.</w:t>
      </w:r>
    </w:p>
    <w:p>
      <w:pPr>
        <w:pBdr>
          <w:left w:val="single" w:color="C0504D" w:sz="18" w:space="8"/>
        </w:pBdr>
        <w:spacing w:after="200" w:before="120"/>
        <w:ind w:left="200"/>
      </w:pPr>
      <w:r>
        <w:rPr>
          <w:i/>
          <w:iCs/>
        </w:rPr>
        <w:t xml:space="preserve">The 1093.2 cm⁻¹ band — the strongest candidate identified in Section 5 — has no SERS peak within 15 cm⁻¹ (nearest candidate is 1133.5 cm⁻¹, Δ = 40.3 cm⁻¹) and is therefore classified Strong candidate rather than Confirmed: it is supported by DFT, powder Raman, and literature, but does not currently have a validated SERS counterpart. This is stated directly rather than inferring SERS support from proximity to a promising powder/DFT/literature band. No band in the current dataset qualifies as Confirmed.</w:t>
      </w:r>
    </w:p>
    <w:p>
      <w:r>
        <w:br w:type="page"/>
      </w:r>
    </w:p>
    <w:p>
      <w:pPr>
        <w:pStyle w:val="Heading1"/>
        <w:spacing w:after="160" w:before="360"/>
      </w:pPr>
      <w:r>
        <w:t xml:space="preserve">9. Limitations / Data-Quality Considerations</w:t>
      </w:r>
    </w:p>
    <w:p>
      <w:pPr>
        <w:pStyle w:val="ListParagraph"/>
        <w:numPr>
          <w:ilvl w:val="0"/>
          <w:numId w:val="1"/>
        </w:numPr>
        <w:spacing w:after="80"/>
      </w:pPr>
      <w:r>
        <w:t xml:space="preserve">DFT coverage is fragment-based only. The three calculated fragments are isolated building blocks of LTA, not the assembled, phosphodiester-linked, lipid-anchored polymer; a whole-molecule calculation was attempted but did not complete. Agreement between an experimental peak and a fragment feature is a qualitative consistency check, not confirmation of the intact structure.</w:t>
      </w:r>
    </w:p>
    <w:p>
      <w:pPr>
        <w:pStyle w:val="ListParagraph"/>
        <w:numPr>
          <w:ilvl w:val="0"/>
          <w:numId w:val="1"/>
        </w:numPr>
        <w:spacing w:after="80"/>
      </w:pPr>
      <w:r>
        <w:t xml:space="preserve">The DFT fragment outputs are broadened/interpolated curves rather than discrete vibrational-mode lists, so no mode number or symmetry label can be reported, and "DFT peak position" here means a local maximum of that curve, which carries its own small positional uncertainty beyond the stated Δ values.</w:t>
      </w:r>
    </w:p>
    <w:p>
      <w:pPr>
        <w:pStyle w:val="ListParagraph"/>
        <w:numPr>
          <w:ilvl w:val="0"/>
          <w:numId w:val="1"/>
        </w:numPr>
        <w:spacing w:after="80"/>
      </w:pPr>
      <w:r>
        <w:t xml:space="preserve">Experimental peak intensities are less reproducible than peak positions; three of the seven characteristic bands exceed 15% intensity CV across the 12 measurement spots, and this should temper any confidence rating based on intensity alone.</w:t>
      </w:r>
    </w:p>
    <w:p>
      <w:pPr>
        <w:pStyle w:val="ListParagraph"/>
        <w:numPr>
          <w:ilvl w:val="0"/>
          <w:numId w:val="1"/>
        </w:numPr>
        <w:spacing w:after="80"/>
      </w:pPr>
      <w:r>
        <w:t xml:space="preserve">Literature comparison is limited to the tier table already compiled in the project's own reference document; the underlying original papers were not independently re-examined for sample type (purified LTA vs. whole bacterial cells) within the scope of this report, so literature matches should be treated as provisional pending source-level verification.</w:t>
      </w:r>
    </w:p>
    <w:p>
      <w:pPr>
        <w:pStyle w:val="ListParagraph"/>
        <w:numPr>
          <w:ilvl w:val="0"/>
          <w:numId w:val="1"/>
        </w:numPr>
        <w:spacing w:after="80"/>
      </w:pPr>
      <w:r>
        <w:t xml:space="preserve">SERS evidence is based on a single averaged candidate spectrum (15 raw spectra) and a single averaged blank (27 raw spectra), without a per-spot reproducibility check comparable to the powder-Raman analysis in Section 1. Candidate peaks not shared with the blank have not yet been checked at the pixel level for the same artifact type the project previously identified and retracted in this same dataset.</w:t>
      </w:r>
    </w:p>
    <w:p>
      <w:pPr>
        <w:pStyle w:val="ListParagraph"/>
        <w:numPr>
          <w:ilvl w:val="0"/>
          <w:numId w:val="1"/>
        </w:numPr>
        <w:spacing w:after="80"/>
      </w:pPr>
      <w:r>
        <w:t xml:space="preserve">A composite NNLS spectral-fit result reported elsewhere in the project's documentation (R² = −0.294 for the LTA fit) could not be independently reproduced from any script located during this review, and is not relied upon anywhere in this report.</w:t>
      </w:r>
    </w:p>
    <w:p>
      <w:r>
        <w:br w:type="page"/>
      </w:r>
    </w:p>
    <w:p>
      <w:pPr>
        <w:pStyle w:val="Heading1"/>
        <w:spacing w:after="160" w:before="360"/>
      </w:pPr>
      <w:r>
        <w:t xml:space="preserve">10. Recommended Next Experiments</w:t>
      </w:r>
    </w:p>
    <w:p>
      <w:pPr>
        <w:pStyle w:val="ListParagraph"/>
        <w:numPr>
          <w:ilvl w:val="0"/>
          <w:numId w:val="1"/>
        </w:numPr>
        <w:spacing w:after="80"/>
      </w:pPr>
      <w:r>
        <w:t xml:space="preserve">Attempt a working whole-molecule (or larger, explicitly linked-fragment) LTA DFT calculation, since the current comparison cannot move past isolated-monomer limitations without one.</w:t>
      </w:r>
    </w:p>
    <w:p>
      <w:pPr>
        <w:pStyle w:val="ListParagraph"/>
        <w:numPr>
          <w:ilvl w:val="0"/>
          <w:numId w:val="1"/>
        </w:numPr>
        <w:spacing w:after="80"/>
      </w:pPr>
      <w:r>
        <w:t xml:space="preserve">Acquire a second, independent powder-Raman replicate set (different preparation/session) to test whether all 7 characteristic peaks — particularly the two DFT-unmatched bands, 794.5 and 1784.2 cm⁻¹ — reproduce outside the single 12-spot dataset analyzed here.</w:t>
      </w:r>
    </w:p>
    <w:p>
      <w:pPr>
        <w:pStyle w:val="ListParagraph"/>
        <w:numPr>
          <w:ilvl w:val="0"/>
          <w:numId w:val="1"/>
        </w:numPr>
        <w:spacing w:after="80"/>
      </w:pPr>
      <w:r>
        <w:t xml:space="preserve">Perform pixel/spot-level inspection of the 9 candidate-only SERS peaks identified in Section 6, using the same method that previously identified the single-pixel artifact in this dataset, before any of them is presented as a validated LTA SERS signal.</w:t>
      </w:r>
    </w:p>
    <w:p>
      <w:pPr>
        <w:pStyle w:val="ListParagraph"/>
        <w:numPr>
          <w:ilvl w:val="0"/>
          <w:numId w:val="1"/>
        </w:numPr>
        <w:spacing w:after="80"/>
      </w:pPr>
      <w:r>
        <w:t xml:space="preserve">Collect additional independent SERS replicates (new substrate batch, new blank pair) focused on the 1080–1095 cm⁻¹ region specifically, since this is the strongest DFT+powder+literature convergence point and currently the one most worth pursuing at the SERS level.</w:t>
      </w:r>
    </w:p>
    <w:p>
      <w:r>
        <w:br w:type="page"/>
      </w:r>
    </w:p>
    <w:p>
      <w:pPr>
        <w:pStyle w:val="Heading1"/>
        <w:spacing w:after="160" w:before="360"/>
      </w:pPr>
      <w:r>
        <w:t xml:space="preserve">Final Conclusion — What Have We Actually Demonstrated for LTA?</w:t>
      </w:r>
    </w:p>
    <w:p>
      <w:pPr>
        <w:pStyle w:val="ListParagraph"/>
        <w:numPr>
          <w:ilvl w:val="0"/>
          <w:numId w:val="1"/>
        </w:numPr>
        <w:spacing w:after="80"/>
      </w:pPr>
      <w:r>
        <w:t xml:space="preserve">LTA powder Raman data are available and reproducible in peak position across 12 measurement spots, giving 7 characteristic bands with well-defined positions (though not uniformly well-defined intensities).</w:t>
      </w:r>
    </w:p>
    <w:p>
      <w:pPr>
        <w:pStyle w:val="ListParagraph"/>
        <w:numPr>
          <w:ilvl w:val="0"/>
          <w:numId w:val="1"/>
        </w:numPr>
        <w:spacing w:after="80"/>
      </w:pPr>
      <w:r>
        <w:t xml:space="preserve">Three LTA-related molecular fragments — glycerol-phosphate, D-alanine, and GlcNAc — have DFT Raman calculations; the intact LTA molecule does not.</w:t>
      </w:r>
    </w:p>
    <w:p>
      <w:pPr>
        <w:pStyle w:val="ListParagraph"/>
        <w:numPr>
          <w:ilvl w:val="0"/>
          <w:numId w:val="1"/>
        </w:numPr>
        <w:spacing w:after="80"/>
      </w:pPr>
      <w:r>
        <w:t xml:space="preserve">Five of the seven powder bands show qualitative positional consistency with a DFT fragment feature (MAE 7.2 cm⁻¹, RMSE 8.0 cm⁻¹ for those five); two do not and are reported as unmatched.</w:t>
      </w:r>
    </w:p>
    <w:p>
      <w:pPr>
        <w:pStyle w:val="ListParagraph"/>
        <w:numPr>
          <w:ilvl w:val="0"/>
          <w:numId w:val="1"/>
        </w:numPr>
        <w:spacing w:after="80"/>
      </w:pPr>
      <w:r>
        <w:t xml:space="preserve">Because the DFT comparison is fragment-based, it does not constitute a complete structural simulation of intact LTA, and agreement should be read as consistency with LTA's known chemical building blocks, not as identification of the polymer.</w:t>
      </w:r>
    </w:p>
    <w:p>
      <w:pPr>
        <w:pStyle w:val="ListParagraph"/>
        <w:numPr>
          <w:ilvl w:val="0"/>
          <w:numId w:val="1"/>
        </w:numPr>
        <w:spacing w:after="80"/>
      </w:pPr>
      <w:r>
        <w:t xml:space="preserve">1093.2 cm⁻¹ is the strongest convergence point in the dataset: it agrees with the DFT fragment evidence and falls within the literature-confirmed phosphodiester PO₂⁻ region, though its own intensity reproducibility is the weakest of the matched bands.</w:t>
      </w:r>
    </w:p>
    <w:p>
      <w:pPr>
        <w:pStyle w:val="ListParagraph"/>
        <w:numPr>
          <w:ilvl w:val="0"/>
          <w:numId w:val="1"/>
        </w:numPr>
        <w:spacing w:after="80"/>
      </w:pPr>
      <w:r>
        <w:t xml:space="preserve">LTA SERS candidate data are available, but no SERS peak is currently validated as an LTA-specific signal once the blank substrate is accounted for.</w:t>
      </w:r>
    </w:p>
    <w:p>
      <w:pPr>
        <w:pStyle w:val="ListParagraph"/>
        <w:numPr>
          <w:ilvl w:val="0"/>
          <w:numId w:val="1"/>
        </w:numPr>
        <w:spacing w:after="80"/>
      </w:pPr>
      <w:r>
        <w:t xml:space="preserve">The 1602 cm⁻¹ SERS/powder coincidence is classified as a substrate artifact, not an LTA detection, because the same position is present in the blank.</w:t>
      </w:r>
    </w:p>
    <w:p>
      <w:pPr>
        <w:pStyle w:val="ListParagraph"/>
        <w:numPr>
          <w:ilvl w:val="0"/>
          <w:numId w:val="1"/>
        </w:numPr>
        <w:spacing w:after="80"/>
      </w:pPr>
      <w:r>
        <w:t xml:space="preserve">Further SERS validation should focus on the reproducible candidate bands identified after blank subtraction, prioritizing the 1080–1095 cm⁻¹ region, and should include pixel/spot-level validation before any positive claim is made.</w:t>
      </w:r>
    </w:p>
    <w:p>
      <w:pPr>
        <w:spacing w:after="120"/>
      </w:pPr>
      <w:r>
        <w:rPr>
          <w:b/>
          <w:bCs/>
        </w:rPr>
        <w:t xml:space="preserve">In short: the project currently supports LTA identification by powder Raman + DFT fragment + literature convergence at one band (1093.2 cm⁻¹), with everything else either unconfirmed, fragment-limited, or explained by the substrate. No claim beyond this should be presented as demonstrated.</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LTA Raman Spectroscopic Characterization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637c970a77e2af0d11b9da1fc531475c9d5431.png"/><Relationship Id="rId10" Type="http://schemas.openxmlformats.org/officeDocument/2006/relationships/image" Target="media/9cb274200303446d2f777970ed7a7ea7c18a8e29.png"/><Relationship Id="rId11" Type="http://schemas.openxmlformats.org/officeDocument/2006/relationships/image" Target="media/2d6d330c293f80490f5c3ed4b9044e0f0ffcb131.png"/><Relationship Id="rId12" Type="http://schemas.openxmlformats.org/officeDocument/2006/relationships/image" Target="media/8f7225a179fc9960986170139029370de6fa3643.png"/><Relationship Id="rId13" Type="http://schemas.openxmlformats.org/officeDocument/2006/relationships/image" Target="media/032215369a267e1a7d17c03f2ae95531723c4f57.png"/><Relationship Id="rId14" Type="http://schemas.openxmlformats.org/officeDocument/2006/relationships/image" Target="media/f384105fba3edf3e77b2c4d2f7b58b533c0792d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2026-08-30T01:53:54.211Z</dcterms:created>
  <dcterms:modified xsi:type="dcterms:W3CDTF">2026-08-30T01:53:54.212Z</dcterms:modified>
</cp:coreProperties>
</file>

<file path=docProps/custom.xml><?xml version="1.0" encoding="utf-8"?>
<Properties xmlns="http://schemas.openxmlformats.org/officeDocument/2006/custom-properties" xmlns:vt="http://schemas.openxmlformats.org/officeDocument/2006/docPropsVTypes"/>
</file>