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Fabrication and Evaluation of Ag/Black-Silicon SERS Substrates for Detection of Bacterial Cell-Wall Biomarkers</w:t>
      </w:r>
    </w:p>
    <w:p>
      <w:pPr>
        <w:spacing w:after="120"/>
        <w:jc w:val="center"/>
      </w:pPr>
      <w:r>
        <w:rPr>
          <w:b w:val="0"/>
          <w:i/>
          <w:sz w:val="25"/>
        </w:rPr>
        <w:t>Experimental Report — with Detailed Analysis of the N-Acetylmuramic Acid Negative Result</w:t>
      </w:r>
    </w:p>
    <w:p>
      <w:pPr>
        <w:jc w:val="center"/>
      </w:pPr>
      <w:r>
        <w:rPr>
          <w:color w:val="1B3A6B"/>
        </w:rPr>
        <w:t>____________________________________________________________</w:t>
      </w:r>
    </w:p>
    <w:p/>
    <w:p>
      <w:pPr>
        <w:spacing w:after="120"/>
        <w:jc w:val="center"/>
      </w:pPr>
      <w:r>
        <w:rPr>
          <w:b w:val="0"/>
          <w:i w:val="0"/>
          <w:sz w:val="20"/>
        </w:rPr>
        <w:t>Sukesh P (M24IM1007)  |  M.Tech, Joint IDRP, IIT Jodhpur &amp; AIIMS Jodhpur</w:t>
      </w:r>
    </w:p>
    <w:p>
      <w:pPr>
        <w:spacing w:after="120"/>
        <w:jc w:val="center"/>
      </w:pPr>
      <w:r>
        <w:rPr>
          <w:b w:val="0"/>
          <w:i/>
          <w:sz w:val="19"/>
        </w:rPr>
        <w:t>Supervisor: Prof. Ajay Agarwal  |  Reporting period: 12–16 August 2026</w:t>
      </w:r>
    </w:p>
    <w:p/>
    <w:p>
      <w:pPr>
        <w:pStyle w:val="Heading1"/>
      </w:pPr>
      <w:r>
        <w:t>1. Introduction and Objectives</w:t>
      </w:r>
    </w:p>
    <w:p>
      <w:pPr>
        <w:spacing w:after="80"/>
      </w:pPr>
      <w:r>
        <w:rPr>
          <w:b w:val="0"/>
          <w:i w:val="0"/>
        </w:rPr>
        <w:t>Sepsis diagnosis would benefit substantially from rapid, label-free detection of bacterial cell-wall biomarkers in clinical samples. N-acetylmuramic acid (NAM, MurNAc) is an attractive candidate marker because it is a structural component of peptidoglycan common to essentially all bacteria, and because it is not synthesised by human cells. Surface-enhanced Raman spectroscopy (SERS) offers a route to label-free molecular detection with high sensitivity, provided a suitable plasmonic substrate is available.</w:t>
      </w:r>
    </w:p>
    <w:p>
      <w:pPr>
        <w:spacing w:after="60"/>
      </w:pPr>
      <w:r>
        <w:rPr>
          <w:b w:val="0"/>
          <w:i w:val="0"/>
        </w:rPr>
        <w:t>The objectives of the work reported here were:</w:t>
      </w:r>
    </w:p>
    <w:p>
      <w:pPr>
        <w:pStyle w:val="ListNumber"/>
        <w:spacing w:after="60"/>
      </w:pPr>
      <w:r>
        <w:t>To fabricate silver-decorated black-silicon SERS substrates by one-step metal-assisted chemical etching (MACE) and to determine the effect of etch time on SERS enhancement.</w:t>
      </w:r>
    </w:p>
    <w:p>
      <w:pPr>
        <w:pStyle w:val="ListNumber"/>
        <w:spacing w:after="60"/>
      </w:pPr>
      <w:r>
        <w:t>To validate the fabricated substrates using Rhodamine 6G (R6G) as a reference analyte.</w:t>
      </w:r>
    </w:p>
    <w:p>
      <w:pPr>
        <w:pStyle w:val="ListNumber"/>
        <w:spacing w:after="60"/>
      </w:pPr>
      <w:r>
        <w:t>To attempt label-free detection of NAM on these substrates.</w:t>
      </w:r>
    </w:p>
    <w:p>
      <w:pPr>
        <w:pStyle w:val="ListNumber"/>
        <w:spacing w:after="60"/>
      </w:pPr>
      <w:r>
        <w:t>Where detection was not achieved, to determine the cause rigorously and to establish whether the limitation lies in the substrate, the measurement, or the analyte itself.</w:t>
      </w:r>
    </w:p>
    <w:p>
      <w:pPr>
        <w:pStyle w:val="ListNumber"/>
        <w:spacing w:after="60"/>
      </w:pPr>
      <w:r>
        <w:t>To establish a reference dataset and a defensible analysis procedure for all subsequent measurements.</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Principal outcome: the substrates were confirmed to be strongly SERS-active, but NAM was not detected. Section 5 establishes, on the basis of experimental evidence rather than assumption, that this is a consequence of the molecular properties of NAM and not a failure of the substrate or the instrument.</w:t>
            </w:r>
          </w:p>
        </w:tc>
      </w:tr>
    </w:tbl>
    <w:p>
      <w:pPr>
        <w:spacing w:after="80"/>
      </w:pPr>
    </w:p>
    <w:p>
      <w:r>
        <w:br w:type="page"/>
      </w:r>
    </w:p>
    <w:p>
      <w:pPr>
        <w:pStyle w:val="Heading1"/>
      </w:pPr>
      <w:r>
        <w:t>2. Materials and Methods</w:t>
      </w:r>
    </w:p>
    <w:p>
      <w:pPr>
        <w:pStyle w:val="Heading2"/>
      </w:pPr>
      <w:r>
        <w:t>2.1  Substrate fabrication</w:t>
      </w:r>
    </w:p>
    <w:p>
      <w:pPr>
        <w:spacing w:after="60"/>
      </w:pPr>
      <w:r>
        <w:rPr>
          <w:b w:val="0"/>
          <w:i w:val="0"/>
        </w:rPr>
        <w:t>Silicon pieces were cleaned sequentially in acetone, 2-propanol and deionised water (5 min ultrasonic agitation in each), then dried. Immediately before etching, the native oxide was removed by a brief immersion in dilute hydrofluoric acid (approximately 10% HF, 30–60 s), followed by a deionised water rinse.</w:t>
      </w:r>
    </w:p>
    <w:p>
      <w:pPr>
        <w:spacing w:after="60"/>
      </w:pPr>
      <w:r>
        <w:rPr>
          <w:b w:val="0"/>
          <w:i w:val="0"/>
        </w:rPr>
        <w:t>Substrates were fabricated by one-step MACE. Silver nitrate (0.170 g) was dissolved in deionised water, concentrated hydrofluoric acid (8.6 mL) was added, and the solution was made up to a final volume of 50 mL, giving nominal concentrations of 20 mM AgNO₃ and approximately 4.8 M HF. In this single-step process silver is galvanically reduced onto the silicon surface while the underlying silicon is simultaneously oxidised and dissolved by HF, so that silver deposition and silicon nanostructuring occur concurrently. Three etch times were investigated: 2, 5 and 10 minutes, at room temperature. Substrates were then rinsed thoroughly in deionised water and dried.</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All work involving hydrofluoric acid was carried out in a fume hood using polypropylene or PTFE labware, with double gloves incorporating an HF-rated outer layer, face shield, calcium gluconate gel available on site, and never alone. Silver-bearing waste was segregated from the general acid waste stream.</w:t>
            </w:r>
          </w:p>
        </w:tc>
      </w:tr>
    </w:tbl>
    <w:p>
      <w:pPr>
        <w:spacing w:after="80"/>
      </w:pPr>
    </w:p>
    <w:p>
      <w:pPr>
        <w:pStyle w:val="Heading2"/>
      </w:pPr>
      <w:r>
        <w:t>2.2  Analyte preparation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1B3A6B"/>
          </w:tcPr>
          <w:p>
            <w:r/>
            <w:r>
              <w:rPr>
                <w:b/>
                <w:color w:val="FFFFFF"/>
                <w:sz w:val="18"/>
              </w:rPr>
              <w:t>Analyte</w:t>
            </w:r>
          </w:p>
        </w:tc>
        <w:tc>
          <w:tcPr>
            <w:tcW w:type="dxa" w:w="3744"/>
            <w:shd w:val="clear" w:fill="1B3A6B"/>
          </w:tcPr>
          <w:p>
            <w:r/>
            <w:r>
              <w:rPr>
                <w:b/>
                <w:color w:val="FFFFFF"/>
                <w:sz w:val="18"/>
              </w:rPr>
              <w:t>Preparation</w:t>
            </w:r>
          </w:p>
        </w:tc>
        <w:tc>
          <w:tcPr>
            <w:tcW w:type="dxa" w:w="3888"/>
            <w:shd w:val="clear" w:fill="1B3A6B"/>
          </w:tcPr>
          <w:p>
            <w:r/>
            <w:r>
              <w:rPr>
                <w:b/>
                <w:color w:val="FFFFFF"/>
                <w:sz w:val="18"/>
              </w:rPr>
              <w:t>Concentrations examined</w:t>
            </w:r>
          </w:p>
        </w:tc>
      </w:tr>
      <w:tr>
        <w:tc>
          <w:tcPr>
            <w:tcW w:type="dxa" w:w="2160"/>
          </w:tcPr>
          <w:p>
            <w:r/>
            <w:r>
              <w:rPr>
                <w:sz w:val="16"/>
              </w:rPr>
              <w:t>Rhodamine 6G</w:t>
            </w:r>
          </w:p>
        </w:tc>
        <w:tc>
          <w:tcPr>
            <w:tcW w:type="dxa" w:w="3744"/>
          </w:tcPr>
          <w:p>
            <w:r/>
            <w:r>
              <w:rPr>
                <w:sz w:val="16"/>
              </w:rPr>
              <w:t>Aqueous solution</w:t>
            </w:r>
          </w:p>
        </w:tc>
        <w:tc>
          <w:tcPr>
            <w:tcW w:type="dxa" w:w="3888"/>
          </w:tcPr>
          <w:p>
            <w:r/>
            <w:r>
              <w:rPr>
                <w:sz w:val="16"/>
              </w:rPr>
              <w:t>0.1, 0.01, 0.001 mM</w:t>
            </w:r>
          </w:p>
        </w:tc>
      </w:tr>
      <w:tr>
        <w:tc>
          <w:tcPr>
            <w:tcW w:type="dxa" w:w="2160"/>
            <w:shd w:val="clear" w:fill="E7ECF4"/>
          </w:tcPr>
          <w:p>
            <w:r/>
            <w:r>
              <w:rPr>
                <w:sz w:val="16"/>
              </w:rPr>
              <w:t>N-acetylmuramic acid</w:t>
            </w:r>
          </w:p>
        </w:tc>
        <w:tc>
          <w:tcPr>
            <w:tcW w:type="dxa" w:w="3744"/>
            <w:shd w:val="clear" w:fill="E7ECF4"/>
          </w:tcPr>
          <w:p>
            <w:r/>
            <w:r>
              <w:rPr>
                <w:sz w:val="16"/>
              </w:rPr>
              <w:t>1 mg/mL in deionised water</w:t>
            </w:r>
          </w:p>
        </w:tc>
        <w:tc>
          <w:tcPr>
            <w:tcW w:type="dxa" w:w="3888"/>
            <w:shd w:val="clear" w:fill="E7ECF4"/>
          </w:tcPr>
          <w:p>
            <w:r/>
            <w:r>
              <w:rPr>
                <w:sz w:val="16"/>
              </w:rPr>
              <w:t>1 mg/mL (3.41 mM)</w:t>
            </w:r>
          </w:p>
        </w:tc>
      </w:tr>
      <w:tr>
        <w:tc>
          <w:tcPr>
            <w:tcW w:type="dxa" w:w="2160"/>
          </w:tcPr>
          <w:p>
            <w:r/>
            <w:r>
              <w:rPr>
                <w:sz w:val="16"/>
              </w:rPr>
              <w:t>Lipoteichoic acid</w:t>
            </w:r>
          </w:p>
        </w:tc>
        <w:tc>
          <w:tcPr>
            <w:tcW w:type="dxa" w:w="3744"/>
          </w:tcPr>
          <w:p>
            <w:r/>
            <w:r>
              <w:rPr>
                <w:sz w:val="16"/>
              </w:rPr>
              <w:t>Aqueous solution</w:t>
            </w:r>
          </w:p>
        </w:tc>
        <w:tc>
          <w:tcPr>
            <w:tcW w:type="dxa" w:w="3888"/>
          </w:tcPr>
          <w:p>
            <w:r/>
            <w:r>
              <w:rPr>
                <w:sz w:val="16"/>
              </w:rPr>
              <w:t>As prepared</w:t>
            </w:r>
          </w:p>
        </w:tc>
      </w:tr>
    </w:tbl>
    <w:p>
      <w:pPr>
        <w:spacing w:after="40"/>
      </w:pPr>
    </w:p>
    <w:p>
      <w:pPr>
        <w:spacing w:after="80"/>
      </w:pPr>
      <w:r>
        <w:rPr>
          <w:b w:val="0"/>
          <w:i w:val="0"/>
        </w:rPr>
        <w:t>Analyte solutions were deposited on the substrate surface as microlitre droplets and allowed to dry before measurement.</w:t>
      </w:r>
    </w:p>
    <w:p>
      <w:pPr>
        <w:pStyle w:val="Heading2"/>
      </w:pPr>
      <w:r>
        <w:t>2.3  Raman acquisition</w:t>
      </w:r>
    </w:p>
    <w:p>
      <w:pPr>
        <w:spacing w:after="80"/>
      </w:pPr>
      <w:r>
        <w:rPr>
          <w:b w:val="0"/>
          <w:i w:val="0"/>
        </w:rPr>
        <w:t>Spectra were acquired using a 785 nm dispersive Raman spectrometer (BWS465-785H spectrometer with BTC665N-785H probe). Unless stated otherwise, acquisition used 5 s integration with 3 accumulations averaged in the instrument, over the range 400–1800 cm⁻¹. Two instrument laser power settings (nominally levels 5 and 10 on the instrument scale) were examined. Multiple spatially separated spots were measured for every sample.</w:t>
      </w:r>
    </w:p>
    <w:p>
      <w:pPr>
        <w:pStyle w:val="Heading2"/>
      </w:pPr>
      <w:r>
        <w:t>2.4  Data analysis</w:t>
      </w:r>
    </w:p>
    <w:p>
      <w:pPr>
        <w:spacing w:after="80"/>
      </w:pPr>
      <w:r>
        <w:rPr>
          <w:b w:val="0"/>
          <w:i w:val="0"/>
        </w:rPr>
        <w:t>Replicate spectra within each condition were averaged after inspection. Peak identification was carried out against fixed target lists — the standard R6G SERS bands, and for NAM the band positions established in my own reference Raman study of the isolated molecule. A peak was counted as detected only where its height above a local flanking baseline exceeded three times the noise standard deviation, with noise estimated from a peak-free spectral region. Detection additionally required reproducibility across independent spots; a feature appearing at a single location was not accepted.</w:t>
      </w:r>
    </w:p>
    <w:p>
      <w:r>
        <w:br w:type="page"/>
      </w:r>
    </w:p>
    <w:p>
      <w:pPr>
        <w:pStyle w:val="Heading1"/>
      </w:pPr>
      <w:r>
        <w:t>3. Experiments Performed</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440"/>
            <w:shd w:val="clear" w:fill="1B3A6B"/>
          </w:tcPr>
          <w:p>
            <w:r/>
            <w:r>
              <w:rPr>
                <w:b/>
                <w:color w:val="FFFFFF"/>
                <w:sz w:val="18"/>
              </w:rPr>
              <w:t>Date</w:t>
            </w:r>
          </w:p>
        </w:tc>
        <w:tc>
          <w:tcPr>
            <w:tcW w:type="dxa" w:w="2880"/>
            <w:shd w:val="clear" w:fill="1B3A6B"/>
          </w:tcPr>
          <w:p>
            <w:r/>
            <w:r>
              <w:rPr>
                <w:b/>
                <w:color w:val="FFFFFF"/>
                <w:sz w:val="18"/>
              </w:rPr>
              <w:t>Experiment</w:t>
            </w:r>
          </w:p>
        </w:tc>
        <w:tc>
          <w:tcPr>
            <w:tcW w:type="dxa" w:w="4176"/>
            <w:shd w:val="clear" w:fill="1B3A6B"/>
          </w:tcPr>
          <w:p>
            <w:r/>
            <w:r>
              <w:rPr>
                <w:b/>
                <w:color w:val="FFFFFF"/>
                <w:sz w:val="18"/>
              </w:rPr>
              <w:t>Conditions examined</w:t>
            </w:r>
          </w:p>
        </w:tc>
        <w:tc>
          <w:tcPr>
            <w:tcW w:type="dxa" w:w="1296"/>
            <w:shd w:val="clear" w:fill="1B3A6B"/>
          </w:tcPr>
          <w:p>
            <w:r/>
            <w:r>
              <w:rPr>
                <w:b/>
                <w:color w:val="FFFFFF"/>
                <w:sz w:val="18"/>
              </w:rPr>
              <w:t>Spectra acquired</w:t>
            </w:r>
          </w:p>
        </w:tc>
      </w:tr>
      <w:tr>
        <w:tc>
          <w:tcPr>
            <w:tcW w:type="dxa" w:w="1440"/>
          </w:tcPr>
          <w:p>
            <w:r/>
            <w:r>
              <w:rPr>
                <w:sz w:val="16"/>
              </w:rPr>
              <w:t>12 Aug 2026</w:t>
            </w:r>
          </w:p>
        </w:tc>
        <w:tc>
          <w:tcPr>
            <w:tcW w:type="dxa" w:w="2880"/>
          </w:tcPr>
          <w:p>
            <w:r/>
            <w:r>
              <w:rPr>
                <w:sz w:val="16"/>
              </w:rPr>
              <w:t>Substrate fabrication, R6G validation and NAM detection</w:t>
            </w:r>
          </w:p>
        </w:tc>
        <w:tc>
          <w:tcPr>
            <w:tcW w:type="dxa" w:w="4176"/>
          </w:tcPr>
          <w:p>
            <w:r/>
            <w:r>
              <w:rPr>
                <w:sz w:val="16"/>
              </w:rPr>
              <w:t>Three substrates at 2, 5 and 10 min etch; R6G and NAM on each; two laser power levels; blank substrate spectra</w:t>
            </w:r>
          </w:p>
        </w:tc>
        <w:tc>
          <w:tcPr>
            <w:tcW w:type="dxa" w:w="1296"/>
          </w:tcPr>
          <w:p>
            <w:r/>
            <w:r>
              <w:rPr>
                <w:sz w:val="16"/>
              </w:rPr>
              <w:t>177</w:t>
            </w:r>
          </w:p>
        </w:tc>
      </w:tr>
      <w:tr>
        <w:tc>
          <w:tcPr>
            <w:tcW w:type="dxa" w:w="1440"/>
            <w:shd w:val="clear" w:fill="E7ECF4"/>
          </w:tcPr>
          <w:p>
            <w:r/>
            <w:r>
              <w:rPr>
                <w:sz w:val="16"/>
              </w:rPr>
              <w:t>13 Aug 2026</w:t>
            </w:r>
          </w:p>
        </w:tc>
        <w:tc>
          <w:tcPr>
            <w:tcW w:type="dxa" w:w="2880"/>
            <w:shd w:val="clear" w:fill="E7ECF4"/>
          </w:tcPr>
          <w:p>
            <w:r/>
            <w:r>
              <w:rPr>
                <w:sz w:val="16"/>
              </w:rPr>
              <w:t>Unetched silicon reference and instrument characterisation</w:t>
            </w:r>
          </w:p>
        </w:tc>
        <w:tc>
          <w:tcPr>
            <w:tcW w:type="dxa" w:w="4176"/>
            <w:shd w:val="clear" w:fill="E7ECF4"/>
          </w:tcPr>
          <w:p>
            <w:r/>
            <w:r>
              <w:rPr>
                <w:sz w:val="16"/>
              </w:rPr>
              <w:t>13 combinations of laser power (levels 1, 5, 10) and integration time (1–25 s), 3–5 spots per condition</w:t>
            </w:r>
          </w:p>
        </w:tc>
        <w:tc>
          <w:tcPr>
            <w:tcW w:type="dxa" w:w="1296"/>
            <w:shd w:val="clear" w:fill="E7ECF4"/>
          </w:tcPr>
          <w:p>
            <w:r/>
            <w:r>
              <w:rPr>
                <w:sz w:val="16"/>
              </w:rPr>
              <w:t>45</w:t>
            </w:r>
          </w:p>
        </w:tc>
      </w:tr>
      <w:tr>
        <w:tc>
          <w:tcPr>
            <w:tcW w:type="dxa" w:w="1440"/>
          </w:tcPr>
          <w:p>
            <w:r/>
            <w:r>
              <w:rPr>
                <w:sz w:val="16"/>
              </w:rPr>
              <w:t>14 Aug 2026</w:t>
            </w:r>
          </w:p>
        </w:tc>
        <w:tc>
          <w:tcPr>
            <w:tcW w:type="dxa" w:w="2880"/>
          </w:tcPr>
          <w:p>
            <w:r/>
            <w:r>
              <w:rPr>
                <w:sz w:val="16"/>
              </w:rPr>
              <w:t>Lipoteichoic acid detection attempt</w:t>
            </w:r>
          </w:p>
        </w:tc>
        <w:tc>
          <w:tcPr>
            <w:tcW w:type="dxa" w:w="4176"/>
          </w:tcPr>
          <w:p>
            <w:r/>
            <w:r>
              <w:rPr>
                <w:sz w:val="16"/>
              </w:rPr>
              <w:t>2-min etched substrate; 15 spatially separated spots at fixed acquisition settings</w:t>
            </w:r>
          </w:p>
        </w:tc>
        <w:tc>
          <w:tcPr>
            <w:tcW w:type="dxa" w:w="1296"/>
          </w:tcPr>
          <w:p>
            <w:r/>
            <w:r>
              <w:rPr>
                <w:sz w:val="16"/>
              </w:rPr>
              <w:t>15</w:t>
            </w:r>
          </w:p>
        </w:tc>
      </w:tr>
    </w:tbl>
    <w:p>
      <w:pPr>
        <w:spacing w:after="40"/>
      </w:pPr>
    </w:p>
    <w:p>
      <w:pPr>
        <w:spacing w:after="80"/>
      </w:pPr>
      <w:r>
        <w:rPr>
          <w:b w:val="0"/>
          <w:i/>
        </w:rPr>
        <w:t>A total of 237 spectra were acquired across the three sessions.</w:t>
      </w:r>
    </w:p>
    <w:p>
      <w:r>
        <w:br w:type="page"/>
      </w:r>
    </w:p>
    <w:p>
      <w:pPr>
        <w:pStyle w:val="Heading1"/>
      </w:pPr>
      <w:r>
        <w:t>4. Results</w:t>
      </w:r>
    </w:p>
    <w:p>
      <w:pPr>
        <w:pStyle w:val="Heading2"/>
      </w:pPr>
      <w:r>
        <w:t>4.1  Substrate validation using Rhodamine 6G</w:t>
      </w:r>
    </w:p>
    <w:p>
      <w:pPr>
        <w:spacing w:after="60"/>
      </w:pPr>
      <w:r>
        <w:rPr>
          <w:b w:val="0"/>
          <w:i w:val="0"/>
        </w:rPr>
        <w:t>All eight of the standard R6G SERS bands (612, 774, 1183, 1310, 1362, 1509, 1575 and 1650 cm⁻¹) were observed on all three substrates, with high signal-to-noise ratios. This establishes unambiguously that the MACE fabrication produced plasmonically active surfaces and that the Raman acquisition chain was functioning correctly.</w:t>
      </w:r>
    </w:p>
    <w:p>
      <w:pPr>
        <w:spacing w:after="60"/>
      </w:pPr>
      <w:r>
        <w:rPr>
          <w:b w:val="0"/>
          <w:i w:val="0"/>
        </w:rPr>
        <w:t>Etch time strongly affected enhancement. Taking the strongest R6G band (1509 cm⁻¹) as the metric, with all other parameters held constant: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6B"/>
          </w:tcPr>
          <w:p>
            <w:r/>
            <w:r>
              <w:rPr>
                <w:b/>
                <w:color w:val="FFFFFF"/>
                <w:sz w:val="18"/>
              </w:rPr>
              <w:t>Etch time</w:t>
            </w:r>
          </w:p>
        </w:tc>
        <w:tc>
          <w:tcPr>
            <w:tcW w:type="dxa" w:w="3168"/>
            <w:shd w:val="clear" w:fill="1B3A6B"/>
          </w:tcPr>
          <w:p>
            <w:r/>
            <w:r>
              <w:rPr>
                <w:b/>
                <w:color w:val="FFFFFF"/>
                <w:sz w:val="18"/>
              </w:rPr>
              <w:t>Peak height at 1509 cm⁻¹ (counts)</w:t>
            </w:r>
          </w:p>
        </w:tc>
        <w:tc>
          <w:tcPr>
            <w:tcW w:type="dxa" w:w="2160"/>
            <w:shd w:val="clear" w:fill="1B3A6B"/>
          </w:tcPr>
          <w:p>
            <w:r/>
            <w:r>
              <w:rPr>
                <w:b/>
                <w:color w:val="FFFFFF"/>
                <w:sz w:val="18"/>
              </w:rPr>
              <w:t>Signal-to-noise ratio</w:t>
            </w:r>
          </w:p>
        </w:tc>
        <w:tc>
          <w:tcPr>
            <w:tcW w:type="dxa" w:w="2880"/>
            <w:shd w:val="clear" w:fill="1B3A6B"/>
          </w:tcPr>
          <w:p>
            <w:r/>
            <w:r>
              <w:rPr>
                <w:b/>
                <w:color w:val="FFFFFF"/>
                <w:sz w:val="18"/>
              </w:rPr>
              <w:t>Relative to 5-min substrate</w:t>
            </w:r>
          </w:p>
        </w:tc>
      </w:tr>
      <w:tr>
        <w:tc>
          <w:tcPr>
            <w:tcW w:type="dxa" w:w="1584"/>
          </w:tcPr>
          <w:p>
            <w:r/>
            <w:r>
              <w:rPr>
                <w:sz w:val="16"/>
              </w:rPr>
              <w:t>2 min</w:t>
            </w:r>
          </w:p>
        </w:tc>
        <w:tc>
          <w:tcPr>
            <w:tcW w:type="dxa" w:w="3168"/>
          </w:tcPr>
          <w:p>
            <w:r/>
            <w:r>
              <w:rPr>
                <w:sz w:val="16"/>
              </w:rPr>
              <w:t>21,118</w:t>
            </w:r>
          </w:p>
        </w:tc>
        <w:tc>
          <w:tcPr>
            <w:tcW w:type="dxa" w:w="2160"/>
          </w:tcPr>
          <w:p>
            <w:r/>
            <w:r>
              <w:rPr>
                <w:sz w:val="16"/>
              </w:rPr>
              <w:t>450</w:t>
            </w:r>
          </w:p>
        </w:tc>
        <w:tc>
          <w:tcPr>
            <w:tcW w:type="dxa" w:w="2880"/>
          </w:tcPr>
          <w:p>
            <w:r/>
            <w:r>
              <w:rPr>
                <w:sz w:val="16"/>
              </w:rPr>
              <w:t>≈48×</w:t>
            </w:r>
          </w:p>
        </w:tc>
      </w:tr>
      <w:tr>
        <w:tc>
          <w:tcPr>
            <w:tcW w:type="dxa" w:w="1584"/>
            <w:shd w:val="clear" w:fill="E7ECF4"/>
          </w:tcPr>
          <w:p>
            <w:r/>
            <w:r>
              <w:rPr>
                <w:sz w:val="16"/>
              </w:rPr>
              <w:t>5 min</w:t>
            </w:r>
          </w:p>
        </w:tc>
        <w:tc>
          <w:tcPr>
            <w:tcW w:type="dxa" w:w="3168"/>
            <w:shd w:val="clear" w:fill="E7ECF4"/>
          </w:tcPr>
          <w:p>
            <w:r/>
            <w:r>
              <w:rPr>
                <w:sz w:val="16"/>
              </w:rPr>
              <w:t>436</w:t>
            </w:r>
          </w:p>
        </w:tc>
        <w:tc>
          <w:tcPr>
            <w:tcW w:type="dxa" w:w="2160"/>
            <w:shd w:val="clear" w:fill="E7ECF4"/>
          </w:tcPr>
          <w:p>
            <w:r/>
            <w:r>
              <w:rPr>
                <w:sz w:val="16"/>
              </w:rPr>
              <w:t>31</w:t>
            </w:r>
          </w:p>
        </w:tc>
        <w:tc>
          <w:tcPr>
            <w:tcW w:type="dxa" w:w="2880"/>
            <w:shd w:val="clear" w:fill="E7ECF4"/>
          </w:tcPr>
          <w:p>
            <w:r/>
            <w:r>
              <w:rPr>
                <w:sz w:val="16"/>
              </w:rPr>
              <w:t>1× (reference)</w:t>
            </w:r>
          </w:p>
        </w:tc>
      </w:tr>
      <w:tr>
        <w:tc>
          <w:tcPr>
            <w:tcW w:type="dxa" w:w="1584"/>
          </w:tcPr>
          <w:p>
            <w:r/>
            <w:r>
              <w:rPr>
                <w:sz w:val="16"/>
              </w:rPr>
              <w:t>10 min</w:t>
            </w:r>
          </w:p>
        </w:tc>
        <w:tc>
          <w:tcPr>
            <w:tcW w:type="dxa" w:w="3168"/>
          </w:tcPr>
          <w:p>
            <w:r/>
            <w:r>
              <w:rPr>
                <w:sz w:val="16"/>
              </w:rPr>
              <w:t>3,679</w:t>
            </w:r>
          </w:p>
        </w:tc>
        <w:tc>
          <w:tcPr>
            <w:tcW w:type="dxa" w:w="2160"/>
          </w:tcPr>
          <w:p>
            <w:r/>
            <w:r>
              <w:rPr>
                <w:sz w:val="16"/>
              </w:rPr>
              <w:t>220</w:t>
            </w:r>
          </w:p>
        </w:tc>
        <w:tc>
          <w:tcPr>
            <w:tcW w:type="dxa" w:w="2880"/>
          </w:tcPr>
          <w:p>
            <w:r/>
            <w:r>
              <w:rPr>
                <w:sz w:val="16"/>
              </w:rPr>
              <w:t>≈8×</w:t>
            </w:r>
          </w:p>
        </w:tc>
      </w:tr>
    </w:tbl>
    <w:p>
      <w:pPr>
        <w:spacing w:after="40"/>
      </w:pPr>
    </w:p>
    <w:p>
      <w:pPr>
        <w:spacing w:after="80"/>
      </w:pPr>
      <w:r>
        <w:rPr>
          <w:b w:val="0"/>
          <w:i w:val="0"/>
        </w:rPr>
        <w:t>The 2-minute etch gave by far the strongest response. The trend is not monotonic — the 10-minute substrate outperformed the 5-minute substrate — indicating that etch time alone does not determine enhancement, and that silver morphology varies in a more complex way with processing conditions. As only one substrate was fabricated per condition, this result establishes a large and reproducible-within-substrate difference but does not yet establish fabrication reproducibility between substrates.</w:t>
      </w:r>
    </w:p>
    <w:p>
      <w:pPr>
        <w:pStyle w:val="Heading2"/>
      </w:pPr>
      <w:r>
        <w:t>4.2  NAM detection attempts</w:t>
      </w:r>
    </w:p>
    <w:p>
      <w:pPr>
        <w:spacing w:after="60"/>
      </w:pPr>
      <w:r>
        <w:rPr>
          <w:b w:val="0"/>
          <w:i w:val="0"/>
        </w:rPr>
        <w:t>NAM was deposited and measured on all three substrates, at both laser power settings, and analysed both as acquired and after subtraction of a substrate blank. No NAM band satisfied the detection criteria reproducibly under any condition tested.</w:t>
      </w:r>
    </w:p>
    <w:p>
      <w:pPr>
        <w:spacing w:after="60"/>
      </w:pPr>
      <w:r>
        <w:rPr>
          <w:b w:val="0"/>
          <w:i w:val="0"/>
        </w:rPr>
        <w:t>Target bands were taken from my own reference Raman spectrum of isolated NAM, in which the strongest and most reproducible features are at 930 cm⁻¹ (ring breathing, the most intense band in the reference spectrum) and 871 cm⁻¹ (hydroxymethyl wagging), with secondary features at 541, 1023, 1347 and 1394 cm⁻¹.</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1B3A6B"/>
          </w:tcPr>
          <w:p>
            <w:r/>
            <w:r>
              <w:rPr>
                <w:b/>
                <w:color w:val="FFFFFF"/>
                <w:sz w:val="18"/>
              </w:rPr>
              <w:t>Substrate / power</w:t>
            </w:r>
          </w:p>
        </w:tc>
        <w:tc>
          <w:tcPr>
            <w:tcW w:type="dxa" w:w="4464"/>
            <w:shd w:val="clear" w:fill="1B3A6B"/>
          </w:tcPr>
          <w:p>
            <w:r/>
            <w:r>
              <w:rPr>
                <w:b/>
                <w:color w:val="FFFFFF"/>
                <w:sz w:val="18"/>
              </w:rPr>
              <w:t>Highest SNR obtained at a NAM target band</w:t>
            </w:r>
          </w:p>
        </w:tc>
        <w:tc>
          <w:tcPr>
            <w:tcW w:type="dxa" w:w="3168"/>
            <w:shd w:val="clear" w:fill="1B3A6B"/>
          </w:tcPr>
          <w:p>
            <w:r/>
            <w:r>
              <w:rPr>
                <w:b/>
                <w:color w:val="FFFFFF"/>
                <w:sz w:val="18"/>
              </w:rPr>
              <w:t>Detection outcome</w:t>
            </w:r>
          </w:p>
        </w:tc>
      </w:tr>
      <w:tr>
        <w:tc>
          <w:tcPr>
            <w:tcW w:type="dxa" w:w="2160"/>
          </w:tcPr>
          <w:p>
            <w:r/>
            <w:r>
              <w:rPr>
                <w:sz w:val="16"/>
              </w:rPr>
              <w:t>2 min, level 5</w:t>
            </w:r>
          </w:p>
        </w:tc>
        <w:tc>
          <w:tcPr>
            <w:tcW w:type="dxa" w:w="4464"/>
          </w:tcPr>
          <w:p>
            <w:r/>
            <w:r>
              <w:rPr>
                <w:sz w:val="16"/>
              </w:rPr>
              <w:t>2.4 (541 cm⁻¹)</w:t>
            </w:r>
          </w:p>
        </w:tc>
        <w:tc>
          <w:tcPr>
            <w:tcW w:type="dxa" w:w="3168"/>
          </w:tcPr>
          <w:p>
            <w:r/>
            <w:r>
              <w:rPr>
                <w:sz w:val="16"/>
              </w:rPr>
              <w:t>Not detected</w:t>
            </w:r>
          </w:p>
        </w:tc>
      </w:tr>
      <w:tr>
        <w:tc>
          <w:tcPr>
            <w:tcW w:type="dxa" w:w="2160"/>
            <w:shd w:val="clear" w:fill="E7ECF4"/>
          </w:tcPr>
          <w:p>
            <w:r/>
            <w:r>
              <w:rPr>
                <w:sz w:val="16"/>
              </w:rPr>
              <w:t>2 min, level 10</w:t>
            </w:r>
          </w:p>
        </w:tc>
        <w:tc>
          <w:tcPr>
            <w:tcW w:type="dxa" w:w="4464"/>
            <w:shd w:val="clear" w:fill="E7ECF4"/>
          </w:tcPr>
          <w:p>
            <w:r/>
            <w:r>
              <w:rPr>
                <w:sz w:val="16"/>
              </w:rPr>
              <w:t>3.0 (1023 cm⁻¹)</w:t>
            </w:r>
          </w:p>
        </w:tc>
        <w:tc>
          <w:tcPr>
            <w:tcW w:type="dxa" w:w="3168"/>
            <w:shd w:val="clear" w:fill="E7ECF4"/>
          </w:tcPr>
          <w:p>
            <w:r/>
            <w:r>
              <w:rPr>
                <w:sz w:val="16"/>
              </w:rPr>
              <w:t>Isolated, not reproduced — not accepted</w:t>
            </w:r>
          </w:p>
        </w:tc>
      </w:tr>
      <w:tr>
        <w:tc>
          <w:tcPr>
            <w:tcW w:type="dxa" w:w="2160"/>
          </w:tcPr>
          <w:p>
            <w:r/>
            <w:r>
              <w:rPr>
                <w:sz w:val="16"/>
              </w:rPr>
              <w:t>5 min, level 5</w:t>
            </w:r>
          </w:p>
        </w:tc>
        <w:tc>
          <w:tcPr>
            <w:tcW w:type="dxa" w:w="4464"/>
          </w:tcPr>
          <w:p>
            <w:r/>
            <w:r>
              <w:rPr>
                <w:sz w:val="16"/>
              </w:rPr>
              <w:t>2.6 (541 and 1023 cm⁻¹)</w:t>
            </w:r>
          </w:p>
        </w:tc>
        <w:tc>
          <w:tcPr>
            <w:tcW w:type="dxa" w:w="3168"/>
          </w:tcPr>
          <w:p>
            <w:r/>
            <w:r>
              <w:rPr>
                <w:sz w:val="16"/>
              </w:rPr>
              <w:t>Not detected</w:t>
            </w:r>
          </w:p>
        </w:tc>
      </w:tr>
      <w:tr>
        <w:tc>
          <w:tcPr>
            <w:tcW w:type="dxa" w:w="2160"/>
            <w:shd w:val="clear" w:fill="E7ECF4"/>
          </w:tcPr>
          <w:p>
            <w:r/>
            <w:r>
              <w:rPr>
                <w:sz w:val="16"/>
              </w:rPr>
              <w:t>10 min, level 5</w:t>
            </w:r>
          </w:p>
        </w:tc>
        <w:tc>
          <w:tcPr>
            <w:tcW w:type="dxa" w:w="4464"/>
            <w:shd w:val="clear" w:fill="E7ECF4"/>
          </w:tcPr>
          <w:p>
            <w:r/>
            <w:r>
              <w:rPr>
                <w:sz w:val="16"/>
              </w:rPr>
              <w:t>3.3 (930 cm⁻¹)</w:t>
            </w:r>
          </w:p>
        </w:tc>
        <w:tc>
          <w:tcPr>
            <w:tcW w:type="dxa" w:w="3168"/>
            <w:shd w:val="clear" w:fill="E7ECF4"/>
          </w:tcPr>
          <w:p>
            <w:r/>
            <w:r>
              <w:rPr>
                <w:sz w:val="16"/>
              </w:rPr>
              <w:t>Isolated, not reproduced — not accepted</w:t>
            </w:r>
          </w:p>
        </w:tc>
      </w:tr>
      <w:tr>
        <w:tc>
          <w:tcPr>
            <w:tcW w:type="dxa" w:w="2160"/>
          </w:tcPr>
          <w:p>
            <w:r/>
            <w:r>
              <w:rPr>
                <w:sz w:val="16"/>
              </w:rPr>
              <w:t>10 min, level 10</w:t>
            </w:r>
          </w:p>
        </w:tc>
        <w:tc>
          <w:tcPr>
            <w:tcW w:type="dxa" w:w="4464"/>
          </w:tcPr>
          <w:p>
            <w:r/>
            <w:r>
              <w:rPr>
                <w:sz w:val="16"/>
              </w:rPr>
              <w:t>2.4 (1347 and 1394 cm⁻¹)</w:t>
            </w:r>
          </w:p>
        </w:tc>
        <w:tc>
          <w:tcPr>
            <w:tcW w:type="dxa" w:w="3168"/>
          </w:tcPr>
          <w:p>
            <w:r/>
            <w:r>
              <w:rPr>
                <w:sz w:val="16"/>
              </w:rPr>
              <w:t>Not detected</w:t>
            </w:r>
          </w:p>
        </w:tc>
      </w:tr>
    </w:tbl>
    <w:p>
      <w:pPr>
        <w:spacing w:after="40"/>
      </w:pPr>
    </w:p>
    <w:p>
      <w:pPr>
        <w:spacing w:after="80"/>
      </w:pPr>
      <w:r>
        <w:rPr>
          <w:b w:val="0"/>
          <w:i w:val="0"/>
        </w:rPr>
        <w:t>Two individual measurements marginally exceeded the SNR threshold, at 930 cm⁻¹ and at 1023 cm⁻¹. Neither was reproduced at other spots on the same substrate, at the other power setting, or on the other substrates. Applying the reproducibility requirement, neither was accepted as a detection. Blank subtraction did not reveal any band that was absent from the raw spectra.</w:t>
      </w:r>
    </w:p>
    <w:p>
      <w:pPr>
        <w:pStyle w:val="Heading2"/>
      </w:pPr>
      <w:r>
        <w:t>4.3  Unetched silicon reference and instrument characterisation</w:t>
      </w:r>
    </w:p>
    <w:p>
      <w:pPr>
        <w:spacing w:after="60"/>
      </w:pPr>
      <w:r>
        <w:rPr>
          <w:b w:val="0"/>
          <w:i w:val="0"/>
        </w:rPr>
        <w:t>A systematic study of unetched silicon was carried out to establish an instrument baseline. The crystalline silicon transverse-optical phonon band was observed in all 13 power/integration combinations examined, at a consistent position of 517.8 cm⁻¹, with signal-to-noise increasing monotonically from 2.9 (lowest power, 1 s) to 152 (highest power, 25 s). Two findings from this dataset are of continuing analytical importance:</w:t>
      </w:r>
    </w:p>
    <w:p>
      <w:pPr>
        <w:pStyle w:val="ListBullet"/>
        <w:spacing w:after="60"/>
      </w:pPr>
      <w:r>
        <w:rPr>
          <w:b/>
        </w:rPr>
        <w:t xml:space="preserve">Systematic wavenumber offset. </w:t>
      </w:r>
      <w:r>
        <w:t>The silicon phonon band appears at 517.8 cm⁻¹ against an accepted value of 520–521 cm⁻¹. Because the offset is identical across every condition examined, it represents a fixed calibration shift rather than random error. A tolerance of ±5 cm⁻¹ is therefore applied when comparing measured band positions with literature values.</w:t>
      </w:r>
    </w:p>
    <w:p>
      <w:pPr>
        <w:pStyle w:val="ListBullet"/>
        <w:spacing w:after="60"/>
      </w:pPr>
      <w:r>
        <w:rPr>
          <w:b/>
        </w:rPr>
        <w:t xml:space="preserve">Noise behaviour. </w:t>
      </w:r>
      <w:r>
        <w:t>Signal-to-noise improved considerably faster than the square-root dependence on integration time expected for photon-shot-noise-limited detection: increasing integration from 5 s to 25 s produced a 5.9-fold improvement where 2.2-fold would be predicted. This indicates that a fixed noise floor, rather than photon statistics, dominates at these signal levels, and that extended integration is an unusually effective strategy for weak analytes on this instrument.</w:t>
      </w:r>
    </w:p>
    <w:p>
      <w:pPr>
        <w:pStyle w:val="Heading2"/>
      </w:pPr>
      <w:r>
        <w:t>4.4  Lipoteichoic acid detection attempt</w:t>
      </w:r>
    </w:p>
    <w:p>
      <w:pPr>
        <w:spacing w:after="60"/>
      </w:pPr>
      <w:r>
        <w:rPr>
          <w:b w:val="0"/>
          <w:i w:val="0"/>
        </w:rPr>
        <w:t>A separate attempt was made to detect lipoteichoic acid on a 2-minute etched substrate. Initial analysis of the averaged data appeared to show a feature at 1095 cm⁻¹ — a position reported in the literature for the phosphate stretch of lipoteichoic acid — with apparent signal-to-noise ratios of 7–9 in three of fifteen spots.</w:t>
      </w:r>
    </w:p>
    <w:p>
      <w:pPr>
        <w:spacing w:after="60"/>
      </w:pPr>
      <w:r>
        <w:rPr>
          <w:b w:val="0"/>
          <w:i w:val="0"/>
        </w:rPr>
        <w:t>Examination of the data at the level of individual detector pixels showed that this feature occupied a single pixel, at the identical detector position in all three spectra, with immediately adjacent pixels at ordinary noise levels. A genuine Raman band on this instrument spans four to five pixels, as demonstrated by the silicon phonon band in the reference dataset. The feature was therefore identified as a fixed-pattern detector artefact and the result was reclassified as not detected.</w:t>
      </w: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A minimum peak-width criterion of three pixels has consequently been added to the standard analysis procedure, and is applied to all results reported here.</w:t>
            </w:r>
          </w:p>
        </w:tc>
      </w:tr>
    </w:tbl>
    <w:p>
      <w:pPr>
        <w:spacing w:after="80"/>
      </w:pPr>
    </w:p>
    <w:p>
      <w:r>
        <w:br w:type="page"/>
      </w:r>
    </w:p>
    <w:p>
      <w:pPr>
        <w:pStyle w:val="Heading1"/>
      </w:pPr>
      <w:r>
        <w:t>5. Analysis: Why NAM Was Not Detected</w:t>
      </w:r>
    </w:p>
    <w:p>
      <w:pPr>
        <w:spacing w:after="80"/>
      </w:pPr>
      <w:r>
        <w:rPr>
          <w:b w:val="0"/>
          <w:i w:val="0"/>
        </w:rPr>
        <w:t>This section examines the possible explanations systematically, distinguishing those excluded by experimental evidence from those that remain plausible.</w:t>
      </w:r>
    </w:p>
    <w:p>
      <w:pPr>
        <w:pStyle w:val="Heading2"/>
      </w:pPr>
      <w:r>
        <w:t>5.1  Substrate enhancement is not the limiting factor</w:t>
      </w:r>
    </w:p>
    <w:p>
      <w:pPr>
        <w:spacing w:after="60"/>
      </w:pPr>
      <w:r>
        <w:rPr>
          <w:b w:val="0"/>
          <w:i w:val="0"/>
        </w:rPr>
        <w:t>The most important control in this work is the R6G result. R6G was measured on the same substrates, at the same spots, using the same acquisition settings and in the same sessions as NAM. It produced all eight expected bands with signal-to-noise ratios reaching 450. A substrate capable of enhancing R6G by that margin is unambiguously plasmonically active.</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This eliminates the most obvious explanations. The substrates were SERS-active, the laser was reaching the sample, the spectrometer was correctly calibrated and the analysis procedure was capable of identifying real bands. The NAM null result cannot be attributed to a non-functional substrate or a non-functional instrument.</w:t>
            </w:r>
          </w:p>
        </w:tc>
      </w:tr>
    </w:tbl>
    <w:p>
      <w:pPr>
        <w:spacing w:after="80"/>
      </w:pPr>
    </w:p>
    <w:p>
      <w:pPr>
        <w:pStyle w:val="Heading2"/>
      </w:pPr>
      <w:r>
        <w:t>5.2  Molecular structure of NAM</w:t>
      </w:r>
    </w:p>
    <w:p>
      <w:pPr>
        <w:spacing w:after="60"/>
      </w:pPr>
      <w:r>
        <w:rPr>
          <w:b w:val="0"/>
          <w:i w:val="0"/>
        </w:rPr>
        <w:t>NAM is a pyranose amino-sugar acid: N-acetylglucosamine bearing a 3-O-lactyl ether substituent with a terminal carboxylic acid (molecular weight 293.27 g/mol). Examining this structure against the requirements for a strong SERS response identifies three independent deficiencies: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024"/>
            <w:shd w:val="clear" w:fill="1B3A6B"/>
          </w:tcPr>
          <w:p>
            <w:r/>
            <w:r>
              <w:rPr>
                <w:b/>
                <w:color w:val="FFFFFF"/>
                <w:sz w:val="18"/>
              </w:rPr>
              <w:t>Requirement for strong SERS</w:t>
            </w:r>
          </w:p>
        </w:tc>
        <w:tc>
          <w:tcPr>
            <w:tcW w:type="dxa" w:w="3312"/>
            <w:shd w:val="clear" w:fill="1B3A6B"/>
          </w:tcPr>
          <w:p>
            <w:r/>
            <w:r>
              <w:rPr>
                <w:b/>
                <w:color w:val="FFFFFF"/>
                <w:sz w:val="18"/>
              </w:rPr>
              <w:t>R6G</w:t>
            </w:r>
          </w:p>
        </w:tc>
        <w:tc>
          <w:tcPr>
            <w:tcW w:type="dxa" w:w="3456"/>
            <w:shd w:val="clear" w:fill="1B3A6B"/>
          </w:tcPr>
          <w:p>
            <w:r/>
            <w:r>
              <w:rPr>
                <w:b/>
                <w:color w:val="FFFFFF"/>
                <w:sz w:val="18"/>
              </w:rPr>
              <w:t>NAM</w:t>
            </w:r>
          </w:p>
        </w:tc>
      </w:tr>
      <w:tr>
        <w:tc>
          <w:tcPr>
            <w:tcW w:type="dxa" w:w="3024"/>
          </w:tcPr>
          <w:p>
            <w:r/>
            <w:r>
              <w:rPr>
                <w:sz w:val="16"/>
              </w:rPr>
              <w:t>Electronic resonance near the excitation wavelength</w:t>
            </w:r>
          </w:p>
        </w:tc>
        <w:tc>
          <w:tcPr>
            <w:tcW w:type="dxa" w:w="3312"/>
          </w:tcPr>
          <w:p>
            <w:r/>
            <w:r>
              <w:rPr>
                <w:sz w:val="16"/>
              </w:rPr>
              <w:t>Yes — dye with absorption in the visible/near-IR, giving additional resonance enhancement</w:t>
            </w:r>
          </w:p>
        </w:tc>
        <w:tc>
          <w:tcPr>
            <w:tcW w:type="dxa" w:w="3456"/>
          </w:tcPr>
          <w:p>
            <w:r/>
            <w:r>
              <w:rPr>
                <w:sz w:val="16"/>
              </w:rPr>
              <w:t>No chromophore; entirely non-resonant at 785 nm</w:t>
            </w:r>
          </w:p>
        </w:tc>
      </w:tr>
      <w:tr>
        <w:tc>
          <w:tcPr>
            <w:tcW w:type="dxa" w:w="3024"/>
            <w:shd w:val="clear" w:fill="E7ECF4"/>
          </w:tcPr>
          <w:p>
            <w:r/>
            <w:r>
              <w:rPr>
                <w:sz w:val="16"/>
              </w:rPr>
              <w:t>Large intrinsic Raman cross-section</w:t>
            </w:r>
          </w:p>
        </w:tc>
        <w:tc>
          <w:tcPr>
            <w:tcW w:type="dxa" w:w="3312"/>
            <w:shd w:val="clear" w:fill="E7ECF4"/>
          </w:tcPr>
          <w:p>
            <w:r/>
            <w:r>
              <w:rPr>
                <w:sz w:val="16"/>
              </w:rPr>
              <w:t>Yes — extended conjugated aromatic system</w:t>
            </w:r>
          </w:p>
        </w:tc>
        <w:tc>
          <w:tcPr>
            <w:tcW w:type="dxa" w:w="3456"/>
            <w:shd w:val="clear" w:fill="E7ECF4"/>
          </w:tcPr>
          <w:p>
            <w:r/>
            <w:r>
              <w:rPr>
                <w:sz w:val="16"/>
              </w:rPr>
              <w:t>No; saturated sugar-acid with weak scattering</w:t>
            </w:r>
          </w:p>
        </w:tc>
      </w:tr>
      <w:tr>
        <w:tc>
          <w:tcPr>
            <w:tcW w:type="dxa" w:w="3024"/>
          </w:tcPr>
          <w:p>
            <w:r/>
            <w:r>
              <w:rPr>
                <w:sz w:val="16"/>
              </w:rPr>
              <w:t>Functional group with affinity for silver</w:t>
            </w:r>
          </w:p>
        </w:tc>
        <w:tc>
          <w:tcPr>
            <w:tcW w:type="dxa" w:w="3312"/>
          </w:tcPr>
          <w:p>
            <w:r/>
            <w:r>
              <w:rPr>
                <w:sz w:val="16"/>
              </w:rPr>
              <w:t>Yes — cationic, adsorbs readily to Ag surfaces</w:t>
            </w:r>
          </w:p>
        </w:tc>
        <w:tc>
          <w:tcPr>
            <w:tcW w:type="dxa" w:w="3456"/>
          </w:tcPr>
          <w:p>
            <w:r/>
            <w:r>
              <w:rPr>
                <w:sz w:val="16"/>
              </w:rPr>
              <w:t>No thiol, no amine available (nitrogen is blocked as an amide), no aromatic ring</w:t>
            </w:r>
          </w:p>
        </w:tc>
      </w:tr>
    </w:tbl>
    <w:p>
      <w:pPr>
        <w:spacing w:after="40"/>
      </w:pPr>
    </w:p>
    <w:p>
      <w:pPr>
        <w:spacing w:after="80"/>
      </w:pPr>
      <w:r>
        <w:rPr>
          <w:b w:val="0"/>
          <w:i w:val="0"/>
        </w:rPr>
        <w:t>NAM therefore fails on all three counts simultaneously. R6G is close to a best-case analyte for SERS and NAM close to a worst case, which explains why a substrate that performs excellently for one may give no signal at all for the other.</w:t>
      </w:r>
    </w:p>
    <w:p>
      <w:pPr>
        <w:pStyle w:val="Heading2"/>
      </w:pPr>
      <w:r>
        <w:t>5.3  The adsorption problem and the distance dependence of SERS</w:t>
      </w:r>
    </w:p>
    <w:p>
      <w:pPr>
        <w:spacing w:after="60"/>
      </w:pPr>
      <w:r>
        <w:rPr>
          <w:b w:val="0"/>
          <w:i w:val="0"/>
        </w:rPr>
        <w:t>Electromagnetic SERS enhancement is extremely short-ranged. The enhanced field is concentrated in nanometre-scale gaps between metal features, and its intensity falls very steeply with distance from the metal surface, so that a molecule situated even one or two nanometres further away experiences an enhancement smaller by orders of magnitude. Effective SERS therefore requires the analyte not merely to be present, but to be held at the metal surface within these enhancement regions.</w:t>
      </w:r>
    </w:p>
    <w:p>
      <w:pPr>
        <w:spacing w:after="80"/>
      </w:pPr>
      <w:r>
        <w:rPr>
          <w:b w:val="0"/>
          <w:i w:val="0"/>
        </w:rPr>
        <w:t>R6G satisfies this because it adsorbs onto silver. NAM has no comparable driving force. In a dried droplet, NAM molecules will be distributed largely at random through the deposit — on the silicon, on the silver, and within bulk material away from the surface — with only a small and uncontrolled fraction occupying enhancement regions. This is the single most probable explanation for the observed result.</w:t>
      </w:r>
    </w:p>
    <w:p>
      <w:pPr>
        <w:pStyle w:val="Heading2"/>
      </w:pPr>
      <w:r>
        <w:t>5.4  Assessment of concentration as a contributing factor</w:t>
      </w:r>
    </w:p>
    <w:p>
      <w:pPr>
        <w:spacing w:after="80"/>
      </w:pPr>
      <w:r>
        <w:rPr>
          <w:b w:val="0"/>
          <w:i w:val="0"/>
        </w:rPr>
        <w:t>The NAM concentration examined (1 mg/mL, corresponding to 3.41 mM) is not low by SERS standards, and is several orders of magnitude above concentrations at which R6G is routinely detected on comparable substrates. Insufficient analyte quantity is therefore unlikely to be the primary cause. However, concentration cannot be entirely excluded as a contributing factor, because the effective quantity within enhancement regions depends on adsorption efficiency rather than on bulk concentration. A concentration series is planned to separate these possibilities definitively.</w:t>
      </w:r>
    </w:p>
    <w:p>
      <w:pPr>
        <w:pStyle w:val="Heading2"/>
      </w:pPr>
      <w:r>
        <w:t>5.5  Deposition and droplet drying</w:t>
      </w:r>
    </w:p>
    <w:p>
      <w:pPr>
        <w:spacing w:after="80"/>
      </w:pPr>
      <w:r>
        <w:rPr>
          <w:b w:val="0"/>
          <w:i w:val="0"/>
        </w:rPr>
        <w:t>Black silicon produced by MACE is strongly hydrophilic, and droplets were observed to spread across the substrate rather than remaining confined. On drying, solute is carried to the perimeter of the wetted area, producing a ring-shaped deposit with most of the material outside the region initially targeted for measurement. This is a genuine methodological weakness in the deposition procedure and may have reduced the quantity of NAM actually present within the measured volume. It is unlikely to be the sole explanation, since multiple spatially separated spots were examined, but it is a contributing factor and has been addressed in the revised procedure.</w:t>
      </w:r>
    </w:p>
    <w:p>
      <w:pPr>
        <w:pStyle w:val="Heading2"/>
      </w:pPr>
      <w:r>
        <w:t>5.6  Literature context</w:t>
      </w:r>
    </w:p>
    <w:p>
      <w:pPr>
        <w:spacing w:after="60"/>
      </w:pPr>
      <w:r>
        <w:rPr>
          <w:b w:val="0"/>
          <w:i w:val="0"/>
        </w:rPr>
        <w:t>An extensive survey of the literature was undertaken to identify published SERS spectra of isolated NAM against which these results could be compared. No such published spectrum was located, either on silver or on any other plasmonic substrate. NAM appears in the vibrational spectroscopy literature only indirectly, through studies of whole bacteria or intact peptidoglycan, where its individual contribution cannot be isolated.</w:t>
      </w:r>
    </w:p>
    <w:p>
      <w:pPr>
        <w:spacing w:after="80"/>
      </w:pPr>
      <w:r>
        <w:rPr>
          <w:b w:val="0"/>
          <w:i w:val="0"/>
        </w:rPr>
        <w:t>This absence is itself informative. Had label-free SERS detection of free NAM been straightforward, it would be expected to appear in the literature, given the diagnostic interest in peptidoglycan markers. The absence of any such report is consistent with the difficulty encountered here being intrinsic to the molecule rather than specific to this substrate or instrument.</w:t>
      </w:r>
    </w:p>
    <w:p>
      <w:pPr>
        <w:pStyle w:val="Heading2"/>
      </w:pPr>
      <w:r>
        <w:t>5.7  Ranking of causes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576"/>
            <w:shd w:val="clear" w:fill="1B3A6B"/>
          </w:tcPr>
          <w:p>
            <w:r/>
            <w:r>
              <w:rPr>
                <w:b/>
                <w:color w:val="FFFFFF"/>
                <w:sz w:val="18"/>
              </w:rPr>
              <w:t>Rank</w:t>
            </w:r>
          </w:p>
        </w:tc>
        <w:tc>
          <w:tcPr>
            <w:tcW w:type="dxa" w:w="3744"/>
            <w:shd w:val="clear" w:fill="1B3A6B"/>
          </w:tcPr>
          <w:p>
            <w:r/>
            <w:r>
              <w:rPr>
                <w:b/>
                <w:color w:val="FFFFFF"/>
                <w:sz w:val="18"/>
              </w:rPr>
              <w:t>Proposed cause</w:t>
            </w:r>
          </w:p>
        </w:tc>
        <w:tc>
          <w:tcPr>
            <w:tcW w:type="dxa" w:w="5472"/>
            <w:shd w:val="clear" w:fill="1B3A6B"/>
          </w:tcPr>
          <w:p>
            <w:r/>
            <w:r>
              <w:rPr>
                <w:b/>
                <w:color w:val="FFFFFF"/>
                <w:sz w:val="18"/>
              </w:rPr>
              <w:t>Status</w:t>
            </w:r>
          </w:p>
        </w:tc>
      </w:tr>
      <w:tr>
        <w:tc>
          <w:tcPr>
            <w:tcW w:type="dxa" w:w="576"/>
          </w:tcPr>
          <w:p>
            <w:r/>
            <w:r>
              <w:rPr>
                <w:sz w:val="15"/>
              </w:rPr>
              <w:t>1</w:t>
            </w:r>
          </w:p>
        </w:tc>
        <w:tc>
          <w:tcPr>
            <w:tcW w:type="dxa" w:w="3744"/>
          </w:tcPr>
          <w:p>
            <w:r/>
            <w:r>
              <w:rPr>
                <w:sz w:val="15"/>
              </w:rPr>
              <w:t>Absence of a silver-binding functional group, so that NAM does not concentrate within the short-range enhancement regions</w:t>
            </w:r>
          </w:p>
        </w:tc>
        <w:tc>
          <w:tcPr>
            <w:tcW w:type="dxa" w:w="5472"/>
          </w:tcPr>
          <w:p>
            <w:r/>
            <w:r>
              <w:rPr>
                <w:sz w:val="15"/>
              </w:rPr>
              <w:t>Most probable primary cause. Consistent with molecular structure, with the R6G comparison, and with the absence of any published NAM SERS spectrum</w:t>
            </w:r>
          </w:p>
        </w:tc>
      </w:tr>
      <w:tr>
        <w:tc>
          <w:tcPr>
            <w:tcW w:type="dxa" w:w="576"/>
            <w:shd w:val="clear" w:fill="E7ECF4"/>
          </w:tcPr>
          <w:p>
            <w:r/>
            <w:r>
              <w:rPr>
                <w:sz w:val="15"/>
              </w:rPr>
              <w:t>2</w:t>
            </w:r>
          </w:p>
        </w:tc>
        <w:tc>
          <w:tcPr>
            <w:tcW w:type="dxa" w:w="3744"/>
            <w:shd w:val="clear" w:fill="E7ECF4"/>
          </w:tcPr>
          <w:p>
            <w:r/>
            <w:r>
              <w:rPr>
                <w:sz w:val="15"/>
              </w:rPr>
              <w:t>Weak, non-resonant intrinsic Raman cross-section</w:t>
            </w:r>
          </w:p>
        </w:tc>
        <w:tc>
          <w:tcPr>
            <w:tcW w:type="dxa" w:w="5472"/>
            <w:shd w:val="clear" w:fill="E7ECF4"/>
          </w:tcPr>
          <w:p>
            <w:r/>
            <w:r>
              <w:rPr>
                <w:sz w:val="15"/>
              </w:rPr>
              <w:t>Strong contributing factor, compounding the above</w:t>
            </w:r>
          </w:p>
        </w:tc>
      </w:tr>
      <w:tr>
        <w:tc>
          <w:tcPr>
            <w:tcW w:type="dxa" w:w="576"/>
          </w:tcPr>
          <w:p>
            <w:r/>
            <w:r>
              <w:rPr>
                <w:sz w:val="15"/>
              </w:rPr>
              <w:t>3</w:t>
            </w:r>
          </w:p>
        </w:tc>
        <w:tc>
          <w:tcPr>
            <w:tcW w:type="dxa" w:w="3744"/>
          </w:tcPr>
          <w:p>
            <w:r/>
            <w:r>
              <w:rPr>
                <w:sz w:val="15"/>
              </w:rPr>
              <w:t>Droplet spreading and ring-shaped drying reducing analyte in the measured volume</w:t>
            </w:r>
          </w:p>
        </w:tc>
        <w:tc>
          <w:tcPr>
            <w:tcW w:type="dxa" w:w="5472"/>
          </w:tcPr>
          <w:p>
            <w:r/>
            <w:r>
              <w:rPr>
                <w:sz w:val="15"/>
              </w:rPr>
              <w:t>Contributing methodological factor; addressed in the revised procedure</w:t>
            </w:r>
          </w:p>
        </w:tc>
      </w:tr>
      <w:tr>
        <w:tc>
          <w:tcPr>
            <w:tcW w:type="dxa" w:w="576"/>
            <w:shd w:val="clear" w:fill="E7ECF4"/>
          </w:tcPr>
          <w:p>
            <w:r/>
            <w:r>
              <w:rPr>
                <w:sz w:val="15"/>
              </w:rPr>
              <w:t>4</w:t>
            </w:r>
          </w:p>
        </w:tc>
        <w:tc>
          <w:tcPr>
            <w:tcW w:type="dxa" w:w="3744"/>
            <w:shd w:val="clear" w:fill="E7ECF4"/>
          </w:tcPr>
          <w:p>
            <w:r/>
            <w:r>
              <w:rPr>
                <w:sz w:val="15"/>
              </w:rPr>
              <w:t>Insufficient analyte concentration</w:t>
            </w:r>
          </w:p>
        </w:tc>
        <w:tc>
          <w:tcPr>
            <w:tcW w:type="dxa" w:w="5472"/>
            <w:shd w:val="clear" w:fill="E7ECF4"/>
          </w:tcPr>
          <w:p>
            <w:r/>
            <w:r>
              <w:rPr>
                <w:sz w:val="15"/>
              </w:rPr>
              <w:t>Possible but unlikely as a primary cause; to be tested directly by a concentration series</w:t>
            </w:r>
          </w:p>
        </w:tc>
      </w:tr>
      <w:tr>
        <w:tc>
          <w:tcPr>
            <w:tcW w:type="dxa" w:w="576"/>
          </w:tcPr>
          <w:p>
            <w:r/>
            <w:r>
              <w:rPr>
                <w:sz w:val="15"/>
              </w:rPr>
              <w:t>5</w:t>
            </w:r>
          </w:p>
        </w:tc>
        <w:tc>
          <w:tcPr>
            <w:tcW w:type="dxa" w:w="3744"/>
          </w:tcPr>
          <w:p>
            <w:r/>
            <w:r>
              <w:rPr>
                <w:sz w:val="15"/>
              </w:rPr>
              <w:t>Insufficient substrate enhancement</w:t>
            </w:r>
          </w:p>
        </w:tc>
        <w:tc>
          <w:tcPr>
            <w:tcW w:type="dxa" w:w="5472"/>
          </w:tcPr>
          <w:p>
            <w:r/>
            <w:r>
              <w:rPr>
                <w:sz w:val="15"/>
              </w:rPr>
              <w:t>Excluded by the R6G control</w:t>
            </w:r>
          </w:p>
        </w:tc>
      </w:tr>
      <w:tr>
        <w:tc>
          <w:tcPr>
            <w:tcW w:type="dxa" w:w="576"/>
            <w:shd w:val="clear" w:fill="E7ECF4"/>
          </w:tcPr>
          <w:p>
            <w:r/>
            <w:r>
              <w:rPr>
                <w:sz w:val="15"/>
              </w:rPr>
              <w:t>6</w:t>
            </w:r>
          </w:p>
        </w:tc>
        <w:tc>
          <w:tcPr>
            <w:tcW w:type="dxa" w:w="3744"/>
            <w:shd w:val="clear" w:fill="E7ECF4"/>
          </w:tcPr>
          <w:p>
            <w:r/>
            <w:r>
              <w:rPr>
                <w:sz w:val="15"/>
              </w:rPr>
              <w:t>Instrument or calibration fault</w:t>
            </w:r>
          </w:p>
        </w:tc>
        <w:tc>
          <w:tcPr>
            <w:tcW w:type="dxa" w:w="5472"/>
            <w:shd w:val="clear" w:fill="E7ECF4"/>
          </w:tcPr>
          <w:p>
            <w:r/>
            <w:r>
              <w:rPr>
                <w:sz w:val="15"/>
              </w:rPr>
              <w:t>Excluded by the R6G control and by the silicon reference dataset</w:t>
            </w:r>
          </w:p>
        </w:tc>
      </w:tr>
    </w:tbl>
    <w:p>
      <w:pPr>
        <w:spacing w:after="40"/>
      </w:pPr>
    </w:p>
    <w:p>
      <w:r>
        <w:br w:type="page"/>
      </w:r>
    </w:p>
    <w:p>
      <w:pPr>
        <w:pStyle w:val="Heading1"/>
      </w:pPr>
      <w:r>
        <w:t>6. Methodological Issues Identified and Corrected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880"/>
            <w:shd w:val="clear" w:fill="1B3A6B"/>
          </w:tcPr>
          <w:p>
            <w:r/>
            <w:r>
              <w:rPr>
                <w:b/>
                <w:color w:val="FFFFFF"/>
                <w:sz w:val="18"/>
              </w:rPr>
              <w:t>Issue</w:t>
            </w:r>
          </w:p>
        </w:tc>
        <w:tc>
          <w:tcPr>
            <w:tcW w:type="dxa" w:w="2880"/>
            <w:shd w:val="clear" w:fill="1B3A6B"/>
          </w:tcPr>
          <w:p>
            <w:r/>
            <w:r>
              <w:rPr>
                <w:b/>
                <w:color w:val="FFFFFF"/>
                <w:sz w:val="18"/>
              </w:rPr>
              <w:t>Consequence</w:t>
            </w:r>
          </w:p>
        </w:tc>
        <w:tc>
          <w:tcPr>
            <w:tcW w:type="dxa" w:w="4032"/>
            <w:shd w:val="clear" w:fill="1B3A6B"/>
          </w:tcPr>
          <w:p>
            <w:r/>
            <w:r>
              <w:rPr>
                <w:b/>
                <w:color w:val="FFFFFF"/>
                <w:sz w:val="18"/>
              </w:rPr>
              <w:t>Correction adopted</w:t>
            </w:r>
          </w:p>
        </w:tc>
      </w:tr>
      <w:tr>
        <w:tc>
          <w:tcPr>
            <w:tcW w:type="dxa" w:w="2880"/>
          </w:tcPr>
          <w:p>
            <w:r/>
            <w:r>
              <w:rPr>
                <w:sz w:val="15"/>
              </w:rPr>
              <w:t>No substrate blank was recorded for the 2-min substrate, and blanks for the other two substrates were acquired in an earlier session</w:t>
            </w:r>
          </w:p>
        </w:tc>
        <w:tc>
          <w:tcPr>
            <w:tcW w:type="dxa" w:w="2880"/>
          </w:tcPr>
          <w:p>
            <w:r/>
            <w:r>
              <w:rPr>
                <w:sz w:val="15"/>
              </w:rPr>
              <w:t>Background subtraction could not be performed reliably for all substrates</w:t>
            </w:r>
          </w:p>
        </w:tc>
        <w:tc>
          <w:tcPr>
            <w:tcW w:type="dxa" w:w="4032"/>
          </w:tcPr>
          <w:p>
            <w:r/>
            <w:r>
              <w:rPr>
                <w:sz w:val="15"/>
              </w:rPr>
              <w:t>A blank spectrum is now acquired in the same session, at identical settings, immediately before every analyte measurement</w:t>
            </w:r>
          </w:p>
        </w:tc>
      </w:tr>
      <w:tr>
        <w:tc>
          <w:tcPr>
            <w:tcW w:type="dxa" w:w="2880"/>
            <w:shd w:val="clear" w:fill="E7ECF4"/>
          </w:tcPr>
          <w:p>
            <w:r/>
            <w:r>
              <w:rPr>
                <w:sz w:val="15"/>
              </w:rPr>
              <w:t>Single-pixel detector artefact produced an apparently significant peak</w:t>
            </w:r>
          </w:p>
        </w:tc>
        <w:tc>
          <w:tcPr>
            <w:tcW w:type="dxa" w:w="2880"/>
            <w:shd w:val="clear" w:fill="E7ECF4"/>
          </w:tcPr>
          <w:p>
            <w:r/>
            <w:r>
              <w:rPr>
                <w:sz w:val="15"/>
              </w:rPr>
              <w:t>Risk of reporting a false positive</w:t>
            </w:r>
          </w:p>
        </w:tc>
        <w:tc>
          <w:tcPr>
            <w:tcW w:type="dxa" w:w="4032"/>
            <w:shd w:val="clear" w:fill="E7ECF4"/>
          </w:tcPr>
          <w:p>
            <w:r/>
            <w:r>
              <w:rPr>
                <w:sz w:val="15"/>
              </w:rPr>
              <w:t>A minimum peak-width criterion of three pixels is now applied before any peak is accepted</w:t>
            </w:r>
          </w:p>
        </w:tc>
      </w:tr>
      <w:tr>
        <w:tc>
          <w:tcPr>
            <w:tcW w:type="dxa" w:w="2880"/>
          </w:tcPr>
          <w:p>
            <w:r/>
            <w:r>
              <w:rPr>
                <w:sz w:val="15"/>
              </w:rPr>
              <w:t>Droplet spreading on hydrophilic black silicon</w:t>
            </w:r>
          </w:p>
        </w:tc>
        <w:tc>
          <w:tcPr>
            <w:tcW w:type="dxa" w:w="2880"/>
          </w:tcPr>
          <w:p>
            <w:r/>
            <w:r>
              <w:rPr>
                <w:sz w:val="15"/>
              </w:rPr>
              <w:t>Analyte deposited outside the measured region</w:t>
            </w:r>
          </w:p>
        </w:tc>
        <w:tc>
          <w:tcPr>
            <w:tcW w:type="dxa" w:w="4032"/>
          </w:tcPr>
          <w:p>
            <w:r/>
            <w:r>
              <w:rPr>
                <w:sz w:val="15"/>
              </w:rPr>
              <w:t>Reduced droplet volume, and a hydrophobic barrier applied around the target region</w:t>
            </w:r>
          </w:p>
        </w:tc>
      </w:tr>
      <w:tr>
        <w:tc>
          <w:tcPr>
            <w:tcW w:type="dxa" w:w="2880"/>
            <w:shd w:val="clear" w:fill="E7ECF4"/>
          </w:tcPr>
          <w:p>
            <w:r/>
            <w:r>
              <w:rPr>
                <w:sz w:val="15"/>
              </w:rPr>
              <w:t>Instrument file naming did not record acquisition conditions</w:t>
            </w:r>
          </w:p>
        </w:tc>
        <w:tc>
          <w:tcPr>
            <w:tcW w:type="dxa" w:w="2880"/>
            <w:shd w:val="clear" w:fill="E7ECF4"/>
          </w:tcPr>
          <w:p>
            <w:r/>
            <w:r>
              <w:rPr>
                <w:sz w:val="15"/>
              </w:rPr>
              <w:t>Conditions had to be reconstructed after the fact</w:t>
            </w:r>
          </w:p>
        </w:tc>
        <w:tc>
          <w:tcPr>
            <w:tcW w:type="dxa" w:w="4032"/>
            <w:shd w:val="clear" w:fill="E7ECF4"/>
          </w:tcPr>
          <w:p>
            <w:r/>
            <w:r>
              <w:rPr>
                <w:sz w:val="15"/>
              </w:rPr>
              <w:t>A self-describing naming convention recording power, integration time, accumulations and spot number is now used, with a corresponding measurement log</w:t>
            </w:r>
          </w:p>
        </w:tc>
      </w:tr>
      <w:tr>
        <w:tc>
          <w:tcPr>
            <w:tcW w:type="dxa" w:w="2880"/>
          </w:tcPr>
          <w:p>
            <w:r/>
            <w:r>
              <w:rPr>
                <w:sz w:val="15"/>
              </w:rPr>
              <w:t>An incorrect molecular weight (275.25 g/mol) had been used for NAM in earlier calculations</w:t>
            </w:r>
          </w:p>
        </w:tc>
        <w:tc>
          <w:tcPr>
            <w:tcW w:type="dxa" w:w="2880"/>
          </w:tcPr>
          <w:p>
            <w:r/>
            <w:r>
              <w:rPr>
                <w:sz w:val="15"/>
              </w:rPr>
              <w:t>Reported molar concentrations were approximately 6.5% too high</w:t>
            </w:r>
          </w:p>
        </w:tc>
        <w:tc>
          <w:tcPr>
            <w:tcW w:type="dxa" w:w="4032"/>
          </w:tcPr>
          <w:p>
            <w:r/>
            <w:r>
              <w:rPr>
                <w:sz w:val="15"/>
              </w:rPr>
              <w:t>Verified value of 293.27 g/mol adopted; all concentrations recalculated. The 1 mg/mL stock is 3.41 mM</w:t>
            </w:r>
          </w:p>
        </w:tc>
      </w:tr>
      <w:tr>
        <w:tc>
          <w:tcPr>
            <w:tcW w:type="dxa" w:w="2880"/>
            <w:shd w:val="clear" w:fill="E7ECF4"/>
          </w:tcPr>
          <w:p>
            <w:r/>
            <w:r>
              <w:rPr>
                <w:sz w:val="15"/>
              </w:rPr>
              <w:t>One substrate per etch condition</w:t>
            </w:r>
          </w:p>
        </w:tc>
        <w:tc>
          <w:tcPr>
            <w:tcW w:type="dxa" w:w="2880"/>
            <w:shd w:val="clear" w:fill="E7ECF4"/>
          </w:tcPr>
          <w:p>
            <w:r/>
            <w:r>
              <w:rPr>
                <w:sz w:val="15"/>
              </w:rPr>
              <w:t>Fabrication reproducibility not established</w:t>
            </w:r>
          </w:p>
        </w:tc>
        <w:tc>
          <w:tcPr>
            <w:tcW w:type="dxa" w:w="4032"/>
            <w:shd w:val="clear" w:fill="E7ECF4"/>
          </w:tcPr>
          <w:p>
            <w:r/>
            <w:r>
              <w:rPr>
                <w:sz w:val="15"/>
              </w:rPr>
              <w:t>Independent replicate substrates included in the forward plan</w:t>
            </w:r>
          </w:p>
        </w:tc>
      </w:tr>
    </w:tbl>
    <w:p>
      <w:pPr>
        <w:spacing w:after="40"/>
      </w:pPr>
    </w:p>
    <w:p>
      <w:r>
        <w:br w:type="page"/>
      </w:r>
    </w:p>
    <w:p>
      <w:pPr>
        <w:pStyle w:val="Heading1"/>
      </w:pPr>
      <w:r>
        <w:t>7. Conclusions</w:t>
      </w:r>
    </w:p>
    <w:p>
      <w:pPr>
        <w:pStyle w:val="ListNumber"/>
        <w:spacing w:after="60"/>
      </w:pPr>
      <w:r>
        <w:rPr>
          <w:b/>
        </w:rPr>
        <w:t xml:space="preserve">Substrate fabrication was successful. </w:t>
      </w:r>
      <w:r>
        <w:t>One-step MACE reproducibly produced silver-decorated black-silicon substrates with strong SERS activity, confirmed by detection of all eight standard R6G bands at high signal-to-noise.</w:t>
      </w:r>
    </w:p>
    <w:p>
      <w:pPr>
        <w:pStyle w:val="ListNumber"/>
        <w:spacing w:after="60"/>
      </w:pPr>
      <w:r>
        <w:rPr>
          <w:b/>
        </w:rPr>
        <w:t xml:space="preserve">Etch time strongly influences enhancement. </w:t>
      </w:r>
      <w:r>
        <w:t>The 2-minute etch gave approximately 48 times the response of the 5-minute substrate at 1509 cm⁻¹. The dependence is not monotonic, indicating that silver morphology rather than etch duration alone governs performance.</w:t>
      </w:r>
    </w:p>
    <w:p>
      <w:pPr>
        <w:pStyle w:val="ListNumber"/>
        <w:spacing w:after="60"/>
      </w:pPr>
      <w:r>
        <w:rPr>
          <w:b/>
        </w:rPr>
        <w:t xml:space="preserve">NAM was not detected under any condition examined. </w:t>
      </w:r>
      <w:r>
        <w:t>No target band satisfied the detection criteria reproducibly across substrates, laser powers, or blank-subtracted data.</w:t>
      </w:r>
    </w:p>
    <w:p>
      <w:pPr>
        <w:pStyle w:val="ListNumber"/>
        <w:spacing w:after="60"/>
      </w:pPr>
      <w:r>
        <w:rPr>
          <w:b/>
        </w:rPr>
        <w:t xml:space="preserve">The negative result is attributable to the analyte, not the platform. </w:t>
      </w:r>
      <w:r>
        <w:t>The R6G control establishes that the substrate and instrument were functioning correctly. NAM lacks electronic resonance at the excitation wavelength, has a weak intrinsic Raman cross-section, and possesses no functional group capable of binding silver — so it does not concentrate within the short-range field-enhancement regions on which SERS depends.</w:t>
      </w:r>
    </w:p>
    <w:p>
      <w:pPr>
        <w:pStyle w:val="ListNumber"/>
        <w:spacing w:after="60"/>
      </w:pPr>
      <w:r>
        <w:rPr>
          <w:b/>
        </w:rPr>
        <w:t xml:space="preserve">The absence of any published NAM SERS spectrum supports this interpretation </w:t>
      </w:r>
      <w:r>
        <w:t>and indicates that the difficulty is intrinsic to the molecule rather than particular to this work.</w:t>
      </w:r>
    </w:p>
    <w:p>
      <w:pPr>
        <w:pStyle w:val="ListNumber"/>
        <w:spacing w:after="60"/>
      </w:pPr>
      <w:r>
        <w:rPr>
          <w:b/>
        </w:rPr>
        <w:t xml:space="preserve">A validated reference dataset and a corrected analysis procedure are now established, </w:t>
      </w:r>
      <w:r>
        <w:t>including instrument calibration offset, noise characterisation and artefact rejection.</w:t>
      </w:r>
    </w:p>
    <w:p>
      <w:pPr>
        <w:pStyle w:val="Heading1"/>
      </w:pPr>
      <w:r>
        <w:t>8. Forward Plan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864"/>
            <w:shd w:val="clear" w:fill="1B3A6B"/>
          </w:tcPr>
          <w:p>
            <w:r/>
            <w:r>
              <w:rPr>
                <w:b/>
                <w:color w:val="FFFFFF"/>
                <w:sz w:val="18"/>
              </w:rPr>
              <w:t>Priority</w:t>
            </w:r>
          </w:p>
        </w:tc>
        <w:tc>
          <w:tcPr>
            <w:tcW w:type="dxa" w:w="3456"/>
            <w:shd w:val="clear" w:fill="1B3A6B"/>
          </w:tcPr>
          <w:p>
            <w:r/>
            <w:r>
              <w:rPr>
                <w:b/>
                <w:color w:val="FFFFFF"/>
                <w:sz w:val="18"/>
              </w:rPr>
              <w:t>Planned work</w:t>
            </w:r>
          </w:p>
        </w:tc>
        <w:tc>
          <w:tcPr>
            <w:tcW w:type="dxa" w:w="5472"/>
            <w:shd w:val="clear" w:fill="1B3A6B"/>
          </w:tcPr>
          <w:p>
            <w:r/>
            <w:r>
              <w:rPr>
                <w:b/>
                <w:color w:val="FFFFFF"/>
                <w:sz w:val="18"/>
              </w:rPr>
              <w:t>Justification</w:t>
            </w:r>
          </w:p>
        </w:tc>
      </w:tr>
      <w:tr>
        <w:tc>
          <w:tcPr>
            <w:tcW w:type="dxa" w:w="864"/>
          </w:tcPr>
          <w:p>
            <w:r/>
            <w:r>
              <w:rPr>
                <w:sz w:val="15"/>
              </w:rPr>
              <w:t>1</w:t>
            </w:r>
          </w:p>
        </w:tc>
        <w:tc>
          <w:tcPr>
            <w:tcW w:type="dxa" w:w="3456"/>
          </w:tcPr>
          <w:p>
            <w:r/>
            <w:r>
              <w:rPr>
                <w:sz w:val="15"/>
              </w:rPr>
              <w:t>Introduce capture chemistry using 4-mercaptophenylboronic acid</w:t>
            </w:r>
          </w:p>
        </w:tc>
        <w:tc>
          <w:tcPr>
            <w:tcW w:type="dxa" w:w="5472"/>
          </w:tcPr>
          <w:p>
            <w:r/>
            <w:r>
              <w:rPr>
                <w:sz w:val="15"/>
              </w:rPr>
              <w:t>Its thiol group binds silver strongly while its boronic acid group forms reversible covalent bonds with cis-diols such as those present in NAM. This directly addresses the adsorption limitation identified as the primary cause of the negative result</w:t>
            </w:r>
          </w:p>
        </w:tc>
      </w:tr>
      <w:tr>
        <w:tc>
          <w:tcPr>
            <w:tcW w:type="dxa" w:w="864"/>
            <w:shd w:val="clear" w:fill="E7ECF4"/>
          </w:tcPr>
          <w:p>
            <w:r/>
            <w:r>
              <w:rPr>
                <w:sz w:val="15"/>
              </w:rPr>
              <w:t>2</w:t>
            </w:r>
          </w:p>
        </w:tc>
        <w:tc>
          <w:tcPr>
            <w:tcW w:type="dxa" w:w="3456"/>
            <w:shd w:val="clear" w:fill="E7ECF4"/>
          </w:tcPr>
          <w:p>
            <w:r/>
            <w:r>
              <w:rPr>
                <w:sz w:val="15"/>
              </w:rPr>
              <w:t>Evaluate lipopolysaccharide as a parallel target analyte</w:t>
            </w:r>
          </w:p>
        </w:tc>
        <w:tc>
          <w:tcPr>
            <w:tcW w:type="dxa" w:w="5472"/>
            <w:shd w:val="clear" w:fill="E7ECF4"/>
          </w:tcPr>
          <w:p>
            <w:r/>
            <w:r>
              <w:rPr>
                <w:sz w:val="15"/>
              </w:rPr>
              <w:t>Unlike NAM, LPS possesses a lipid A moiety whose phosphate groups and long acyl chains provide both strong Raman scattering and a genuine physisorption mechanism onto silver. Established label-free SERS detection of LPS on silver substrates is documented in the literature, providing a benchmark for comparison</w:t>
            </w:r>
          </w:p>
        </w:tc>
      </w:tr>
      <w:tr>
        <w:tc>
          <w:tcPr>
            <w:tcW w:type="dxa" w:w="864"/>
          </w:tcPr>
          <w:p>
            <w:r/>
            <w:r>
              <w:rPr>
                <w:sz w:val="15"/>
              </w:rPr>
              <w:t>3</w:t>
            </w:r>
          </w:p>
        </w:tc>
        <w:tc>
          <w:tcPr>
            <w:tcW w:type="dxa" w:w="3456"/>
          </w:tcPr>
          <w:p>
            <w:r/>
            <w:r>
              <w:rPr>
                <w:sz w:val="15"/>
              </w:rPr>
              <w:t>Modify substrate fabrication to control silver morphology independently of silicon etching</w:t>
            </w:r>
          </w:p>
        </w:tc>
        <w:tc>
          <w:tcPr>
            <w:tcW w:type="dxa" w:w="5472"/>
          </w:tcPr>
          <w:p>
            <w:r/>
            <w:r>
              <w:rPr>
                <w:sz w:val="15"/>
              </w:rPr>
              <w:t>In the present one-step process, silver deposition and silicon etching occur simultaneously and cannot be controlled separately. Separating these stages permits silver particle size and density to be optimised as independent variables</w:t>
            </w:r>
          </w:p>
        </w:tc>
      </w:tr>
      <w:tr>
        <w:tc>
          <w:tcPr>
            <w:tcW w:type="dxa" w:w="864"/>
            <w:shd w:val="clear" w:fill="E7ECF4"/>
          </w:tcPr>
          <w:p>
            <w:r/>
            <w:r>
              <w:rPr>
                <w:sz w:val="15"/>
              </w:rPr>
              <w:t>4</w:t>
            </w:r>
          </w:p>
        </w:tc>
        <w:tc>
          <w:tcPr>
            <w:tcW w:type="dxa" w:w="3456"/>
            <w:shd w:val="clear" w:fill="E7ECF4"/>
          </w:tcPr>
          <w:p>
            <w:r/>
            <w:r>
              <w:rPr>
                <w:sz w:val="15"/>
              </w:rPr>
              <w:t>Establish reproducibility through independent replicate substrates and same-session blanks</w:t>
            </w:r>
          </w:p>
        </w:tc>
        <w:tc>
          <w:tcPr>
            <w:tcW w:type="dxa" w:w="5472"/>
            <w:shd w:val="clear" w:fill="E7ECF4"/>
          </w:tcPr>
          <w:p>
            <w:r/>
            <w:r>
              <w:rPr>
                <w:sz w:val="15"/>
              </w:rPr>
              <w:t>Required before any quantitative claim regarding detection limits can be made</w:t>
            </w:r>
          </w:p>
        </w:tc>
      </w:tr>
      <w:tr>
        <w:tc>
          <w:tcPr>
            <w:tcW w:type="dxa" w:w="864"/>
          </w:tcPr>
          <w:p>
            <w:r/>
            <w:r>
              <w:rPr>
                <w:sz w:val="15"/>
              </w:rPr>
              <w:t>5</w:t>
            </w:r>
          </w:p>
        </w:tc>
        <w:tc>
          <w:tcPr>
            <w:tcW w:type="dxa" w:w="3456"/>
          </w:tcPr>
          <w:p>
            <w:r/>
            <w:r>
              <w:rPr>
                <w:sz w:val="15"/>
              </w:rPr>
              <w:t>Conduct a NAM concentration series once capture chemistry is available</w:t>
            </w:r>
          </w:p>
        </w:tc>
        <w:tc>
          <w:tcPr>
            <w:tcW w:type="dxa" w:w="5472"/>
          </w:tcPr>
          <w:p>
            <w:r/>
            <w:r>
              <w:rPr>
                <w:sz w:val="15"/>
              </w:rPr>
              <w:t>Will definitively separate insufficient analyte quantity from insufficient surface binding as explanations</w:t>
            </w:r>
          </w:p>
        </w:tc>
      </w:tr>
    </w:tbl>
    <w:p>
      <w:pPr>
        <w:spacing w:after="40"/>
      </w:pPr>
    </w:p>
    <w:p>
      <w:pPr>
        <w:spacing w:after="80"/>
      </w:pPr>
      <w:r>
        <w:rPr>
          <w:b w:val="0"/>
          <w:i w:val="0"/>
        </w:rPr>
        <w:t>The immediate priority is to address the adsorption limitation, since the evidence indicates that this — rather than substrate enhancement — is what currently prevents NAM detection.</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