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40"/>
        </w:rPr>
        <w:t>NAM, LTA and LPS — Raman/DFT Figures Compendium</w:t>
      </w:r>
    </w:p>
    <w:p>
      <w:pPr>
        <w:spacing w:after="120"/>
        <w:jc w:val="center"/>
      </w:pPr>
      <w:r>
        <w:rPr>
          <w:b w:val="0"/>
          <w:i/>
          <w:sz w:val="25"/>
        </w:rPr>
        <w:t>Extracted from Prior Analysis Decks (nam-final.pptx, LTA&amp;LPS.pptx)</w:t>
      </w:r>
    </w:p>
    <w:p>
      <w:pPr>
        <w:jc w:val="center"/>
      </w:pPr>
      <w:r>
        <w:rPr>
          <w:color w:val="1B3A6B"/>
        </w:rPr>
        <w:t>____________________________________________________________</w:t>
      </w:r>
    </w:p>
    <w:p/>
    <w:p>
      <w:pPr>
        <w:spacing w:after="120"/>
        <w:jc w:val="center"/>
      </w:pPr>
      <w:r>
        <w:rPr>
          <w:b w:val="0"/>
          <w:i w:val="0"/>
          <w:sz w:val="20"/>
        </w:rPr>
        <w:t>Sukesh P (M24IM1007)  |  M.Tech, Joint IDRP, IIT Jodhpur &amp; AIIMS Jodhpur</w:t>
      </w:r>
    </w:p>
    <w:p>
      <w:pPr>
        <w:spacing w:after="120"/>
        <w:jc w:val="center"/>
      </w:pPr>
      <w:r>
        <w:rPr>
          <w:b w:val="0"/>
          <w:i/>
          <w:sz w:val="19"/>
        </w:rPr>
        <w:t>Work package within: "Intelligent Sensor System for Early Prediction of Sepsis in Neonates and High-Risk Adults"  |  PI: Prof. Ajay Agarwal, IITJ  |  Co-PI: Prof. (Dr.) Neeraj, AIIMS Jodhpur</w:t>
      </w:r>
    </w:p>
    <w:p/>
    <w:p>
      <w:pPr>
        <w:pStyle w:val="Heading1"/>
      </w:pPr>
      <w:r>
        <w:t>Introduction</w:t>
      </w:r>
    </w:p>
    <w:p>
      <w:pPr>
        <w:spacing w:after="80"/>
      </w:pPr>
      <w:r>
        <w:rPr>
          <w:b w:val="0"/>
          <w:i w:val="0"/>
        </w:rPr>
        <w:t>This document collects the key structure, pure-standard, experimental and merged/composite-fit figures for all three biomarkers investigated so far — NAM, LTA and LPS — extracted from two source presentations (nam-final.pptx and LTA&amp;LPS.pptx, which share the same underlying image set). It is a standalone companion to the earlier Biomarker Imaging Report and does not replace or modify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ECF1F8"/>
          </w:tcPr>
          <w:p>
            <w:r/>
            <w:r>
              <w:rPr>
                <w:b/>
                <w:color w:val="1B3A6B"/>
                <w:sz w:val="19"/>
              </w:rPr>
              <w:t>KEY — These decks contain substantially more pure-standard and DFT-comparison data for LTA and LPS than had previously been located in the project's raw-data folders — in particular, multi-power experimental LTA spectra and a full 5-fragment DFT model with composite fits for LPS. This updates the "not yet available" status previously recorded for LTA and LPS pure/reference spectra.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1. N-Acetylmuramic Acid (NAM)</w:t>
      </w:r>
    </w:p>
    <w:p>
      <w:pPr>
        <w:pStyle w:val="Heading2"/>
      </w:pPr>
      <w:r>
        <w:t>1.1  Structure and sample setup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923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s01_Pictur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92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N1. NAM — 3D ball-and-stick structure.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s01_Picture1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N2. NAM — sample and experimental setup summary (formula C₁₁H₁₉NO₈, MW ≈293 g/mol, key functional groups, measurement state).</w:t>
      </w:r>
    </w:p>
    <w:p>
      <w:pPr>
        <w:spacing w:after="80"/>
      </w:pPr>
      <w:r>
        <w:rPr>
          <w:b w:val="0"/>
          <w:i/>
        </w:rPr>
        <w:t>As noted on this slide: "Any detectable SERS signal from NAM = definitive bacterial presence confirmed" — NAM is synthesised exclusively by bacteria and is absent from all human biomolecules, which is the basis for treating it as a specific peptidoglycan marker.</w:t>
      </w:r>
    </w:p>
    <w:p>
      <w:pPr>
        <w:pStyle w:val="Heading2"/>
      </w:pPr>
      <w:r>
        <w:t>1.2  Experiment vs. DFT — merged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889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s06_GoogleShape;254;p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N3. Experimental vs. simulated (DFT) Raman spectra of NAM — 51 matched peaks, RMSE 2.12 cm⁻¹, mean error 0.38 cm⁻¹, tolerance ±10 cm⁻¹.</w:t>
      </w:r>
    </w:p>
    <w:p>
      <w:pPr>
        <w:spacing w:after="80"/>
      </w:pPr>
      <w:r>
        <w:rPr>
          <w:b w:val="0"/>
          <w:i w:val="0"/>
        </w:rPr>
        <w:t>Note: this is a separate, wider-range (up to ~2840 cm⁻¹) peak-matching analysis from the earlier 400–1800 cm⁻¹ / ±18 cm⁻¹-tolerance DFT study reported in the Consolidated NAM Report (30/41 bands, RMSE 10.3 cm⁻¹) — the two used different matching windows and should not be numerically combined, but both independently confirm strong agreement between the experimental and calculated NAM spectrum.</w:t>
      </w:r>
    </w:p>
    <w:p>
      <w:r>
        <w:br w:type="page"/>
      </w:r>
    </w:p>
    <w:p>
      <w:pPr>
        <w:pStyle w:val="Heading1"/>
      </w:pPr>
      <w:r>
        <w:t>2. Lipoteichoic Acid (LTA)</w:t>
      </w:r>
    </w:p>
    <w:p>
      <w:pPr>
        <w:spacing w:after="80"/>
      </w:pPr>
      <w:r>
        <w:rPr>
          <w:b w:val="0"/>
          <w:i w:val="0"/>
        </w:rPr>
        <w:t>LTA (backbone: repeating glycerol–phosphate units, lipid-anchored) was modelled using a fragment-based DFT approach, since full-molecule simulation of the polymeric structure is computationally impractical. Two representative substituents were modelled: D-alanine (amino substituent, surface-charge regulation) and GlcNAc (carbohydrate component, strong Raman-active sugar signal).</w:t>
      </w:r>
    </w:p>
    <w:p>
      <w:pPr>
        <w:pStyle w:val="Heading2"/>
      </w:pPr>
      <w:r>
        <w:t>2.1  Structures (pure components)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1824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s10_GoogleShape;273;p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82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L1. Glycerol-phosphate backbone fragment — 3D structure.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15572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s13_Picture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557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L2a. D-alanine substituent — 2D structure.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1557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s14_Picture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557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L2b. GlcNAc substituent — 2D structure.</w:t>
      </w:r>
    </w:p>
    <w:p>
      <w:r>
        <w:br w:type="page"/>
      </w:r>
    </w:p>
    <w:p>
      <w:pPr>
        <w:pStyle w:val="Heading2"/>
      </w:pPr>
      <w:r>
        <w:t>2.2  Pure/simulated fragment spectra vs. experimental (raw)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9128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s15_Pictur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12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L3. Simulated Raman spectra of the three LTA-related fragments (D-alanine, glycerol-phosphate, N-acetyl-D-glucosamine) and the raw experimental LTA spectrum.</w:t>
      </w:r>
    </w:p>
    <w:p>
      <w:pPr>
        <w:pStyle w:val="Heading2"/>
      </w:pPr>
      <w:r>
        <w:t>2.3  Experiment — LTA across laser powers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173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s16_Pictur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7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L4. Experimental LTA Raman spectra at four laser power settings (40/50/60/70%), 500–2000 cm⁻¹ — reproducible band positions across all powers.</w:t>
      </w:r>
    </w:p>
    <w:p>
      <w:r>
        <w:br w:type="page"/>
      </w:r>
    </w:p>
    <w:p>
      <w:pPr>
        <w:pStyle w:val="Heading2"/>
      </w:pPr>
      <w:r>
        <w:t>2.4  Merged — experimental vs. fragment-composite fit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480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s16_Picture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L5. Experimental LTA vs. NNLS-optimised fragment-composite fit, with residual panel (R² = −0.294, Pearson r = 0.345, RMSE = 0.193).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424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s17_Picture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2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L6. Diagnostic Raman regions in LTA — experimental vs. NNLS fit, with functional-group regions annotated (P–O–C/phosphate, C–O–C+PO, Amide III, CH₃ deformation, NH₃⁺/COO⁻/Amide I).</w:t>
      </w:r>
    </w:p>
    <w:p>
      <w:pPr>
        <w:spacing w:after="100"/>
      </w:pPr>
      <w:r>
        <w:rPr>
          <w:b w:val="0"/>
          <w:i w:val="0"/>
        </w:rPr>
        <w:t>The fit is qualitatively informative in specific diagnostic windows (phosphate and C–O–C regions align reasonably well) but the overall fit quality is weak (R² negative, Pearson r ≈ 0.35), indicating the three-fragment composite model does not yet fully explain the experimental LTA spectrum — consistent with LTA being a large, heterogeneous polymer poorly represented by a small fragment set.</w:t>
      </w:r>
    </w:p>
    <w:p>
      <w:r>
        <w:br w:type="page"/>
      </w:r>
    </w:p>
    <w:p>
      <w:pPr>
        <w:pStyle w:val="Heading1"/>
      </w:pPr>
      <w:r>
        <w:t>3. Lipopolysaccharide (LPS)</w:t>
      </w:r>
    </w:p>
    <w:p>
      <w:pPr>
        <w:spacing w:after="80"/>
      </w:pPr>
      <w:r>
        <w:rPr>
          <w:b w:val="0"/>
          <w:i w:val="0"/>
        </w:rPr>
        <w:t>LPS (Lipid A + core oligosaccharide + O-antigen) was modelled using a five-fragment DFT approach: Kdo (3-deoxy-D-manno-octulosonic acid, core sugar), D-glucosamine (Lipid A backbone), L-glycero-D-manno-heptose (core oligosaccharide sugar), myristic acid (Lipid A fatty acid chain), and phosphoric acid (phosphate groups) — calculated at B3LYP/6-31G(d,p) with PCM + explicit water solvation.</w:t>
      </w:r>
    </w:p>
    <w:p>
      <w:pPr>
        <w:pStyle w:val="Heading2"/>
      </w:pPr>
      <w:r>
        <w:t>3.1  Differentiation strategy and literature-referenced SERS protocol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424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s22_Picture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42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P1. LPS vs. peptidoglycan (PGN) vs. LTA — differentiation by Raman fingerprint (peaks at 857, 1003, 1333, 1614 cm⁻¹ for LPS; overlap at 1333/1614 cm⁻¹ flagged as a limitation of single-peak identification), and the referenced SERS sample-preparation protocol (Yang et al., 2022: silver-nanorod substrate, 785 nm, ~9 mW, 2 µL of 100 µg/mL LPS, ~8.75 pg detection level).</w:t>
      </w:r>
    </w:p>
    <w:p>
      <w:r>
        <w:br w:type="page"/>
      </w:r>
    </w:p>
    <w:p>
      <w:pPr>
        <w:pStyle w:val="Heading2"/>
      </w:pPr>
      <w:r>
        <w:t>3.2  Pure/simulated fragment spectra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489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s26_Picture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P2. Simulated Raman spectra of the five LPS structural fragments (Kdo, D-glucosamine, L-glycero-D-manno-heptose, myristic acid, phosphoric acid), normalised, 500–3500 cm⁻¹.</w:t>
      </w:r>
    </w:p>
    <w:p>
      <w:pPr>
        <w:pStyle w:val="Heading2"/>
      </w:pPr>
      <w:r>
        <w:t>3.3  Experiment — raw LPS powder vs. single-fragment simulation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231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s25_Picture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P3. Experimental LPS powder Raman spectrum (raw, ALS-baseline-corrected and normalised) vs. simulated Kdo fragment spectrum.</w:t>
      </w:r>
    </w:p>
    <w:p>
      <w:r>
        <w:br w:type="page"/>
      </w:r>
    </w:p>
    <w:p>
      <w:pPr>
        <w:pStyle w:val="Heading2"/>
      </w:pPr>
      <w:r>
        <w:t>3.4  Merged — composite model vs. experimental LPS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480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s28_Picture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P4. Equal-weight five-fragment composite (simulated) vs. experimental LPS Raman spectrum.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494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s29_Picture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9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P5. Composite models overlaid with experimental LPS spectrum — equal-weight vs. NNLS-optimised, with residual panel and diagnostic region shading (Sugar/Core, Phosphate, Lipid). NNLS: RMSE = 0.185, R² = 0.180, correlation = 0.508 (best model).</w:t>
      </w:r>
    </w:p>
    <w:p>
      <w:pPr>
        <w:spacing w:after="100"/>
      </w:pPr>
      <w:r>
        <w:rPr>
          <w:b w:val="0"/>
          <w:i w:val="0"/>
        </w:rPr>
        <w:t>As with LTA, the NNLS-optimised composite captures several key regions (notably the phosphate region near 1000–1100 cm⁻¹) but does not fully reproduce the experimental spectrum, particularly the strong lipid-region band near 1350–1400 cm⁻¹ — the positive correlation (r ≈ 0.51) is a meaningfully better result than the LTA fragment model, but still leaves clear residual structure unexplained by the five-fragment model.</w:t>
      </w:r>
    </w:p>
    <w:p>
      <w:r>
        <w:br w:type="page"/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584"/>
            <w:shd w:val="clear" w:fill="1B3A6B"/>
          </w:tcPr>
          <w:p>
            <w:r/>
            <w:r>
              <w:rPr>
                <w:b/>
                <w:color w:val="FFFFFF"/>
                <w:sz w:val="18"/>
              </w:rPr>
              <w:t>Biomarker</w:t>
            </w:r>
          </w:p>
        </w:tc>
        <w:tc>
          <w:tcPr>
            <w:tcW w:type="dxa" w:w="3024"/>
            <w:shd w:val="clear" w:fill="1B3A6B"/>
          </w:tcPr>
          <w:p>
            <w:r/>
            <w:r>
              <w:rPr>
                <w:b/>
                <w:color w:val="FFFFFF"/>
                <w:sz w:val="18"/>
              </w:rPr>
              <w:t>Structure/pure fragments</w:t>
            </w:r>
          </w:p>
        </w:tc>
        <w:tc>
          <w:tcPr>
            <w:tcW w:type="dxa" w:w="3312"/>
            <w:shd w:val="clear" w:fill="1B3A6B"/>
          </w:tcPr>
          <w:p>
            <w:r/>
            <w:r>
              <w:rPr>
                <w:b/>
                <w:color w:val="FFFFFF"/>
                <w:sz w:val="18"/>
              </w:rPr>
              <w:t>Experimental spectrum</w:t>
            </w:r>
          </w:p>
        </w:tc>
        <w:tc>
          <w:tcPr>
            <w:tcW w:type="dxa" w:w="3024"/>
            <w:shd w:val="clear" w:fill="1B3A6B"/>
          </w:tcPr>
          <w:p>
            <w:r/>
            <w:r>
              <w:rPr>
                <w:b/>
                <w:color w:val="FFFFFF"/>
                <w:sz w:val="18"/>
              </w:rPr>
              <w:t>Merged/composite fit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5"/>
              </w:rPr>
              <w:t>NAM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Available (3D structure)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Available (powder, multiple conditions — see Consolidated NAM Report)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Available — 51 matched peaks, RMSE 2.1 cm⁻¹</w:t>
            </w:r>
          </w:p>
        </w:tc>
      </w:tr>
      <w:tr>
        <w:tc>
          <w:tcPr>
            <w:tcW w:type="dxa" w:w="1584"/>
            <w:shd w:val="clear" w:fill="E7ECF4"/>
          </w:tcPr>
          <w:p>
            <w:r/>
            <w:r>
              <w:rPr>
                <w:sz w:val="15"/>
              </w:rPr>
              <w:t>LTA</w:t>
            </w:r>
          </w:p>
        </w:tc>
        <w:tc>
          <w:tcPr>
            <w:tcW w:type="dxa" w:w="3024"/>
            <w:shd w:val="clear" w:fill="E7ECF4"/>
          </w:tcPr>
          <w:p>
            <w:r/>
            <w:r>
              <w:rPr>
                <w:sz w:val="15"/>
              </w:rPr>
              <w:t>Available (2 fragments: D-alanine, GlcNAc, plus backbone unit)</w:t>
            </w:r>
          </w:p>
        </w:tc>
        <w:tc>
          <w:tcPr>
            <w:tcW w:type="dxa" w:w="3312"/>
            <w:shd w:val="clear" w:fill="E7ECF4"/>
          </w:tcPr>
          <w:p>
            <w:r/>
            <w:r>
              <w:rPr>
                <w:sz w:val="15"/>
              </w:rPr>
              <w:t>Available (4 laser powers, reproducible bands)</w:t>
            </w:r>
          </w:p>
        </w:tc>
        <w:tc>
          <w:tcPr>
            <w:tcW w:type="dxa" w:w="3024"/>
            <w:shd w:val="clear" w:fill="E7ECF4"/>
          </w:tcPr>
          <w:p>
            <w:r/>
            <w:r>
              <w:rPr>
                <w:sz w:val="15"/>
              </w:rPr>
              <w:t>Available — NNLS fit, R² negative, r ≈ 0.35 (weak)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5"/>
              </w:rPr>
              <w:t>LPS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Available (5 fragments: Kdo, glucosamine, heptose, myristic acid, phosphoric acid)</w:t>
            </w:r>
          </w:p>
        </w:tc>
        <w:tc>
          <w:tcPr>
            <w:tcW w:type="dxa" w:w="3312"/>
          </w:tcPr>
          <w:p>
            <w:r/>
            <w:r>
              <w:rPr>
                <w:sz w:val="15"/>
              </w:rPr>
              <w:t>Available (raw powder, multiple acquisition settings)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Available — NNLS fit, R² = 0.18, r ≈ 0.51 (moderate)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</w:rPr>
        <w:t>This significantly updates the biomarker-imaging status previously recorded: pure-standard and experimental Raman data now exist for all three biomarkers, with DFT-based composite fits of varying quality (NAM strongest, LPS moderate, LTA weakest). None of this data has yet been collected on the project's own SERS substrates (Sensors 1/2) except where already reported — these figures are from off-substrate / pure-standard measurements and fragment-based DFT modelling.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FCEFDD"/>
          </w:tcPr>
          <w:p>
            <w:r/>
            <w:r>
              <w:rPr>
                <w:b/>
                <w:color w:val="B56A0A"/>
                <w:sz w:val="19"/>
              </w:rPr>
              <w:t>NOT CONFIRMED — Not covered in this document (available in the source decks if needed): DFT simulation-parameter and peak-assignment detail slides (NAM), acquisition-parameter grids, and additional spectral-region reference slides. Let me know if these should be added as well.</w:t>
            </w:r>
          </w:p>
        </w:tc>
      </w:tr>
    </w:tbl>
    <w:p>
      <w:pPr>
        <w:spacing w:after="80"/>
      </w:pPr>
    </w:p>
    <w:sectPr w:rsidR="00FC693F" w:rsidRPr="0006063C" w:rsidSect="00034616"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3A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2D3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