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0"/>
        </w:rPr>
        <w:t>N-Acetylmuramic Acid (NAM) Research Programme</w:t>
      </w:r>
    </w:p>
    <w:p>
      <w:pPr>
        <w:spacing w:after="120"/>
        <w:jc w:val="center"/>
      </w:pPr>
      <w:r>
        <w:rPr>
          <w:b w:val="0"/>
          <w:i/>
          <w:sz w:val="25"/>
        </w:rPr>
        <w:t>Consolidated Report — Reference Spectroscopy, Sensor Development and SERS Detection Trials</w:t>
      </w:r>
    </w:p>
    <w:p>
      <w:pPr>
        <w:jc w:val="center"/>
      </w:pPr>
      <w:r>
        <w:rPr>
          <w:color w:val="1B3A6B"/>
        </w:rPr>
        <w:t>____________________________________________________________</w:t>
      </w:r>
    </w:p>
    <w:p/>
    <w:p>
      <w:pPr>
        <w:spacing w:after="120"/>
        <w:jc w:val="center"/>
      </w:pPr>
      <w:r>
        <w:rPr>
          <w:b w:val="0"/>
          <w:i w:val="0"/>
          <w:sz w:val="20"/>
        </w:rPr>
        <w:t>Sukesh P (M24IM1007)  |  M.Tech, Joint IDRP, IIT Jodhpur &amp; AIIMS Jodhpur</w:t>
      </w:r>
    </w:p>
    <w:p>
      <w:pPr>
        <w:spacing w:after="120"/>
        <w:jc w:val="center"/>
      </w:pPr>
      <w:r>
        <w:rPr>
          <w:b w:val="0"/>
          <w:i/>
          <w:sz w:val="19"/>
        </w:rPr>
        <w:t>Supervisor: Prof. Ajay Agarwal</w:t>
      </w:r>
    </w:p>
    <w:p/>
    <w:p>
      <w:pPr>
        <w:pStyle w:val="Heading1"/>
      </w:pPr>
      <w:r>
        <w:t>Executive Summary</w:t>
      </w:r>
    </w:p>
    <w:p>
      <w:pPr>
        <w:spacing w:after="80"/>
      </w:pPr>
      <w:r>
        <w:rPr>
          <w:b w:val="0"/>
          <w:i w:val="0"/>
        </w:rPr>
        <w:t>This report consolidates every piece of NAM-related experimental and computational work carried out in this project to date: the isolated-molecule reference Raman spectrum and DFT vibrational assignment of NAM, two generations of Ag-based SERS sensor tried for NAM detection, the unetched-silicon instrument reference dataset, and a related lipoteichoic-acid (LTA) detection attempt. It brings together data and analysis previously scattered across separate sessions and separate report documents into a single record, organised so that the SERS detection results can be interpreted against a validated, DFT-confirmed reference spectrum rather than in isolation.</w:t>
      </w:r>
    </w:p>
    <w:tbl>
      <w:tblPr>
        <w:tblStyle w:val="TableGrid"/>
        <w:tblW w:type="auto" w:w="0"/>
        <w:tblLook w:firstColumn="1" w:firstRow="1" w:lastColumn="0" w:lastRow="0" w:noHBand="0" w:noVBand="1" w:val="04A0"/>
      </w:tblPr>
      <w:tblGrid>
        <w:gridCol w:w="9893"/>
      </w:tblGrid>
      <w:tr>
        <w:tc>
          <w:tcPr>
            <w:tcW w:type="dxa" w:w="9893"/>
            <w:shd w:val="clear" w:fill="ECF1F8"/>
          </w:tcPr>
          <w:p>
            <w:r/>
            <w:r>
              <w:rPr>
                <w:b/>
                <w:color w:val="1B3A6B"/>
                <w:sz w:val="19"/>
              </w:rPr>
              <w:t>KEY — Headline result: a reference Raman spectrum of isolated NAM has been established from 22 independent measurements and validated against DFT calculation (30 of 41 bands matched, r = 0.9996, MAE 9.3 cm⁻¹). Two generations of Ag-based SERS substrate have been evaluated for NAM detection. The earlier substrate showed one reproducible, tentative candidate feature near 243 cm⁻¹, outside the calibrated range of the reference spectrum and therefore not yet confirmable against it. The later black-silicon substrates, though strongly SERS-active for R6G (SNR up to 450), did not reproducibly detect NAM at any of the reference target bands. A surface-functionalisation strategy (4-MPBA recognition chemistry) is proposed as the next stage and is detailed in Part VI.</w:t>
            </w:r>
          </w:p>
        </w:tc>
      </w:tr>
    </w:tbl>
    <w:p>
      <w:pPr>
        <w:spacing w:after="80"/>
      </w:pPr>
    </w:p>
    <w:p>
      <w:r>
        <w:br w:type="page"/>
      </w:r>
    </w:p>
    <w:p>
      <w:pPr>
        <w:pStyle w:val="Heading1"/>
      </w:pPr>
      <w:r>
        <w:t>1. Introduction and Scope</w:t>
      </w:r>
    </w:p>
    <w:p>
      <w:pPr>
        <w:spacing w:after="80"/>
      </w:pPr>
      <w:r>
        <w:rPr>
          <w:b w:val="0"/>
          <w:i w:val="0"/>
        </w:rPr>
        <w:t>N-acetylmuramic acid (NAM, MurNAc) is a peptidoglycan-specific amino sugar present in essentially all bacterial cell walls and absent from human cells, making it an attractive label-free biomarker for rapid, culture-independent sepsis diagnostics. Surface-enhanced Raman spectroscopy (SERS) offers a route to such detection provided a suitable plasmonic substrate is available and the target molecule's spectral signature is reliably known.</w:t>
      </w:r>
    </w:p>
    <w:p>
      <w:pPr>
        <w:spacing w:after="60"/>
      </w:pPr>
      <w:r>
        <w:rPr>
          <w:b w:val="0"/>
          <w:i w:val="0"/>
        </w:rPr>
        <w:t>This report draws together four bodies of work:</w:t>
      </w:r>
    </w:p>
    <w:p>
      <w:pPr>
        <w:pStyle w:val="ListNumber"/>
        <w:spacing w:after="60"/>
      </w:pPr>
      <w:r>
        <w:t>A reference Raman/DFT characterisation of isolated NAM powder, establishing a validated spectral fingerprint independent of any SERS substrate.</w:t>
      </w:r>
    </w:p>
    <w:p>
      <w:pPr>
        <w:pStyle w:val="ListNumber"/>
        <w:spacing w:after="60"/>
      </w:pPr>
      <w:r>
        <w:t>Development and evaluation of a first-generation Ag-nanoparticle-on-silicon SERS sensor, including R6G concentration-response validation and an initial NAM detection attempt.</w:t>
      </w:r>
    </w:p>
    <w:p>
      <w:pPr>
        <w:pStyle w:val="ListNumber"/>
        <w:spacing w:after="60"/>
      </w:pPr>
      <w:r>
        <w:t>Development and evaluation of a second-generation Ag/black-silicon SERS sensor fabricated by one-step metal-assisted chemical etching (MACE), including an etch-time study, NAM detection attempts, a full instrument/calibration reference dataset on unetched silicon, and an LTA detection attempt.</w:t>
      </w:r>
    </w:p>
    <w:p>
      <w:pPr>
        <w:pStyle w:val="ListNumber"/>
        <w:spacing w:after="60"/>
      </w:pPr>
      <w:r>
        <w:t>A cross-study synthesis of why NAM has not yet been detected by SERS, and a proposed next-generation sensor architecture using 4-mercaptophenylboronic acid (4-MPBA) surface chemistry.</w:t>
      </w:r>
    </w:p>
    <w:p>
      <w:pPr>
        <w:spacing w:after="80"/>
      </w:pPr>
      <w:r>
        <w:rPr>
          <w:b w:val="0"/>
          <w:i/>
        </w:rPr>
        <w:t>Sessions are referred to descriptively rather than by calendar date throughout this report.</w:t>
      </w:r>
    </w:p>
    <w:p>
      <w:r>
        <w:br w:type="page"/>
      </w:r>
    </w:p>
    <w:p>
      <w:pPr>
        <w:pStyle w:val="Heading1"/>
      </w:pPr>
      <w:r>
        <w:t>Part I — Reference Raman Spectrum and DFT Vibrational Assignment of Isolated NAM</w:t>
      </w:r>
    </w:p>
    <w:p>
      <w:pPr>
        <w:spacing w:after="80"/>
      </w:pPr>
      <w:r>
        <w:rPr>
          <w:b w:val="0"/>
          <w:i w:val="0"/>
        </w:rPr>
        <w:t>Before any SERS measurement can be interpreted, the intrinsic Raman signature of the target molecule must be known independently of the sensing substrate. This part reports a dedicated study of NAM powder alone (on plain glass, no metal enhancement), combined with quantum-chemical calculation, to establish such a reference.</w:t>
      </w:r>
    </w:p>
    <w:p>
      <w:pPr>
        <w:pStyle w:val="Heading2"/>
      </w:pPr>
      <w:r>
        <w:t>I.1  Sample and instrument</w:t>
      </w:r>
    </w:p>
    <w:tbl>
      <w:tblPr>
        <w:tblStyle w:val="TableGrid"/>
        <w:tblW w:type="auto" w:w="0"/>
        <w:jc w:val="center"/>
        <w:tblLayout w:type="autofit"/>
        <w:tblLook w:firstColumn="1" w:firstRow="1" w:lastColumn="0" w:lastRow="0" w:noHBand="0" w:noVBand="1" w:val="04A0"/>
      </w:tblPr>
      <w:tblGrid>
        <w:gridCol w:w="4946"/>
        <w:gridCol w:w="4946"/>
      </w:tblGrid>
      <w:tr>
        <w:tc>
          <w:tcPr>
            <w:tcW w:type="dxa" w:w="2736"/>
            <w:shd w:val="clear" w:fill="1B3A6B"/>
          </w:tcPr>
          <w:p>
            <w:r/>
            <w:r>
              <w:rPr>
                <w:b/>
                <w:color w:val="FFFFFF"/>
                <w:sz w:val="18"/>
              </w:rPr>
              <w:t>Item</w:t>
            </w:r>
          </w:p>
        </w:tc>
        <w:tc>
          <w:tcPr>
            <w:tcW w:type="dxa" w:w="7056"/>
            <w:shd w:val="clear" w:fill="1B3A6B"/>
          </w:tcPr>
          <w:p>
            <w:r/>
            <w:r>
              <w:rPr>
                <w:b/>
                <w:color w:val="FFFFFF"/>
                <w:sz w:val="18"/>
              </w:rPr>
              <w:t>Detail</w:t>
            </w:r>
          </w:p>
        </w:tc>
      </w:tr>
      <w:tr>
        <w:tc>
          <w:tcPr>
            <w:tcW w:type="dxa" w:w="2736"/>
          </w:tcPr>
          <w:p>
            <w:r/>
            <w:r>
              <w:rPr>
                <w:sz w:val="16"/>
              </w:rPr>
              <w:t>Compound</w:t>
            </w:r>
          </w:p>
        </w:tc>
        <w:tc>
          <w:tcPr>
            <w:tcW w:type="dxa" w:w="7056"/>
          </w:tcPr>
          <w:p>
            <w:r/>
            <w:r>
              <w:rPr>
                <w:sz w:val="16"/>
              </w:rPr>
              <w:t>N-acetylmuramic acid (NAM, MurNAc, NAMA), C₁₁H₁₉NO₈</w:t>
            </w:r>
          </w:p>
        </w:tc>
      </w:tr>
      <w:tr>
        <w:tc>
          <w:tcPr>
            <w:tcW w:type="dxa" w:w="2736"/>
            <w:shd w:val="clear" w:fill="E7ECF4"/>
          </w:tcPr>
          <w:p>
            <w:r/>
            <w:r>
              <w:rPr>
                <w:sz w:val="16"/>
              </w:rPr>
              <w:t>Supplier / catalogue</w:t>
            </w:r>
          </w:p>
        </w:tc>
        <w:tc>
          <w:tcPr>
            <w:tcW w:type="dxa" w:w="7056"/>
            <w:shd w:val="clear" w:fill="E7ECF4"/>
          </w:tcPr>
          <w:p>
            <w:r/>
            <w:r>
              <w:rPr>
                <w:sz w:val="16"/>
              </w:rPr>
              <w:t>Sigma-Aldrich (Merck), A3007-100MG, CAS 10597-89-4, lot BCCK5768</w:t>
            </w:r>
          </w:p>
        </w:tc>
      </w:tr>
      <w:tr>
        <w:tc>
          <w:tcPr>
            <w:tcW w:type="dxa" w:w="2736"/>
          </w:tcPr>
          <w:p>
            <w:r/>
            <w:r>
              <w:rPr>
                <w:sz w:val="16"/>
              </w:rPr>
              <w:t>Molecular weight</w:t>
            </w:r>
          </w:p>
        </w:tc>
        <w:tc>
          <w:tcPr>
            <w:tcW w:type="dxa" w:w="7056"/>
          </w:tcPr>
          <w:p>
            <w:r/>
            <w:r>
              <w:rPr>
                <w:sz w:val="16"/>
              </w:rPr>
              <w:t>293.27 g/mol (anhydrous)</w:t>
            </w:r>
          </w:p>
        </w:tc>
      </w:tr>
      <w:tr>
        <w:tc>
          <w:tcPr>
            <w:tcW w:type="dxa" w:w="2736"/>
            <w:shd w:val="clear" w:fill="E7ECF4"/>
          </w:tcPr>
          <w:p>
            <w:r/>
            <w:r>
              <w:rPr>
                <w:sz w:val="16"/>
              </w:rPr>
              <w:t>Purity</w:t>
            </w:r>
          </w:p>
        </w:tc>
        <w:tc>
          <w:tcPr>
            <w:tcW w:type="dxa" w:w="7056"/>
            <w:shd w:val="clear" w:fill="E7ECF4"/>
          </w:tcPr>
          <w:p>
            <w:r/>
            <w:r>
              <w:rPr>
                <w:sz w:val="16"/>
              </w:rPr>
              <w:t>≥98% (TLC); ≤1 mol/mol methanol stated impurity</w:t>
            </w:r>
          </w:p>
        </w:tc>
      </w:tr>
      <w:tr>
        <w:tc>
          <w:tcPr>
            <w:tcW w:type="dxa" w:w="2736"/>
          </w:tcPr>
          <w:p>
            <w:r/>
            <w:r>
              <w:rPr>
                <w:sz w:val="16"/>
              </w:rPr>
              <w:t>Form / preparation</w:t>
            </w:r>
          </w:p>
        </w:tc>
        <w:tc>
          <w:tcPr>
            <w:tcW w:type="dxa" w:w="7056"/>
          </w:tcPr>
          <w:p>
            <w:r/>
            <w:r>
              <w:rPr>
                <w:sz w:val="16"/>
              </w:rPr>
              <w:t>White powder, placed directly on a clean glass microscope slide, used as received</w:t>
            </w:r>
          </w:p>
        </w:tc>
      </w:tr>
      <w:tr>
        <w:tc>
          <w:tcPr>
            <w:tcW w:type="dxa" w:w="2736"/>
            <w:shd w:val="clear" w:fill="E7ECF4"/>
          </w:tcPr>
          <w:p>
            <w:r/>
            <w:r>
              <w:rPr>
                <w:sz w:val="16"/>
              </w:rPr>
              <w:t>Stereochemistry</w:t>
            </w:r>
          </w:p>
        </w:tc>
        <w:tc>
          <w:tcPr>
            <w:tcW w:type="dxa" w:w="7056"/>
            <w:shd w:val="clear" w:fill="E7ECF4"/>
          </w:tcPr>
          <w:p>
            <w:r/>
            <w:r>
              <w:rPr>
                <w:sz w:val="16"/>
              </w:rPr>
              <w:t>α/β anomeric mixture (normal for a reducing sugar); DFT models the β anomer only</w:t>
            </w:r>
          </w:p>
        </w:tc>
      </w:tr>
      <w:tr>
        <w:tc>
          <w:tcPr>
            <w:tcW w:type="dxa" w:w="2736"/>
          </w:tcPr>
          <w:p>
            <w:r/>
            <w:r>
              <w:rPr>
                <w:sz w:val="16"/>
              </w:rPr>
              <w:t>Instrument</w:t>
            </w:r>
          </w:p>
        </w:tc>
        <w:tc>
          <w:tcPr>
            <w:tcW w:type="dxa" w:w="7056"/>
          </w:tcPr>
          <w:p>
            <w:r/>
            <w:r>
              <w:rPr>
                <w:sz w:val="16"/>
              </w:rPr>
              <w:t>B&amp;W Tek i-Raman Plus, BWS465-785H spectrometer, BTC665N-785H-SYS probe, BAC102-785E Raman microscope, 20× objective</w:t>
            </w:r>
          </w:p>
        </w:tc>
      </w:tr>
      <w:tr>
        <w:tc>
          <w:tcPr>
            <w:tcW w:type="dxa" w:w="2736"/>
            <w:shd w:val="clear" w:fill="E7ECF4"/>
          </w:tcPr>
          <w:p>
            <w:r/>
            <w:r>
              <w:rPr>
                <w:sz w:val="16"/>
              </w:rPr>
              <w:t>Laser</w:t>
            </w:r>
          </w:p>
        </w:tc>
        <w:tc>
          <w:tcPr>
            <w:tcW w:type="dxa" w:w="7056"/>
            <w:shd w:val="clear" w:fill="E7ECF4"/>
          </w:tcPr>
          <w:p>
            <w:r/>
            <w:r>
              <w:rPr>
                <w:sz w:val="16"/>
              </w:rPr>
              <w:t>785 nm (784.92 nm reported), Class 3B, 0–100% power in 1% steps; ≈340 mW nominal exiting the fibre probe at 100% (power at sample unmeasured)</w:t>
            </w:r>
          </w:p>
        </w:tc>
      </w:tr>
      <w:tr>
        <w:tc>
          <w:tcPr>
            <w:tcW w:type="dxa" w:w="2736"/>
          </w:tcPr>
          <w:p>
            <w:r/>
            <w:r>
              <w:rPr>
                <w:sz w:val="16"/>
              </w:rPr>
              <w:t>Detector</w:t>
            </w:r>
          </w:p>
        </w:tc>
        <w:tc>
          <w:tcPr>
            <w:tcW w:type="dxa" w:w="7056"/>
          </w:tcPr>
          <w:p>
            <w:r/>
            <w:r>
              <w:rPr>
                <w:sz w:val="16"/>
              </w:rPr>
              <w:t>2048-pixel TE-cooled CCD (−2 °C); spectral range −46 to 2842 cm⁻¹; resolution &lt; 3.5 cm⁻¹</w:t>
            </w:r>
          </w:p>
        </w:tc>
      </w:tr>
    </w:tbl>
    <w:p>
      <w:pPr>
        <w:spacing w:after="40"/>
      </w:pPr>
    </w:p>
    <w:p>
      <w:pPr>
        <w:pStyle w:val="Heading2"/>
      </w:pPr>
      <w:r>
        <w:t>I.2  Acquisition and processing methodology</w:t>
      </w:r>
    </w:p>
    <w:p>
      <w:pPr>
        <w:spacing w:after="60"/>
      </w:pPr>
      <w:r>
        <w:rPr>
          <w:b w:val="0"/>
          <w:i w:val="0"/>
        </w:rPr>
        <w:t>227 spectra were acquired in total, organised into five sets: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592"/>
            <w:shd w:val="clear" w:fill="1B3A6B"/>
          </w:tcPr>
          <w:p>
            <w:r/>
            <w:r>
              <w:rPr>
                <w:b/>
                <w:color w:val="FFFFFF"/>
                <w:sz w:val="18"/>
              </w:rPr>
              <w:t>Set</w:t>
            </w:r>
          </w:p>
        </w:tc>
        <w:tc>
          <w:tcPr>
            <w:tcW w:type="dxa" w:w="864"/>
            <w:shd w:val="clear" w:fill="1B3A6B"/>
          </w:tcPr>
          <w:p>
            <w:r/>
            <w:r>
              <w:rPr>
                <w:b/>
                <w:color w:val="FFFFFF"/>
                <w:sz w:val="18"/>
              </w:rPr>
              <w:t>n</w:t>
            </w:r>
          </w:p>
        </w:tc>
        <w:tc>
          <w:tcPr>
            <w:tcW w:type="dxa" w:w="6336"/>
            <w:shd w:val="clear" w:fill="1B3A6B"/>
          </w:tcPr>
          <w:p>
            <w:r/>
            <w:r>
              <w:rPr>
                <w:b/>
                <w:color w:val="FFFFFF"/>
                <w:sz w:val="18"/>
              </w:rPr>
              <w:t>Purpose</w:t>
            </w:r>
          </w:p>
        </w:tc>
      </w:tr>
      <w:tr>
        <w:tc>
          <w:tcPr>
            <w:tcW w:type="dxa" w:w="2592"/>
          </w:tcPr>
          <w:p>
            <w:r/>
            <w:r>
              <w:rPr>
                <w:sz w:val="16"/>
              </w:rPr>
              <w:t>Optimisation grid</w:t>
            </w:r>
          </w:p>
        </w:tc>
        <w:tc>
          <w:tcPr>
            <w:tcW w:type="dxa" w:w="864"/>
          </w:tcPr>
          <w:p>
            <w:r/>
            <w:r>
              <w:rPr>
                <w:sz w:val="16"/>
              </w:rPr>
              <w:t>98</w:t>
            </w:r>
          </w:p>
        </w:tc>
        <w:tc>
          <w:tcPr>
            <w:tcW w:type="dxa" w:w="6336"/>
          </w:tcPr>
          <w:p>
            <w:r/>
            <w:r>
              <w:rPr>
                <w:sz w:val="16"/>
              </w:rPr>
              <w:t>5 integration times (5–25 s) × 16 laser powers (5–80%); one spectrum per condition</w:t>
            </w:r>
          </w:p>
        </w:tc>
      </w:tr>
      <w:tr>
        <w:tc>
          <w:tcPr>
            <w:tcW w:type="dxa" w:w="2592"/>
            <w:shd w:val="clear" w:fill="E7ECF4"/>
          </w:tcPr>
          <w:p>
            <w:r/>
            <w:r>
              <w:rPr>
                <w:sz w:val="16"/>
              </w:rPr>
              <w:t>Replicates (R1–R9)</w:t>
            </w:r>
          </w:p>
        </w:tc>
        <w:tc>
          <w:tcPr>
            <w:tcW w:type="dxa" w:w="864"/>
            <w:shd w:val="clear" w:fill="E7ECF4"/>
          </w:tcPr>
          <w:p>
            <w:r/>
            <w:r>
              <w:rPr>
                <w:sz w:val="16"/>
              </w:rPr>
              <w:t>104</w:t>
            </w:r>
          </w:p>
        </w:tc>
        <w:tc>
          <w:tcPr>
            <w:tcW w:type="dxa" w:w="6336"/>
            <w:shd w:val="clear" w:fill="E7ECF4"/>
          </w:tcPr>
          <w:p>
            <w:r/>
            <w:r>
              <w:rPr>
                <w:sz w:val="16"/>
              </w:rPr>
              <w:t>Nine fixed-condition replicate series, fresh spot per measurement; reference spectrum built from sets R2 + R4 (70% and 90% power, 10 s, 5 accumulations, n = 22)</w:t>
            </w:r>
          </w:p>
        </w:tc>
      </w:tr>
      <w:tr>
        <w:tc>
          <w:tcPr>
            <w:tcW w:type="dxa" w:w="2592"/>
          </w:tcPr>
          <w:p>
            <w:r/>
            <w:r>
              <w:rPr>
                <w:sz w:val="16"/>
              </w:rPr>
              <w:t>Photostability</w:t>
            </w:r>
          </w:p>
        </w:tc>
        <w:tc>
          <w:tcPr>
            <w:tcW w:type="dxa" w:w="864"/>
          </w:tcPr>
          <w:p>
            <w:r/>
            <w:r>
              <w:rPr>
                <w:sz w:val="16"/>
              </w:rPr>
              <w:t>10</w:t>
            </w:r>
          </w:p>
        </w:tc>
        <w:tc>
          <w:tcPr>
            <w:tcW w:type="dxa" w:w="6336"/>
          </w:tcPr>
          <w:p>
            <w:r/>
            <w:r>
              <w:rPr>
                <w:sz w:val="16"/>
              </w:rPr>
              <w:t>Ten consecutive scans at 90% / 30 s, same spot, no stage movement</w:t>
            </w:r>
          </w:p>
        </w:tc>
      </w:tr>
      <w:tr>
        <w:tc>
          <w:tcPr>
            <w:tcW w:type="dxa" w:w="2592"/>
            <w:shd w:val="clear" w:fill="E7ECF4"/>
          </w:tcPr>
          <w:p>
            <w:r/>
            <w:r>
              <w:rPr>
                <w:sz w:val="16"/>
              </w:rPr>
              <w:t>Glass blanks</w:t>
            </w:r>
          </w:p>
        </w:tc>
        <w:tc>
          <w:tcPr>
            <w:tcW w:type="dxa" w:w="864"/>
            <w:shd w:val="clear" w:fill="E7ECF4"/>
          </w:tcPr>
          <w:p>
            <w:r/>
            <w:r>
              <w:rPr>
                <w:sz w:val="16"/>
              </w:rPr>
              <w:t>5</w:t>
            </w:r>
          </w:p>
        </w:tc>
        <w:tc>
          <w:tcPr>
            <w:tcW w:type="dxa" w:w="6336"/>
            <w:shd w:val="clear" w:fill="E7ECF4"/>
          </w:tcPr>
          <w:p>
            <w:r/>
            <w:r>
              <w:rPr>
                <w:sz w:val="16"/>
              </w:rPr>
              <w:t>Empty microscope slide, 5% / 5 s / 1 accumulation</w:t>
            </w:r>
          </w:p>
        </w:tc>
      </w:tr>
      <w:tr>
        <w:tc>
          <w:tcPr>
            <w:tcW w:type="dxa" w:w="2592"/>
          </w:tcPr>
          <w:p>
            <w:r/>
            <w:r>
              <w:rPr>
                <w:sz w:val="16"/>
              </w:rPr>
              <w:t>Excluded — laser damage</w:t>
            </w:r>
          </w:p>
        </w:tc>
        <w:tc>
          <w:tcPr>
            <w:tcW w:type="dxa" w:w="864"/>
          </w:tcPr>
          <w:p>
            <w:r/>
            <w:r>
              <w:rPr>
                <w:sz w:val="16"/>
              </w:rPr>
              <w:t>10</w:t>
            </w:r>
          </w:p>
        </w:tc>
        <w:tc>
          <w:tcPr>
            <w:tcW w:type="dxa" w:w="6336"/>
          </w:tcPr>
          <w:p>
            <w:r/>
            <w:r>
              <w:rPr>
                <w:sz w:val="16"/>
              </w:rPr>
              <w:t>90% / 60 s; sample destroyed, retained only to establish the damage threshold</w:t>
            </w:r>
          </w:p>
        </w:tc>
      </w:tr>
    </w:tbl>
    <w:p>
      <w:pPr>
        <w:spacing w:after="40"/>
      </w:pPr>
    </w:p>
    <w:p>
      <w:pPr>
        <w:spacing w:after="80"/>
      </w:pPr>
      <w:r>
        <w:rPr>
          <w:b w:val="0"/>
          <w:i w:val="0"/>
        </w:rPr>
        <w:t>Every spectrum was processed identically: interpolation to a uniform 1 cm⁻¹ grid over 400–1800 cm⁻¹, asymmetric least-squares baseline correction, Savitzky–Golay smoothing, and min–max normalisation. Peak detection used two independent noise criteria (local-region SNR and prominence-based SNR, threshold SNR ≥ 3), with weak bands passing only one criterion cross-validated against an independent long-integration dataset (30 s and 60 s, SNR up to 796) before being promoted to "high confidence". Calculated modes were matched to experimental bands within ±18 cm⁻¹, preferring the match with highest computed Raman activity.</w:t>
      </w:r>
    </w:p>
    <w:p>
      <w:pPr>
        <w:pStyle w:val="Heading2"/>
      </w:pPr>
      <w:r>
        <w:t>I.3  DFT calculation</w:t>
      </w:r>
    </w:p>
    <w:tbl>
      <w:tblPr>
        <w:tblStyle w:val="TableGrid"/>
        <w:tblW w:type="auto" w:w="0"/>
        <w:jc w:val="center"/>
        <w:tblLayout w:type="autofit"/>
        <w:tblLook w:firstColumn="1" w:firstRow="1" w:lastColumn="0" w:lastRow="0" w:noHBand="0" w:noVBand="1" w:val="04A0"/>
      </w:tblPr>
      <w:tblGrid>
        <w:gridCol w:w="4946"/>
        <w:gridCol w:w="4946"/>
      </w:tblGrid>
      <w:tr>
        <w:tc>
          <w:tcPr>
            <w:tcW w:type="dxa" w:w="3168"/>
            <w:shd w:val="clear" w:fill="1B3A6B"/>
          </w:tcPr>
          <w:p>
            <w:r/>
            <w:r>
              <w:rPr>
                <w:b/>
                <w:color w:val="FFFFFF"/>
                <w:sz w:val="18"/>
              </w:rPr>
              <w:t>Parameter</w:t>
            </w:r>
          </w:p>
        </w:tc>
        <w:tc>
          <w:tcPr>
            <w:tcW w:type="dxa" w:w="6624"/>
            <w:shd w:val="clear" w:fill="1B3A6B"/>
          </w:tcPr>
          <w:p>
            <w:r/>
            <w:r>
              <w:rPr>
                <w:b/>
                <w:color w:val="FFFFFF"/>
                <w:sz w:val="18"/>
              </w:rPr>
              <w:t>Value</w:t>
            </w:r>
          </w:p>
        </w:tc>
      </w:tr>
      <w:tr>
        <w:tc>
          <w:tcPr>
            <w:tcW w:type="dxa" w:w="3168"/>
          </w:tcPr>
          <w:p>
            <w:r/>
            <w:r>
              <w:rPr>
                <w:sz w:val="16"/>
              </w:rPr>
              <w:t>Software</w:t>
            </w:r>
          </w:p>
        </w:tc>
        <w:tc>
          <w:tcPr>
            <w:tcW w:type="dxa" w:w="6624"/>
          </w:tcPr>
          <w:p>
            <w:r/>
            <w:r>
              <w:rPr>
                <w:sz w:val="16"/>
              </w:rPr>
              <w:t>Gaussian 16, Revision C.01</w:t>
            </w:r>
          </w:p>
        </w:tc>
      </w:tr>
      <w:tr>
        <w:tc>
          <w:tcPr>
            <w:tcW w:type="dxa" w:w="3168"/>
            <w:shd w:val="clear" w:fill="E7ECF4"/>
          </w:tcPr>
          <w:p>
            <w:r/>
            <w:r>
              <w:rPr>
                <w:sz w:val="16"/>
              </w:rPr>
              <w:t>Method / basis</w:t>
            </w:r>
          </w:p>
        </w:tc>
        <w:tc>
          <w:tcPr>
            <w:tcW w:type="dxa" w:w="6624"/>
            <w:shd w:val="clear" w:fill="E7ECF4"/>
          </w:tcPr>
          <w:p>
            <w:r/>
            <w:r>
              <w:rPr>
                <w:sz w:val="16"/>
              </w:rPr>
              <w:t>B3LYP-D3BJ / 6-311++G(d,p)</w:t>
            </w:r>
          </w:p>
        </w:tc>
      </w:tr>
      <w:tr>
        <w:tc>
          <w:tcPr>
            <w:tcW w:type="dxa" w:w="3168"/>
          </w:tcPr>
          <w:p>
            <w:r/>
            <w:r>
              <w:rPr>
                <w:sz w:val="16"/>
              </w:rPr>
              <w:t>Phase</w:t>
            </w:r>
          </w:p>
        </w:tc>
        <w:tc>
          <w:tcPr>
            <w:tcW w:type="dxa" w:w="6624"/>
          </w:tcPr>
          <w:p>
            <w:r/>
            <w:r>
              <w:rPr>
                <w:sz w:val="16"/>
              </w:rPr>
              <w:t>Gas phase, isolated molecule, no solvation model</w:t>
            </w:r>
          </w:p>
        </w:tc>
      </w:tr>
      <w:tr>
        <w:tc>
          <w:tcPr>
            <w:tcW w:type="dxa" w:w="3168"/>
            <w:shd w:val="clear" w:fill="E7ECF4"/>
          </w:tcPr>
          <w:p>
            <w:r/>
            <w:r>
              <w:rPr>
                <w:sz w:val="16"/>
              </w:rPr>
              <w:t>Starting geometry</w:t>
            </w:r>
          </w:p>
        </w:tc>
        <w:tc>
          <w:tcPr>
            <w:tcW w:type="dxa" w:w="6624"/>
            <w:shd w:val="clear" w:fill="E7ECF4"/>
          </w:tcPr>
          <w:p>
            <w:r/>
            <w:r>
              <w:rPr>
                <w:sz w:val="16"/>
              </w:rPr>
              <w:t>β anomer, PubChem CID 5462244</w:t>
            </w:r>
          </w:p>
        </w:tc>
      </w:tr>
      <w:tr>
        <w:tc>
          <w:tcPr>
            <w:tcW w:type="dxa" w:w="3168"/>
          </w:tcPr>
          <w:p>
            <w:r/>
            <w:r>
              <w:rPr>
                <w:sz w:val="16"/>
              </w:rPr>
              <w:t>Atoms / normal modes</w:t>
            </w:r>
          </w:p>
        </w:tc>
        <w:tc>
          <w:tcPr>
            <w:tcW w:type="dxa" w:w="6624"/>
          </w:tcPr>
          <w:p>
            <w:r/>
            <w:r>
              <w:rPr>
                <w:sz w:val="16"/>
              </w:rPr>
              <w:t>39 atoms (C₁₁H₁₉NO₈); 111 normal modes</w:t>
            </w:r>
          </w:p>
        </w:tc>
      </w:tr>
      <w:tr>
        <w:tc>
          <w:tcPr>
            <w:tcW w:type="dxa" w:w="3168"/>
            <w:shd w:val="clear" w:fill="E7ECF4"/>
          </w:tcPr>
          <w:p>
            <w:r/>
            <w:r>
              <w:rPr>
                <w:sz w:val="16"/>
              </w:rPr>
              <w:t>Imaginary frequencies</w:t>
            </w:r>
          </w:p>
        </w:tc>
        <w:tc>
          <w:tcPr>
            <w:tcW w:type="dxa" w:w="6624"/>
            <w:shd w:val="clear" w:fill="E7ECF4"/>
          </w:tcPr>
          <w:p>
            <w:r/>
            <w:r>
              <w:rPr>
                <w:sz w:val="16"/>
              </w:rPr>
              <w:t>0 — confirmed true minimum</w:t>
            </w:r>
          </w:p>
        </w:tc>
      </w:tr>
      <w:tr>
        <w:tc>
          <w:tcPr>
            <w:tcW w:type="dxa" w:w="3168"/>
          </w:tcPr>
          <w:p>
            <w:r/>
            <w:r>
              <w:rPr>
                <w:sz w:val="16"/>
              </w:rPr>
              <w:t>Frequency scaling</w:t>
            </w:r>
          </w:p>
        </w:tc>
        <w:tc>
          <w:tcPr>
            <w:tcW w:type="dxa" w:w="6624"/>
          </w:tcPr>
          <w:p>
            <w:r/>
            <w:r>
              <w:rPr>
                <w:sz w:val="16"/>
              </w:rPr>
              <w:t>0.980 below 1800 cm⁻¹, 0.967 above</w:t>
            </w:r>
          </w:p>
        </w:tc>
      </w:tr>
      <w:tr>
        <w:tc>
          <w:tcPr>
            <w:tcW w:type="dxa" w:w="3168"/>
            <w:shd w:val="clear" w:fill="E7ECF4"/>
          </w:tcPr>
          <w:p>
            <w:r/>
            <w:r>
              <w:rPr>
                <w:sz w:val="16"/>
              </w:rPr>
              <w:t>Runtime</w:t>
            </w:r>
          </w:p>
        </w:tc>
        <w:tc>
          <w:tcPr>
            <w:tcW w:type="dxa" w:w="6624"/>
            <w:shd w:val="clear" w:fill="E7ECF4"/>
          </w:tcPr>
          <w:p>
            <w:r/>
            <w:r>
              <w:rPr>
                <w:sz w:val="16"/>
              </w:rPr>
              <w:t>≈4 h 41 min (3 h 42 min optimisation + 58 min frequencies), 16 processors / 48 GB</w:t>
            </w:r>
          </w:p>
        </w:tc>
      </w:tr>
    </w:tbl>
    <w:p>
      <w:pPr>
        <w:spacing w:after="40"/>
      </w:pPr>
    </w:p>
    <w:p>
      <w:pPr>
        <w:pStyle w:val="Heading2"/>
      </w:pPr>
      <w:r>
        <w:t>I.4  Reference spectrum and peak list</w:t>
      </w:r>
    </w:p>
    <w:p>
      <w:pPr>
        <w:spacing w:after="60"/>
      </w:pPr>
      <w:r>
        <w:rPr>
          <w:b w:val="0"/>
          <w:i w:val="0"/>
        </w:rPr>
        <w:t>The reference spectrum (mean ± SD of 22 independent replicate measurements) contains 41 reproducible bands across the 400–1800 cm⁻¹ fingerprint region: 32 classified as high confidence and 9 as tentative. The strongest band is at 930 cm⁻¹ (ring breathing / ν(C–C–O), relative intensity 1.00), followed by 872 cm⁻¹ (hydroxymethyl wagging, 0.92) and 956 cm⁻¹ (0.96).</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fig2_reference.png"/>
                    <pic:cNvPicPr/>
                  </pic:nvPicPr>
                  <pic:blipFill>
                    <a:blip r:embed="rId9"/>
                    <a:stretch>
                      <a:fillRect/>
                    </a:stretch>
                  </pic:blipFill>
                  <pic:spPr>
                    <a:xfrm>
                      <a:off x="0" y="0"/>
                      <a:ext cx="5486400" cy="2743200"/>
                    </a:xfrm>
                    <a:prstGeom prst="rect"/>
                  </pic:spPr>
                </pic:pic>
              </a:graphicData>
            </a:graphic>
          </wp:inline>
        </w:drawing>
      </w:r>
    </w:p>
    <w:p>
      <w:pPr>
        <w:spacing w:after="160"/>
        <w:ind w:left="360"/>
      </w:pPr>
      <w:r>
        <w:rPr>
          <w:i/>
          <w:color w:val="555555"/>
          <w:sz w:val="19"/>
        </w:rPr>
        <w:t>Figure I-1. Reference Raman spectrum of isolated NAM powder, mean ± SD from 22 independent measurements (sets R2 + R4).</w:t>
      </w:r>
    </w:p>
    <w:p>
      <w:pPr>
        <w:jc w:val="center"/>
      </w:pPr>
      <w:r>
        <w:drawing>
          <wp:inline xmlns:a="http://schemas.openxmlformats.org/drawingml/2006/main" xmlns:pic="http://schemas.openxmlformats.org/drawingml/2006/picture">
            <wp:extent cx="5486400" cy="2310063"/>
            <wp:docPr id="2" name="Picture 2"/>
            <wp:cNvGraphicFramePr>
              <a:graphicFrameLocks noChangeAspect="1"/>
            </wp:cNvGraphicFramePr>
            <a:graphic>
              <a:graphicData uri="http://schemas.openxmlformats.org/drawingml/2006/picture">
                <pic:pic>
                  <pic:nvPicPr>
                    <pic:cNvPr id="0" name="fig3_optimisation.png"/>
                    <pic:cNvPicPr/>
                  </pic:nvPicPr>
                  <pic:blipFill>
                    <a:blip r:embed="rId10"/>
                    <a:stretch>
                      <a:fillRect/>
                    </a:stretch>
                  </pic:blipFill>
                  <pic:spPr>
                    <a:xfrm>
                      <a:off x="0" y="0"/>
                      <a:ext cx="5486400" cy="2310063"/>
                    </a:xfrm>
                    <a:prstGeom prst="rect"/>
                  </pic:spPr>
                </pic:pic>
              </a:graphicData>
            </a:graphic>
          </wp:inline>
        </w:drawing>
      </w:r>
    </w:p>
    <w:p>
      <w:pPr>
        <w:spacing w:after="160"/>
        <w:ind w:left="360"/>
      </w:pPr>
      <w:r>
        <w:rPr>
          <w:i/>
          <w:color w:val="555555"/>
          <w:sz w:val="19"/>
        </w:rPr>
        <w:t>Figure I-2. Acquisition-parameter optimisation survey — SNR across the 5 integration time × 16 power-level grid.</w:t>
      </w:r>
    </w:p>
    <w:p>
      <w:r>
        <w:br w:type="page"/>
      </w:r>
    </w:p>
    <w:p>
      <w:pPr>
        <w:pStyle w:val="Heading2"/>
      </w:pPr>
      <w:r>
        <w:t>I.5  Experimental band list and DFT assignment</w:t>
      </w:r>
    </w:p>
    <w:p>
      <w:pPr>
        <w:spacing w:after="60"/>
      </w:pPr>
      <w:r>
        <w:rPr>
          <w:b w:val="0"/>
          <w:i w:val="0"/>
        </w:rPr>
        <w:t>High-confidence bands, with calculated (scaled) frequency, deviation, dominant normal-mode character, and relative intensity in the reference spectrum:</w:t>
      </w:r>
    </w:p>
    <w:tbl>
      <w:tblPr>
        <w:tblStyle w:val="TableGrid"/>
        <w:tblW w:type="auto" w:w="0"/>
        <w:jc w:val="center"/>
        <w:tblLayout w:type="autofit"/>
        <w:tblLook w:firstColumn="1" w:firstRow="1" w:lastColumn="0" w:lastRow="0" w:noHBand="0" w:noVBand="1" w:val="04A0"/>
      </w:tblPr>
      <w:tblGrid>
        <w:gridCol w:w="1979"/>
        <w:gridCol w:w="1979"/>
        <w:gridCol w:w="1979"/>
        <w:gridCol w:w="1979"/>
        <w:gridCol w:w="1979"/>
      </w:tblGrid>
      <w:tr>
        <w:tc>
          <w:tcPr>
            <w:tcW w:type="dxa" w:w="1584"/>
            <w:shd w:val="clear" w:fill="1B3A6B"/>
          </w:tcPr>
          <w:p>
            <w:r/>
            <w:r>
              <w:rPr>
                <w:b/>
                <w:color w:val="FFFFFF"/>
                <w:sz w:val="18"/>
              </w:rPr>
              <w:t>Exp (cm⁻¹)</w:t>
            </w:r>
          </w:p>
        </w:tc>
        <w:tc>
          <w:tcPr>
            <w:tcW w:type="dxa" w:w="1584"/>
            <w:shd w:val="clear" w:fill="1B3A6B"/>
          </w:tcPr>
          <w:p>
            <w:r/>
            <w:r>
              <w:rPr>
                <w:b/>
                <w:color w:val="FFFFFF"/>
                <w:sz w:val="18"/>
              </w:rPr>
              <w:t>Calc (cm⁻¹)</w:t>
            </w:r>
          </w:p>
        </w:tc>
        <w:tc>
          <w:tcPr>
            <w:tcW w:type="dxa" w:w="1296"/>
            <w:shd w:val="clear" w:fill="1B3A6B"/>
          </w:tcPr>
          <w:p>
            <w:r/>
            <w:r>
              <w:rPr>
                <w:b/>
                <w:color w:val="FFFFFF"/>
                <w:sz w:val="18"/>
              </w:rPr>
              <w:t>Δ (cm⁻¹)</w:t>
            </w:r>
          </w:p>
        </w:tc>
        <w:tc>
          <w:tcPr>
            <w:tcW w:type="dxa" w:w="4320"/>
            <w:shd w:val="clear" w:fill="1B3A6B"/>
          </w:tcPr>
          <w:p>
            <w:r/>
            <w:r>
              <w:rPr>
                <w:b/>
                <w:color w:val="FFFFFF"/>
                <w:sz w:val="18"/>
              </w:rPr>
              <w:t>Assignment</w:t>
            </w:r>
          </w:p>
        </w:tc>
        <w:tc>
          <w:tcPr>
            <w:tcW w:type="dxa" w:w="1440"/>
            <w:shd w:val="clear" w:fill="1B3A6B"/>
          </w:tcPr>
          <w:p>
            <w:r/>
            <w:r>
              <w:rPr>
                <w:b/>
                <w:color w:val="FFFFFF"/>
                <w:sz w:val="18"/>
              </w:rPr>
              <w:t>Rel. int.</w:t>
            </w:r>
          </w:p>
        </w:tc>
      </w:tr>
      <w:tr>
        <w:tc>
          <w:tcPr>
            <w:tcW w:type="dxa" w:w="1584"/>
          </w:tcPr>
          <w:p>
            <w:r/>
            <w:r>
              <w:rPr>
                <w:sz w:val="14"/>
              </w:rPr>
              <w:t>458</w:t>
            </w:r>
          </w:p>
        </w:tc>
        <w:tc>
          <w:tcPr>
            <w:tcW w:type="dxa" w:w="1584"/>
          </w:tcPr>
          <w:p>
            <w:r/>
            <w:r>
              <w:rPr>
                <w:sz w:val="14"/>
              </w:rPr>
              <w:t>460.5</w:t>
            </w:r>
          </w:p>
        </w:tc>
        <w:tc>
          <w:tcPr>
            <w:tcW w:type="dxa" w:w="1296"/>
          </w:tcPr>
          <w:p>
            <w:r/>
            <w:r>
              <w:rPr>
                <w:sz w:val="14"/>
              </w:rPr>
              <w:t>−2.5</w:t>
            </w:r>
          </w:p>
        </w:tc>
        <w:tc>
          <w:tcPr>
            <w:tcW w:type="dxa" w:w="4320"/>
          </w:tcPr>
          <w:p>
            <w:r/>
            <w:r>
              <w:rPr>
                <w:sz w:val="14"/>
              </w:rPr>
              <w:t>Skeletal bending / ring torsion</w:t>
            </w:r>
          </w:p>
        </w:tc>
        <w:tc>
          <w:tcPr>
            <w:tcW w:type="dxa" w:w="1440"/>
          </w:tcPr>
          <w:p>
            <w:r/>
            <w:r>
              <w:rPr>
                <w:sz w:val="14"/>
              </w:rPr>
              <w:t>0.63</w:t>
            </w:r>
          </w:p>
        </w:tc>
      </w:tr>
      <w:tr>
        <w:tc>
          <w:tcPr>
            <w:tcW w:type="dxa" w:w="1584"/>
            <w:shd w:val="clear" w:fill="E7ECF4"/>
          </w:tcPr>
          <w:p>
            <w:r/>
            <w:r>
              <w:rPr>
                <w:sz w:val="14"/>
              </w:rPr>
              <w:t>488</w:t>
            </w:r>
          </w:p>
        </w:tc>
        <w:tc>
          <w:tcPr>
            <w:tcW w:type="dxa" w:w="1584"/>
            <w:shd w:val="clear" w:fill="E7ECF4"/>
          </w:tcPr>
          <w:p>
            <w:r/>
            <w:r>
              <w:rPr>
                <w:sz w:val="14"/>
              </w:rPr>
              <w:t>494.2</w:t>
            </w:r>
          </w:p>
        </w:tc>
        <w:tc>
          <w:tcPr>
            <w:tcW w:type="dxa" w:w="1296"/>
            <w:shd w:val="clear" w:fill="E7ECF4"/>
          </w:tcPr>
          <w:p>
            <w:r/>
            <w:r>
              <w:rPr>
                <w:sz w:val="14"/>
              </w:rPr>
              <w:t>−6.2</w:t>
            </w:r>
          </w:p>
        </w:tc>
        <w:tc>
          <w:tcPr>
            <w:tcW w:type="dxa" w:w="4320"/>
            <w:shd w:val="clear" w:fill="E7ECF4"/>
          </w:tcPr>
          <w:p>
            <w:r/>
            <w:r>
              <w:rPr>
                <w:sz w:val="14"/>
              </w:rPr>
              <w:t>Skeletal bending / ring torsion</w:t>
            </w:r>
          </w:p>
        </w:tc>
        <w:tc>
          <w:tcPr>
            <w:tcW w:type="dxa" w:w="1440"/>
            <w:shd w:val="clear" w:fill="E7ECF4"/>
          </w:tcPr>
          <w:p>
            <w:r/>
            <w:r>
              <w:rPr>
                <w:sz w:val="14"/>
              </w:rPr>
              <w:t>0.46</w:t>
            </w:r>
          </w:p>
        </w:tc>
      </w:tr>
      <w:tr>
        <w:tc>
          <w:tcPr>
            <w:tcW w:type="dxa" w:w="1584"/>
          </w:tcPr>
          <w:p>
            <w:r/>
            <w:r>
              <w:rPr>
                <w:sz w:val="14"/>
              </w:rPr>
              <w:t>523</w:t>
            </w:r>
          </w:p>
        </w:tc>
        <w:tc>
          <w:tcPr>
            <w:tcW w:type="dxa" w:w="1584"/>
          </w:tcPr>
          <w:p>
            <w:r/>
            <w:r>
              <w:rPr>
                <w:sz w:val="14"/>
              </w:rPr>
              <w:t>513.4</w:t>
            </w:r>
          </w:p>
        </w:tc>
        <w:tc>
          <w:tcPr>
            <w:tcW w:type="dxa" w:w="1296"/>
          </w:tcPr>
          <w:p>
            <w:r/>
            <w:r>
              <w:rPr>
                <w:sz w:val="14"/>
              </w:rPr>
              <w:t>+9.6</w:t>
            </w:r>
          </w:p>
        </w:tc>
        <w:tc>
          <w:tcPr>
            <w:tcW w:type="dxa" w:w="4320"/>
          </w:tcPr>
          <w:p>
            <w:r/>
            <w:r>
              <w:rPr>
                <w:sz w:val="14"/>
              </w:rPr>
              <w:t>Skeletal bending / ring torsion</w:t>
            </w:r>
          </w:p>
        </w:tc>
        <w:tc>
          <w:tcPr>
            <w:tcW w:type="dxa" w:w="1440"/>
          </w:tcPr>
          <w:p>
            <w:r/>
            <w:r>
              <w:rPr>
                <w:sz w:val="14"/>
              </w:rPr>
              <w:t>0.27</w:t>
            </w:r>
          </w:p>
        </w:tc>
      </w:tr>
      <w:tr>
        <w:tc>
          <w:tcPr>
            <w:tcW w:type="dxa" w:w="1584"/>
            <w:shd w:val="clear" w:fill="E7ECF4"/>
          </w:tcPr>
          <w:p>
            <w:r/>
            <w:r>
              <w:rPr>
                <w:sz w:val="14"/>
              </w:rPr>
              <w:t>542</w:t>
            </w:r>
          </w:p>
        </w:tc>
        <w:tc>
          <w:tcPr>
            <w:tcW w:type="dxa" w:w="1584"/>
            <w:shd w:val="clear" w:fill="E7ECF4"/>
          </w:tcPr>
          <w:p>
            <w:r/>
            <w:r>
              <w:rPr>
                <w:sz w:val="14"/>
              </w:rPr>
              <w:t>555.6</w:t>
            </w:r>
          </w:p>
        </w:tc>
        <w:tc>
          <w:tcPr>
            <w:tcW w:type="dxa" w:w="1296"/>
            <w:shd w:val="clear" w:fill="E7ECF4"/>
          </w:tcPr>
          <w:p>
            <w:r/>
            <w:r>
              <w:rPr>
                <w:sz w:val="14"/>
              </w:rPr>
              <w:t>−13.6</w:t>
            </w:r>
          </w:p>
        </w:tc>
        <w:tc>
          <w:tcPr>
            <w:tcW w:type="dxa" w:w="4320"/>
            <w:shd w:val="clear" w:fill="E7ECF4"/>
          </w:tcPr>
          <w:p>
            <w:r/>
            <w:r>
              <w:rPr>
                <w:sz w:val="14"/>
              </w:rPr>
              <w:t>Skeletal bending / ring torsion</w:t>
            </w:r>
          </w:p>
        </w:tc>
        <w:tc>
          <w:tcPr>
            <w:tcW w:type="dxa" w:w="1440"/>
            <w:shd w:val="clear" w:fill="E7ECF4"/>
          </w:tcPr>
          <w:p>
            <w:r/>
            <w:r>
              <w:rPr>
                <w:sz w:val="14"/>
              </w:rPr>
              <w:t>0.80</w:t>
            </w:r>
          </w:p>
        </w:tc>
      </w:tr>
      <w:tr>
        <w:tc>
          <w:tcPr>
            <w:tcW w:type="dxa" w:w="1584"/>
          </w:tcPr>
          <w:p>
            <w:r/>
            <w:r>
              <w:rPr>
                <w:sz w:val="14"/>
              </w:rPr>
              <w:t>585</w:t>
            </w:r>
          </w:p>
        </w:tc>
        <w:tc>
          <w:tcPr>
            <w:tcW w:type="dxa" w:w="1584"/>
          </w:tcPr>
          <w:p>
            <w:r/>
            <w:r>
              <w:rPr>
                <w:sz w:val="14"/>
              </w:rPr>
              <w:t>570.0</w:t>
            </w:r>
          </w:p>
        </w:tc>
        <w:tc>
          <w:tcPr>
            <w:tcW w:type="dxa" w:w="1296"/>
          </w:tcPr>
          <w:p>
            <w:r/>
            <w:r>
              <w:rPr>
                <w:sz w:val="14"/>
              </w:rPr>
              <w:t>+15.0</w:t>
            </w:r>
          </w:p>
        </w:tc>
        <w:tc>
          <w:tcPr>
            <w:tcW w:type="dxa" w:w="4320"/>
          </w:tcPr>
          <w:p>
            <w:r/>
            <w:r>
              <w:rPr>
                <w:sz w:val="14"/>
              </w:rPr>
              <w:t>Skeletal bending / ring torsion</w:t>
            </w:r>
          </w:p>
        </w:tc>
        <w:tc>
          <w:tcPr>
            <w:tcW w:type="dxa" w:w="1440"/>
          </w:tcPr>
          <w:p>
            <w:r/>
            <w:r>
              <w:rPr>
                <w:sz w:val="14"/>
              </w:rPr>
              <w:t>0.34</w:t>
            </w:r>
          </w:p>
        </w:tc>
      </w:tr>
      <w:tr>
        <w:tc>
          <w:tcPr>
            <w:tcW w:type="dxa" w:w="1584"/>
            <w:shd w:val="clear" w:fill="E7ECF4"/>
          </w:tcPr>
          <w:p>
            <w:r/>
            <w:r>
              <w:rPr>
                <w:sz w:val="14"/>
              </w:rPr>
              <w:t>616</w:t>
            </w:r>
          </w:p>
        </w:tc>
        <w:tc>
          <w:tcPr>
            <w:tcW w:type="dxa" w:w="1584"/>
            <w:shd w:val="clear" w:fill="E7ECF4"/>
          </w:tcPr>
          <w:p>
            <w:r/>
            <w:r>
              <w:rPr>
                <w:sz w:val="14"/>
              </w:rPr>
              <w:t>626.7</w:t>
            </w:r>
          </w:p>
        </w:tc>
        <w:tc>
          <w:tcPr>
            <w:tcW w:type="dxa" w:w="1296"/>
            <w:shd w:val="clear" w:fill="E7ECF4"/>
          </w:tcPr>
          <w:p>
            <w:r/>
            <w:r>
              <w:rPr>
                <w:sz w:val="14"/>
              </w:rPr>
              <w:t>−10.7</w:t>
            </w:r>
          </w:p>
        </w:tc>
        <w:tc>
          <w:tcPr>
            <w:tcW w:type="dxa" w:w="4320"/>
            <w:shd w:val="clear" w:fill="E7ECF4"/>
          </w:tcPr>
          <w:p>
            <w:r/>
            <w:r>
              <w:rPr>
                <w:sz w:val="14"/>
              </w:rPr>
              <w:t>Skeletal deformation + δ(C–C–O)</w:t>
            </w:r>
          </w:p>
        </w:tc>
        <w:tc>
          <w:tcPr>
            <w:tcW w:type="dxa" w:w="1440"/>
            <w:shd w:val="clear" w:fill="E7ECF4"/>
          </w:tcPr>
          <w:p>
            <w:r/>
            <w:r>
              <w:rPr>
                <w:sz w:val="14"/>
              </w:rPr>
              <w:t>0.19</w:t>
            </w:r>
          </w:p>
        </w:tc>
      </w:tr>
      <w:tr>
        <w:tc>
          <w:tcPr>
            <w:tcW w:type="dxa" w:w="1584"/>
          </w:tcPr>
          <w:p>
            <w:r/>
            <w:r>
              <w:rPr>
                <w:sz w:val="14"/>
              </w:rPr>
              <w:t>646</w:t>
            </w:r>
          </w:p>
        </w:tc>
        <w:tc>
          <w:tcPr>
            <w:tcW w:type="dxa" w:w="1584"/>
          </w:tcPr>
          <w:p>
            <w:r/>
            <w:r>
              <w:rPr>
                <w:sz w:val="14"/>
              </w:rPr>
              <w:t>640.1</w:t>
            </w:r>
          </w:p>
        </w:tc>
        <w:tc>
          <w:tcPr>
            <w:tcW w:type="dxa" w:w="1296"/>
          </w:tcPr>
          <w:p>
            <w:r/>
            <w:r>
              <w:rPr>
                <w:sz w:val="14"/>
              </w:rPr>
              <w:t>+5.9</w:t>
            </w:r>
          </w:p>
        </w:tc>
        <w:tc>
          <w:tcPr>
            <w:tcW w:type="dxa" w:w="4320"/>
          </w:tcPr>
          <w:p>
            <w:r/>
            <w:r>
              <w:rPr>
                <w:sz w:val="14"/>
              </w:rPr>
              <w:t>Skeletal deformation + δ(C–C–O)</w:t>
            </w:r>
          </w:p>
        </w:tc>
        <w:tc>
          <w:tcPr>
            <w:tcW w:type="dxa" w:w="1440"/>
          </w:tcPr>
          <w:p>
            <w:r/>
            <w:r>
              <w:rPr>
                <w:sz w:val="14"/>
              </w:rPr>
              <w:t>0.26</w:t>
            </w:r>
          </w:p>
        </w:tc>
      </w:tr>
      <w:tr>
        <w:tc>
          <w:tcPr>
            <w:tcW w:type="dxa" w:w="1584"/>
            <w:shd w:val="clear" w:fill="E7ECF4"/>
          </w:tcPr>
          <w:p>
            <w:r/>
            <w:r>
              <w:rPr>
                <w:sz w:val="14"/>
              </w:rPr>
              <w:t>677 / 704</w:t>
            </w:r>
          </w:p>
        </w:tc>
        <w:tc>
          <w:tcPr>
            <w:tcW w:type="dxa" w:w="1584"/>
            <w:shd w:val="clear" w:fill="E7ECF4"/>
          </w:tcPr>
          <w:p>
            <w:r/>
            <w:r>
              <w:rPr>
                <w:sz w:val="14"/>
              </w:rPr>
              <w:t>692.2</w:t>
            </w:r>
          </w:p>
        </w:tc>
        <w:tc>
          <w:tcPr>
            <w:tcW w:type="dxa" w:w="1296"/>
            <w:shd w:val="clear" w:fill="E7ECF4"/>
          </w:tcPr>
          <w:p>
            <w:r/>
            <w:r>
              <w:rPr>
                <w:sz w:val="14"/>
              </w:rPr>
              <w:t>∓12–15</w:t>
            </w:r>
          </w:p>
        </w:tc>
        <w:tc>
          <w:tcPr>
            <w:tcW w:type="dxa" w:w="4320"/>
            <w:shd w:val="clear" w:fill="E7ECF4"/>
          </w:tcPr>
          <w:p>
            <w:r/>
            <w:r>
              <w:rPr>
                <w:sz w:val="14"/>
              </w:rPr>
              <w:t>Skeletal deformation + δ(C–C–O)</w:t>
            </w:r>
          </w:p>
        </w:tc>
        <w:tc>
          <w:tcPr>
            <w:tcW w:type="dxa" w:w="1440"/>
            <w:shd w:val="clear" w:fill="E7ECF4"/>
          </w:tcPr>
          <w:p>
            <w:r/>
            <w:r>
              <w:rPr>
                <w:sz w:val="14"/>
              </w:rPr>
              <w:t>0.13 / 0.25</w:t>
            </w:r>
          </w:p>
        </w:tc>
      </w:tr>
      <w:tr>
        <w:tc>
          <w:tcPr>
            <w:tcW w:type="dxa" w:w="1584"/>
          </w:tcPr>
          <w:p>
            <w:r/>
            <w:r>
              <w:rPr>
                <w:sz w:val="14"/>
              </w:rPr>
              <w:t>745</w:t>
            </w:r>
          </w:p>
        </w:tc>
        <w:tc>
          <w:tcPr>
            <w:tcW w:type="dxa" w:w="1584"/>
          </w:tcPr>
          <w:p>
            <w:r/>
            <w:r>
              <w:rPr>
                <w:sz w:val="14"/>
              </w:rPr>
              <w:t>731.3</w:t>
            </w:r>
          </w:p>
        </w:tc>
        <w:tc>
          <w:tcPr>
            <w:tcW w:type="dxa" w:w="1296"/>
          </w:tcPr>
          <w:p>
            <w:r/>
            <w:r>
              <w:rPr>
                <w:sz w:val="14"/>
              </w:rPr>
              <w:t>+13.7</w:t>
            </w:r>
          </w:p>
        </w:tc>
        <w:tc>
          <w:tcPr>
            <w:tcW w:type="dxa" w:w="4320"/>
          </w:tcPr>
          <w:p>
            <w:r/>
            <w:r>
              <w:rPr>
                <w:sz w:val="14"/>
              </w:rPr>
              <w:t>γ(O–H) carboxylic acid, out-of-plane</w:t>
            </w:r>
          </w:p>
        </w:tc>
        <w:tc>
          <w:tcPr>
            <w:tcW w:type="dxa" w:w="1440"/>
          </w:tcPr>
          <w:p>
            <w:r/>
            <w:r>
              <w:rPr>
                <w:sz w:val="14"/>
              </w:rPr>
              <w:t>0.19</w:t>
            </w:r>
          </w:p>
        </w:tc>
      </w:tr>
      <w:tr>
        <w:tc>
          <w:tcPr>
            <w:tcW w:type="dxa" w:w="1584"/>
            <w:shd w:val="clear" w:fill="E7ECF4"/>
          </w:tcPr>
          <w:p>
            <w:r/>
            <w:r>
              <w:rPr>
                <w:sz w:val="14"/>
              </w:rPr>
              <w:t>772</w:t>
            </w:r>
          </w:p>
        </w:tc>
        <w:tc>
          <w:tcPr>
            <w:tcW w:type="dxa" w:w="1584"/>
            <w:shd w:val="clear" w:fill="E7ECF4"/>
          </w:tcPr>
          <w:p>
            <w:r/>
            <w:r>
              <w:rPr>
                <w:sz w:val="14"/>
              </w:rPr>
              <w:t>unmatched</w:t>
            </w:r>
          </w:p>
        </w:tc>
        <w:tc>
          <w:tcPr>
            <w:tcW w:type="dxa" w:w="1296"/>
            <w:shd w:val="clear" w:fill="E7ECF4"/>
          </w:tcPr>
          <w:p>
            <w:r/>
            <w:r>
              <w:rPr>
                <w:sz w:val="14"/>
              </w:rPr>
              <w:t>—</w:t>
            </w:r>
          </w:p>
        </w:tc>
        <w:tc>
          <w:tcPr>
            <w:tcW w:type="dxa" w:w="4320"/>
            <w:shd w:val="clear" w:fill="E7ECF4"/>
          </w:tcPr>
          <w:p>
            <w:r/>
            <w:r>
              <w:rPr>
                <w:sz w:val="14"/>
              </w:rPr>
              <w:t>(no calculated mode within tolerance)</w:t>
            </w:r>
          </w:p>
        </w:tc>
        <w:tc>
          <w:tcPr>
            <w:tcW w:type="dxa" w:w="1440"/>
            <w:shd w:val="clear" w:fill="E7ECF4"/>
          </w:tcPr>
          <w:p>
            <w:r/>
            <w:r>
              <w:rPr>
                <w:sz w:val="14"/>
              </w:rPr>
              <w:t>0.10</w:t>
            </w:r>
          </w:p>
        </w:tc>
      </w:tr>
      <w:tr>
        <w:tc>
          <w:tcPr>
            <w:tcW w:type="dxa" w:w="1584"/>
          </w:tcPr>
          <w:p>
            <w:r/>
            <w:r>
              <w:rPr>
                <w:sz w:val="14"/>
              </w:rPr>
              <w:t>831</w:t>
            </w:r>
          </w:p>
        </w:tc>
        <w:tc>
          <w:tcPr>
            <w:tcW w:type="dxa" w:w="1584"/>
          </w:tcPr>
          <w:p>
            <w:r/>
            <w:r>
              <w:rPr>
                <w:sz w:val="14"/>
              </w:rPr>
              <w:t>unmatched</w:t>
            </w:r>
          </w:p>
        </w:tc>
        <w:tc>
          <w:tcPr>
            <w:tcW w:type="dxa" w:w="1296"/>
          </w:tcPr>
          <w:p>
            <w:r/>
            <w:r>
              <w:rPr>
                <w:sz w:val="14"/>
              </w:rPr>
              <w:t>—</w:t>
            </w:r>
          </w:p>
        </w:tc>
        <w:tc>
          <w:tcPr>
            <w:tcW w:type="dxa" w:w="4320"/>
          </w:tcPr>
          <w:p>
            <w:r/>
            <w:r>
              <w:rPr>
                <w:sz w:val="14"/>
              </w:rPr>
              <w:t>(no calculated mode within tolerance)</w:t>
            </w:r>
          </w:p>
        </w:tc>
        <w:tc>
          <w:tcPr>
            <w:tcW w:type="dxa" w:w="1440"/>
          </w:tcPr>
          <w:p>
            <w:r/>
            <w:r>
              <w:rPr>
                <w:sz w:val="14"/>
              </w:rPr>
              <w:t>0.65</w:t>
            </w:r>
          </w:p>
        </w:tc>
      </w:tr>
      <w:tr>
        <w:tc>
          <w:tcPr>
            <w:tcW w:type="dxa" w:w="1584"/>
            <w:shd w:val="clear" w:fill="E7ECF4"/>
          </w:tcPr>
          <w:p>
            <w:r/>
            <w:r>
              <w:rPr>
                <w:sz w:val="14"/>
              </w:rPr>
              <w:t>872</w:t>
            </w:r>
          </w:p>
        </w:tc>
        <w:tc>
          <w:tcPr>
            <w:tcW w:type="dxa" w:w="1584"/>
            <w:shd w:val="clear" w:fill="E7ECF4"/>
          </w:tcPr>
          <w:p>
            <w:r/>
            <w:r>
              <w:rPr>
                <w:sz w:val="14"/>
              </w:rPr>
              <w:t>873.0</w:t>
            </w:r>
          </w:p>
        </w:tc>
        <w:tc>
          <w:tcPr>
            <w:tcW w:type="dxa" w:w="1296"/>
            <w:shd w:val="clear" w:fill="E7ECF4"/>
          </w:tcPr>
          <w:p>
            <w:r/>
            <w:r>
              <w:rPr>
                <w:sz w:val="14"/>
              </w:rPr>
              <w:t>−1.0</w:t>
            </w:r>
          </w:p>
        </w:tc>
        <w:tc>
          <w:tcPr>
            <w:tcW w:type="dxa" w:w="4320"/>
            <w:shd w:val="clear" w:fill="E7ECF4"/>
          </w:tcPr>
          <w:p>
            <w:r/>
            <w:r>
              <w:rPr>
                <w:sz w:val="14"/>
              </w:rPr>
              <w:t>γ(CH₂) hydroxymethyl wagging</w:t>
            </w:r>
          </w:p>
        </w:tc>
        <w:tc>
          <w:tcPr>
            <w:tcW w:type="dxa" w:w="1440"/>
            <w:shd w:val="clear" w:fill="E7ECF4"/>
          </w:tcPr>
          <w:p>
            <w:r/>
            <w:r>
              <w:rPr>
                <w:sz w:val="14"/>
              </w:rPr>
              <w:t>0.92</w:t>
            </w:r>
          </w:p>
        </w:tc>
      </w:tr>
      <w:tr>
        <w:tc>
          <w:tcPr>
            <w:tcW w:type="dxa" w:w="1584"/>
          </w:tcPr>
          <w:p>
            <w:r/>
            <w:r>
              <w:rPr>
                <w:sz w:val="14"/>
              </w:rPr>
              <w:t>930</w:t>
            </w:r>
          </w:p>
        </w:tc>
        <w:tc>
          <w:tcPr>
            <w:tcW w:type="dxa" w:w="1584"/>
          </w:tcPr>
          <w:p>
            <w:r/>
            <w:r>
              <w:rPr>
                <w:sz w:val="14"/>
              </w:rPr>
              <w:t>926.7</w:t>
            </w:r>
          </w:p>
        </w:tc>
        <w:tc>
          <w:tcPr>
            <w:tcW w:type="dxa" w:w="1296"/>
          </w:tcPr>
          <w:p>
            <w:r/>
            <w:r>
              <w:rPr>
                <w:sz w:val="14"/>
              </w:rPr>
              <w:t>+3.3</w:t>
            </w:r>
          </w:p>
        </w:tc>
        <w:tc>
          <w:tcPr>
            <w:tcW w:type="dxa" w:w="4320"/>
          </w:tcPr>
          <w:p>
            <w:r/>
            <w:r>
              <w:rPr>
                <w:sz w:val="14"/>
              </w:rPr>
              <w:t>Ring breathing / ν(C–C–O)  [strongest band]</w:t>
            </w:r>
          </w:p>
        </w:tc>
        <w:tc>
          <w:tcPr>
            <w:tcW w:type="dxa" w:w="1440"/>
          </w:tcPr>
          <w:p>
            <w:r/>
            <w:r>
              <w:rPr>
                <w:sz w:val="14"/>
              </w:rPr>
              <w:t>1.00</w:t>
            </w:r>
          </w:p>
        </w:tc>
      </w:tr>
      <w:tr>
        <w:tc>
          <w:tcPr>
            <w:tcW w:type="dxa" w:w="1584"/>
            <w:shd w:val="clear" w:fill="E7ECF4"/>
          </w:tcPr>
          <w:p>
            <w:r/>
            <w:r>
              <w:rPr>
                <w:sz w:val="14"/>
              </w:rPr>
              <w:t>956</w:t>
            </w:r>
          </w:p>
        </w:tc>
        <w:tc>
          <w:tcPr>
            <w:tcW w:type="dxa" w:w="1584"/>
            <w:shd w:val="clear" w:fill="E7ECF4"/>
          </w:tcPr>
          <w:p>
            <w:r/>
            <w:r>
              <w:rPr>
                <w:sz w:val="14"/>
              </w:rPr>
              <w:t>unmatched</w:t>
            </w:r>
          </w:p>
        </w:tc>
        <w:tc>
          <w:tcPr>
            <w:tcW w:type="dxa" w:w="1296"/>
            <w:shd w:val="clear" w:fill="E7ECF4"/>
          </w:tcPr>
          <w:p>
            <w:r/>
            <w:r>
              <w:rPr>
                <w:sz w:val="14"/>
              </w:rPr>
              <w:t>—</w:t>
            </w:r>
          </w:p>
        </w:tc>
        <w:tc>
          <w:tcPr>
            <w:tcW w:type="dxa" w:w="4320"/>
            <w:shd w:val="clear" w:fill="E7ECF4"/>
          </w:tcPr>
          <w:p>
            <w:r/>
            <w:r>
              <w:rPr>
                <w:sz w:val="14"/>
              </w:rPr>
              <w:t>(no calculated mode within tolerance)</w:t>
            </w:r>
          </w:p>
        </w:tc>
        <w:tc>
          <w:tcPr>
            <w:tcW w:type="dxa" w:w="1440"/>
            <w:shd w:val="clear" w:fill="E7ECF4"/>
          </w:tcPr>
          <w:p>
            <w:r/>
            <w:r>
              <w:rPr>
                <w:sz w:val="14"/>
              </w:rPr>
              <w:t>0.96</w:t>
            </w:r>
          </w:p>
        </w:tc>
      </w:tr>
      <w:tr>
        <w:tc>
          <w:tcPr>
            <w:tcW w:type="dxa" w:w="1584"/>
          </w:tcPr>
          <w:p>
            <w:r/>
            <w:r>
              <w:rPr>
                <w:sz w:val="14"/>
              </w:rPr>
              <w:t>1024</w:t>
            </w:r>
          </w:p>
        </w:tc>
        <w:tc>
          <w:tcPr>
            <w:tcW w:type="dxa" w:w="1584"/>
          </w:tcPr>
          <w:p>
            <w:r/>
            <w:r>
              <w:rPr>
                <w:sz w:val="14"/>
              </w:rPr>
              <w:t>1021.5</w:t>
            </w:r>
          </w:p>
        </w:tc>
        <w:tc>
          <w:tcPr>
            <w:tcW w:type="dxa" w:w="1296"/>
          </w:tcPr>
          <w:p>
            <w:r/>
            <w:r>
              <w:rPr>
                <w:sz w:val="14"/>
              </w:rPr>
              <w:t>+2.5</w:t>
            </w:r>
          </w:p>
        </w:tc>
        <w:tc>
          <w:tcPr>
            <w:tcW w:type="dxa" w:w="4320"/>
          </w:tcPr>
          <w:p>
            <w:r/>
            <w:r>
              <w:rPr>
                <w:sz w:val="14"/>
              </w:rPr>
              <w:t>ν(C–O) + δ(C–O–H)</w:t>
            </w:r>
          </w:p>
        </w:tc>
        <w:tc>
          <w:tcPr>
            <w:tcW w:type="dxa" w:w="1440"/>
          </w:tcPr>
          <w:p>
            <w:r/>
            <w:r>
              <w:rPr>
                <w:sz w:val="14"/>
              </w:rPr>
              <w:t>0.75</w:t>
            </w:r>
          </w:p>
        </w:tc>
      </w:tr>
      <w:tr>
        <w:tc>
          <w:tcPr>
            <w:tcW w:type="dxa" w:w="1584"/>
            <w:shd w:val="clear" w:fill="E7ECF4"/>
          </w:tcPr>
          <w:p>
            <w:r/>
            <w:r>
              <w:rPr>
                <w:sz w:val="14"/>
              </w:rPr>
              <w:t>1059 / 1128</w:t>
            </w:r>
          </w:p>
        </w:tc>
        <w:tc>
          <w:tcPr>
            <w:tcW w:type="dxa" w:w="1584"/>
            <w:shd w:val="clear" w:fill="E7ECF4"/>
          </w:tcPr>
          <w:p>
            <w:r/>
            <w:r>
              <w:rPr>
                <w:sz w:val="14"/>
              </w:rPr>
              <w:t>1073 / 1117</w:t>
            </w:r>
          </w:p>
        </w:tc>
        <w:tc>
          <w:tcPr>
            <w:tcW w:type="dxa" w:w="1296"/>
            <w:shd w:val="clear" w:fill="E7ECF4"/>
          </w:tcPr>
          <w:p>
            <w:r/>
            <w:r>
              <w:rPr>
                <w:sz w:val="14"/>
              </w:rPr>
              <w:t>−13.7 / +11.4</w:t>
            </w:r>
          </w:p>
        </w:tc>
        <w:tc>
          <w:tcPr>
            <w:tcW w:type="dxa" w:w="4320"/>
            <w:shd w:val="clear" w:fill="E7ECF4"/>
          </w:tcPr>
          <w:p>
            <w:r/>
            <w:r>
              <w:rPr>
                <w:sz w:val="14"/>
              </w:rPr>
              <w:t>ν(C–O) + δ(C–O–H)</w:t>
            </w:r>
          </w:p>
        </w:tc>
        <w:tc>
          <w:tcPr>
            <w:tcW w:type="dxa" w:w="1440"/>
            <w:shd w:val="clear" w:fill="E7ECF4"/>
          </w:tcPr>
          <w:p>
            <w:r/>
            <w:r>
              <w:rPr>
                <w:sz w:val="14"/>
              </w:rPr>
              <w:t>0.33 / 0.61</w:t>
            </w:r>
          </w:p>
        </w:tc>
      </w:tr>
      <w:tr>
        <w:tc>
          <w:tcPr>
            <w:tcW w:type="dxa" w:w="1584"/>
          </w:tcPr>
          <w:p>
            <w:r/>
            <w:r>
              <w:rPr>
                <w:sz w:val="14"/>
              </w:rPr>
              <w:t>1157 / 1190</w:t>
            </w:r>
          </w:p>
        </w:tc>
        <w:tc>
          <w:tcPr>
            <w:tcW w:type="dxa" w:w="1584"/>
          </w:tcPr>
          <w:p>
            <w:r/>
            <w:r>
              <w:rPr>
                <w:sz w:val="14"/>
              </w:rPr>
              <w:t>1172.4</w:t>
            </w:r>
          </w:p>
        </w:tc>
        <w:tc>
          <w:tcPr>
            <w:tcW w:type="dxa" w:w="1296"/>
          </w:tcPr>
          <w:p>
            <w:r/>
            <w:r>
              <w:rPr>
                <w:sz w:val="14"/>
              </w:rPr>
              <w:t>−15.4 / +17.6</w:t>
            </w:r>
          </w:p>
        </w:tc>
        <w:tc>
          <w:tcPr>
            <w:tcW w:type="dxa" w:w="4320"/>
          </w:tcPr>
          <w:p>
            <w:r/>
            <w:r>
              <w:rPr>
                <w:sz w:val="14"/>
              </w:rPr>
              <w:t>ν(C–O) + δ(C–O–H)</w:t>
            </w:r>
          </w:p>
        </w:tc>
        <w:tc>
          <w:tcPr>
            <w:tcW w:type="dxa" w:w="1440"/>
          </w:tcPr>
          <w:p>
            <w:r/>
            <w:r>
              <w:rPr>
                <w:sz w:val="14"/>
              </w:rPr>
              <w:t>0.40 / 0.17</w:t>
            </w:r>
          </w:p>
        </w:tc>
      </w:tr>
      <w:tr>
        <w:tc>
          <w:tcPr>
            <w:tcW w:type="dxa" w:w="1584"/>
            <w:shd w:val="clear" w:fill="E7ECF4"/>
          </w:tcPr>
          <w:p>
            <w:r/>
            <w:r>
              <w:rPr>
                <w:sz w:val="14"/>
              </w:rPr>
              <w:t>1249</w:t>
            </w:r>
          </w:p>
        </w:tc>
        <w:tc>
          <w:tcPr>
            <w:tcW w:type="dxa" w:w="1584"/>
            <w:shd w:val="clear" w:fill="E7ECF4"/>
          </w:tcPr>
          <w:p>
            <w:r/>
            <w:r>
              <w:rPr>
                <w:sz w:val="14"/>
              </w:rPr>
              <w:t>1257.1</w:t>
            </w:r>
          </w:p>
        </w:tc>
        <w:tc>
          <w:tcPr>
            <w:tcW w:type="dxa" w:w="1296"/>
            <w:shd w:val="clear" w:fill="E7ECF4"/>
          </w:tcPr>
          <w:p>
            <w:r/>
            <w:r>
              <w:rPr>
                <w:sz w:val="14"/>
              </w:rPr>
              <w:t>−8.1</w:t>
            </w:r>
          </w:p>
        </w:tc>
        <w:tc>
          <w:tcPr>
            <w:tcW w:type="dxa" w:w="4320"/>
            <w:shd w:val="clear" w:fill="E7ECF4"/>
          </w:tcPr>
          <w:p>
            <w:r/>
            <w:r>
              <w:rPr>
                <w:sz w:val="14"/>
              </w:rPr>
              <w:t>δ(C–H) + ν(C–O) coupled</w:t>
            </w:r>
          </w:p>
        </w:tc>
        <w:tc>
          <w:tcPr>
            <w:tcW w:type="dxa" w:w="1440"/>
            <w:shd w:val="clear" w:fill="E7ECF4"/>
          </w:tcPr>
          <w:p>
            <w:r/>
            <w:r>
              <w:rPr>
                <w:sz w:val="14"/>
              </w:rPr>
              <w:t>0.32</w:t>
            </w:r>
          </w:p>
        </w:tc>
      </w:tr>
      <w:tr>
        <w:tc>
          <w:tcPr>
            <w:tcW w:type="dxa" w:w="1584"/>
          </w:tcPr>
          <w:p>
            <w:r/>
            <w:r>
              <w:rPr>
                <w:sz w:val="14"/>
              </w:rPr>
              <w:t>1321</w:t>
            </w:r>
          </w:p>
        </w:tc>
        <w:tc>
          <w:tcPr>
            <w:tcW w:type="dxa" w:w="1584"/>
          </w:tcPr>
          <w:p>
            <w:r/>
            <w:r>
              <w:rPr>
                <w:sz w:val="14"/>
              </w:rPr>
              <w:t>1313.6</w:t>
            </w:r>
          </w:p>
        </w:tc>
        <w:tc>
          <w:tcPr>
            <w:tcW w:type="dxa" w:w="1296"/>
          </w:tcPr>
          <w:p>
            <w:r/>
            <w:r>
              <w:rPr>
                <w:sz w:val="14"/>
              </w:rPr>
              <w:t>+7.4</w:t>
            </w:r>
          </w:p>
        </w:tc>
        <w:tc>
          <w:tcPr>
            <w:tcW w:type="dxa" w:w="4320"/>
          </w:tcPr>
          <w:p>
            <w:r/>
            <w:r>
              <w:rPr>
                <w:sz w:val="14"/>
              </w:rPr>
              <w:t>δ(C–H) + ν(C–O) coupled</w:t>
            </w:r>
          </w:p>
        </w:tc>
        <w:tc>
          <w:tcPr>
            <w:tcW w:type="dxa" w:w="1440"/>
          </w:tcPr>
          <w:p>
            <w:r/>
            <w:r>
              <w:rPr>
                <w:sz w:val="14"/>
              </w:rPr>
              <w:t>0.48</w:t>
            </w:r>
          </w:p>
        </w:tc>
      </w:tr>
      <w:tr>
        <w:tc>
          <w:tcPr>
            <w:tcW w:type="dxa" w:w="1584"/>
            <w:shd w:val="clear" w:fill="E7ECF4"/>
          </w:tcPr>
          <w:p>
            <w:r/>
            <w:r>
              <w:rPr>
                <w:sz w:val="14"/>
              </w:rPr>
              <w:t>1346</w:t>
            </w:r>
          </w:p>
        </w:tc>
        <w:tc>
          <w:tcPr>
            <w:tcW w:type="dxa" w:w="1584"/>
            <w:shd w:val="clear" w:fill="E7ECF4"/>
          </w:tcPr>
          <w:p>
            <w:r/>
            <w:r>
              <w:rPr>
                <w:sz w:val="14"/>
              </w:rPr>
              <w:t>1359.3</w:t>
            </w:r>
          </w:p>
        </w:tc>
        <w:tc>
          <w:tcPr>
            <w:tcW w:type="dxa" w:w="1296"/>
            <w:shd w:val="clear" w:fill="E7ECF4"/>
          </w:tcPr>
          <w:p>
            <w:r/>
            <w:r>
              <w:rPr>
                <w:sz w:val="14"/>
              </w:rPr>
              <w:t>−13.3</w:t>
            </w:r>
          </w:p>
        </w:tc>
        <w:tc>
          <w:tcPr>
            <w:tcW w:type="dxa" w:w="4320"/>
            <w:shd w:val="clear" w:fill="E7ECF4"/>
          </w:tcPr>
          <w:p>
            <w:r/>
            <w:r>
              <w:rPr>
                <w:sz w:val="14"/>
              </w:rPr>
              <w:t>δ(C–H) / δs(CH₃) umbrella</w:t>
            </w:r>
          </w:p>
        </w:tc>
        <w:tc>
          <w:tcPr>
            <w:tcW w:type="dxa" w:w="1440"/>
            <w:shd w:val="clear" w:fill="E7ECF4"/>
          </w:tcPr>
          <w:p>
            <w:r/>
            <w:r>
              <w:rPr>
                <w:sz w:val="14"/>
              </w:rPr>
              <w:t>0.49</w:t>
            </w:r>
          </w:p>
        </w:tc>
      </w:tr>
      <w:tr>
        <w:tc>
          <w:tcPr>
            <w:tcW w:type="dxa" w:w="1584"/>
          </w:tcPr>
          <w:p>
            <w:r/>
            <w:r>
              <w:rPr>
                <w:sz w:val="14"/>
              </w:rPr>
              <w:t>1395</w:t>
            </w:r>
          </w:p>
        </w:tc>
        <w:tc>
          <w:tcPr>
            <w:tcW w:type="dxa" w:w="1584"/>
          </w:tcPr>
          <w:p>
            <w:r/>
            <w:r>
              <w:rPr>
                <w:sz w:val="14"/>
              </w:rPr>
              <w:t>1387.6</w:t>
            </w:r>
          </w:p>
        </w:tc>
        <w:tc>
          <w:tcPr>
            <w:tcW w:type="dxa" w:w="1296"/>
          </w:tcPr>
          <w:p>
            <w:r/>
            <w:r>
              <w:rPr>
                <w:sz w:val="14"/>
              </w:rPr>
              <w:t>+7.4</w:t>
            </w:r>
          </w:p>
        </w:tc>
        <w:tc>
          <w:tcPr>
            <w:tcW w:type="dxa" w:w="4320"/>
          </w:tcPr>
          <w:p>
            <w:r/>
            <w:r>
              <w:rPr>
                <w:sz w:val="14"/>
              </w:rPr>
              <w:t>δ(C–H) / δs(CH₃) umbrella</w:t>
            </w:r>
          </w:p>
        </w:tc>
        <w:tc>
          <w:tcPr>
            <w:tcW w:type="dxa" w:w="1440"/>
          </w:tcPr>
          <w:p>
            <w:r/>
            <w:r>
              <w:rPr>
                <w:sz w:val="14"/>
              </w:rPr>
              <w:t>0.47</w:t>
            </w:r>
          </w:p>
        </w:tc>
      </w:tr>
      <w:tr>
        <w:tc>
          <w:tcPr>
            <w:tcW w:type="dxa" w:w="1584"/>
            <w:shd w:val="clear" w:fill="E7ECF4"/>
          </w:tcPr>
          <w:p>
            <w:r/>
            <w:r>
              <w:rPr>
                <w:sz w:val="14"/>
              </w:rPr>
              <w:t>1451</w:t>
            </w:r>
          </w:p>
        </w:tc>
        <w:tc>
          <w:tcPr>
            <w:tcW w:type="dxa" w:w="1584"/>
            <w:shd w:val="clear" w:fill="E7ECF4"/>
          </w:tcPr>
          <w:p>
            <w:r/>
            <w:r>
              <w:rPr>
                <w:sz w:val="14"/>
              </w:rPr>
              <w:t>1459.7</w:t>
            </w:r>
          </w:p>
        </w:tc>
        <w:tc>
          <w:tcPr>
            <w:tcW w:type="dxa" w:w="1296"/>
            <w:shd w:val="clear" w:fill="E7ECF4"/>
          </w:tcPr>
          <w:p>
            <w:r/>
            <w:r>
              <w:rPr>
                <w:sz w:val="14"/>
              </w:rPr>
              <w:t>−8.7</w:t>
            </w:r>
          </w:p>
        </w:tc>
        <w:tc>
          <w:tcPr>
            <w:tcW w:type="dxa" w:w="4320"/>
            <w:shd w:val="clear" w:fill="E7ECF4"/>
          </w:tcPr>
          <w:p>
            <w:r/>
            <w:r>
              <w:rPr>
                <w:sz w:val="14"/>
              </w:rPr>
              <w:t>δ(CH₂) scissoring / δas(CH₃)</w:t>
            </w:r>
          </w:p>
        </w:tc>
        <w:tc>
          <w:tcPr>
            <w:tcW w:type="dxa" w:w="1440"/>
            <w:shd w:val="clear" w:fill="E7ECF4"/>
          </w:tcPr>
          <w:p>
            <w:r/>
            <w:r>
              <w:rPr>
                <w:sz w:val="14"/>
              </w:rPr>
              <w:t>0.49</w:t>
            </w:r>
          </w:p>
        </w:tc>
      </w:tr>
      <w:tr>
        <w:tc>
          <w:tcPr>
            <w:tcW w:type="dxa" w:w="1584"/>
          </w:tcPr>
          <w:p>
            <w:r/>
            <w:r>
              <w:rPr>
                <w:sz w:val="14"/>
              </w:rPr>
              <w:t>1544</w:t>
            </w:r>
          </w:p>
        </w:tc>
        <w:tc>
          <w:tcPr>
            <w:tcW w:type="dxa" w:w="1584"/>
          </w:tcPr>
          <w:p>
            <w:r/>
            <w:r>
              <w:rPr>
                <w:sz w:val="14"/>
              </w:rPr>
              <w:t>1535.2</w:t>
            </w:r>
          </w:p>
        </w:tc>
        <w:tc>
          <w:tcPr>
            <w:tcW w:type="dxa" w:w="1296"/>
          </w:tcPr>
          <w:p>
            <w:r/>
            <w:r>
              <w:rPr>
                <w:sz w:val="14"/>
              </w:rPr>
              <w:t>+8.8</w:t>
            </w:r>
          </w:p>
        </w:tc>
        <w:tc>
          <w:tcPr>
            <w:tcW w:type="dxa" w:w="4320"/>
          </w:tcPr>
          <w:p>
            <w:r/>
            <w:r>
              <w:rPr>
                <w:sz w:val="14"/>
              </w:rPr>
              <w:t>Amide II: δ(N–H) + ν(C–N)</w:t>
            </w:r>
          </w:p>
        </w:tc>
        <w:tc>
          <w:tcPr>
            <w:tcW w:type="dxa" w:w="1440"/>
          </w:tcPr>
          <w:p>
            <w:r/>
            <w:r>
              <w:rPr>
                <w:sz w:val="14"/>
              </w:rPr>
              <w:t>0.10</w:t>
            </w:r>
          </w:p>
        </w:tc>
      </w:tr>
      <w:tr>
        <w:tc>
          <w:tcPr>
            <w:tcW w:type="dxa" w:w="1584"/>
            <w:shd w:val="clear" w:fill="E7ECF4"/>
          </w:tcPr>
          <w:p>
            <w:r/>
            <w:r>
              <w:rPr>
                <w:sz w:val="14"/>
              </w:rPr>
              <w:t>1590 / 1633 / 1652 / 1700</w:t>
            </w:r>
          </w:p>
        </w:tc>
        <w:tc>
          <w:tcPr>
            <w:tcW w:type="dxa" w:w="1584"/>
            <w:shd w:val="clear" w:fill="E7ECF4"/>
          </w:tcPr>
          <w:p>
            <w:r/>
            <w:r>
              <w:rPr>
                <w:sz w:val="14"/>
              </w:rPr>
              <w:t>unmatched</w:t>
            </w:r>
          </w:p>
        </w:tc>
        <w:tc>
          <w:tcPr>
            <w:tcW w:type="dxa" w:w="1296"/>
            <w:shd w:val="clear" w:fill="E7ECF4"/>
          </w:tcPr>
          <w:p>
            <w:r/>
            <w:r>
              <w:rPr>
                <w:sz w:val="14"/>
              </w:rPr>
              <w:t>—</w:t>
            </w:r>
          </w:p>
        </w:tc>
        <w:tc>
          <w:tcPr>
            <w:tcW w:type="dxa" w:w="4320"/>
            <w:shd w:val="clear" w:fill="E7ECF4"/>
          </w:tcPr>
          <w:p>
            <w:r/>
            <w:r>
              <w:rPr>
                <w:sz w:val="14"/>
              </w:rPr>
              <w:t>(no calculated mode within tolerance)</w:t>
            </w:r>
          </w:p>
        </w:tc>
        <w:tc>
          <w:tcPr>
            <w:tcW w:type="dxa" w:w="1440"/>
            <w:shd w:val="clear" w:fill="E7ECF4"/>
          </w:tcPr>
          <w:p>
            <w:r/>
            <w:r>
              <w:rPr>
                <w:sz w:val="14"/>
              </w:rPr>
              <w:t>0.28 / 0.08 / 0.07 / 0.17</w:t>
            </w:r>
          </w:p>
        </w:tc>
      </w:tr>
      <w:tr>
        <w:tc>
          <w:tcPr>
            <w:tcW w:type="dxa" w:w="1584"/>
          </w:tcPr>
          <w:p>
            <w:r/>
            <w:r>
              <w:rPr>
                <w:sz w:val="14"/>
              </w:rPr>
              <w:t>1726</w:t>
            </w:r>
          </w:p>
        </w:tc>
        <w:tc>
          <w:tcPr>
            <w:tcW w:type="dxa" w:w="1584"/>
          </w:tcPr>
          <w:p>
            <w:r/>
            <w:r>
              <w:rPr>
                <w:sz w:val="14"/>
              </w:rPr>
              <w:t>1722.8</w:t>
            </w:r>
          </w:p>
        </w:tc>
        <w:tc>
          <w:tcPr>
            <w:tcW w:type="dxa" w:w="1296"/>
          </w:tcPr>
          <w:p>
            <w:r/>
            <w:r>
              <w:rPr>
                <w:sz w:val="14"/>
              </w:rPr>
              <w:t>+3.2</w:t>
            </w:r>
          </w:p>
        </w:tc>
        <w:tc>
          <w:tcPr>
            <w:tcW w:type="dxa" w:w="4320"/>
          </w:tcPr>
          <w:p>
            <w:r/>
            <w:r>
              <w:rPr>
                <w:sz w:val="14"/>
              </w:rPr>
              <w:t>Amide I: ν(C=O)</w:t>
            </w:r>
          </w:p>
        </w:tc>
        <w:tc>
          <w:tcPr>
            <w:tcW w:type="dxa" w:w="1440"/>
          </w:tcPr>
          <w:p>
            <w:r/>
            <w:r>
              <w:rPr>
                <w:sz w:val="14"/>
              </w:rPr>
              <w:t>0.08</w:t>
            </w:r>
          </w:p>
        </w:tc>
      </w:tr>
      <w:tr>
        <w:tc>
          <w:tcPr>
            <w:tcW w:type="dxa" w:w="1584"/>
            <w:shd w:val="clear" w:fill="E7ECF4"/>
          </w:tcPr>
          <w:p>
            <w:r/>
            <w:r>
              <w:rPr>
                <w:sz w:val="14"/>
              </w:rPr>
              <w:t>1751 / 1758 / 1768</w:t>
            </w:r>
          </w:p>
        </w:tc>
        <w:tc>
          <w:tcPr>
            <w:tcW w:type="dxa" w:w="1584"/>
            <w:shd w:val="clear" w:fill="E7ECF4"/>
          </w:tcPr>
          <w:p>
            <w:r/>
            <w:r>
              <w:rPr>
                <w:sz w:val="14"/>
              </w:rPr>
              <w:t>1759.2</w:t>
            </w:r>
          </w:p>
        </w:tc>
        <w:tc>
          <w:tcPr>
            <w:tcW w:type="dxa" w:w="1296"/>
            <w:shd w:val="clear" w:fill="E7ECF4"/>
          </w:tcPr>
          <w:p>
            <w:r/>
            <w:r>
              <w:rPr>
                <w:sz w:val="14"/>
              </w:rPr>
              <w:t>∓1–9</w:t>
            </w:r>
          </w:p>
        </w:tc>
        <w:tc>
          <w:tcPr>
            <w:tcW w:type="dxa" w:w="4320"/>
            <w:shd w:val="clear" w:fill="E7ECF4"/>
          </w:tcPr>
          <w:p>
            <w:r/>
            <w:r>
              <w:rPr>
                <w:sz w:val="14"/>
              </w:rPr>
              <w:t>ν(C=O) carboxylic acid</w:t>
            </w:r>
          </w:p>
        </w:tc>
        <w:tc>
          <w:tcPr>
            <w:tcW w:type="dxa" w:w="1440"/>
            <w:shd w:val="clear" w:fill="E7ECF4"/>
          </w:tcPr>
          <w:p>
            <w:r/>
            <w:r>
              <w:rPr>
                <w:sz w:val="14"/>
              </w:rPr>
              <w:t>0.07–0.08</w:t>
            </w:r>
          </w:p>
        </w:tc>
      </w:tr>
      <w:tr>
        <w:tc>
          <w:tcPr>
            <w:tcW w:type="dxa" w:w="1584"/>
          </w:tcPr>
          <w:p>
            <w:r/>
            <w:r>
              <w:rPr>
                <w:sz w:val="14"/>
              </w:rPr>
              <w:t>1792</w:t>
            </w:r>
          </w:p>
        </w:tc>
        <w:tc>
          <w:tcPr>
            <w:tcW w:type="dxa" w:w="1584"/>
          </w:tcPr>
          <w:p>
            <w:r/>
            <w:r>
              <w:rPr>
                <w:sz w:val="14"/>
              </w:rPr>
              <w:t>unmatched</w:t>
            </w:r>
          </w:p>
        </w:tc>
        <w:tc>
          <w:tcPr>
            <w:tcW w:type="dxa" w:w="1296"/>
          </w:tcPr>
          <w:p>
            <w:r/>
            <w:r>
              <w:rPr>
                <w:sz w:val="14"/>
              </w:rPr>
              <w:t>—</w:t>
            </w:r>
          </w:p>
        </w:tc>
        <w:tc>
          <w:tcPr>
            <w:tcW w:type="dxa" w:w="4320"/>
          </w:tcPr>
          <w:p>
            <w:r/>
            <w:r>
              <w:rPr>
                <w:sz w:val="14"/>
              </w:rPr>
              <w:t>(no calculated mode within tolerance)</w:t>
            </w:r>
          </w:p>
        </w:tc>
        <w:tc>
          <w:tcPr>
            <w:tcW w:type="dxa" w:w="1440"/>
          </w:tcPr>
          <w:p>
            <w:r/>
            <w:r>
              <w:rPr>
                <w:sz w:val="14"/>
              </w:rPr>
              <w:t>0.06</w:t>
            </w:r>
          </w:p>
        </w:tc>
      </w:tr>
    </w:tbl>
    <w:p>
      <w:pPr>
        <w:spacing w:after="40"/>
      </w:pPr>
    </w:p>
    <w:p>
      <w:pPr>
        <w:spacing w:after="160"/>
        <w:ind w:left="360"/>
      </w:pPr>
      <w:r>
        <w:rPr>
          <w:i/>
          <w:color w:val="555555"/>
          <w:sz w:val="19"/>
        </w:rPr>
        <w:t>30 of 41 bands matched to a calculated normal mode within ±18 cm⁻¹. Fit statistics: MAE 9.3 cm⁻¹, RMSE 10.3 cm⁻¹, mean signed deviation +1.6 cm⁻¹, r = 0.9996. Unmatched bands (772, 831, 956, 1590, 1633, 1652, 1700, 1792 cm⁻¹) are concentrated above 1500 cm⁻¹, where the isolated-gas-phase model is least applicable (crystal packing / hydrogen-bonding effects not captured).</w:t>
      </w:r>
    </w:p>
    <w:p>
      <w:pPr>
        <w:jc w:val="center"/>
      </w:pPr>
      <w:r>
        <w:drawing>
          <wp:inline xmlns:a="http://schemas.openxmlformats.org/drawingml/2006/main" xmlns:pic="http://schemas.openxmlformats.org/drawingml/2006/picture">
            <wp:extent cx="5486400" cy="4174384"/>
            <wp:docPr id="3" name="Picture 3"/>
            <wp:cNvGraphicFramePr>
              <a:graphicFrameLocks noChangeAspect="1"/>
            </wp:cNvGraphicFramePr>
            <a:graphic>
              <a:graphicData uri="http://schemas.openxmlformats.org/drawingml/2006/picture">
                <pic:pic>
                  <pic:nvPicPr>
                    <pic:cNvPr id="0" name="fig5_simulated.png"/>
                    <pic:cNvPicPr/>
                  </pic:nvPicPr>
                  <pic:blipFill>
                    <a:blip r:embed="rId11"/>
                    <a:stretch>
                      <a:fillRect/>
                    </a:stretch>
                  </pic:blipFill>
                  <pic:spPr>
                    <a:xfrm>
                      <a:off x="0" y="0"/>
                      <a:ext cx="5486400" cy="4174384"/>
                    </a:xfrm>
                    <a:prstGeom prst="rect"/>
                  </pic:spPr>
                </pic:pic>
              </a:graphicData>
            </a:graphic>
          </wp:inline>
        </w:drawing>
      </w:r>
    </w:p>
    <w:p>
      <w:pPr>
        <w:spacing w:after="160"/>
        <w:ind w:left="360"/>
      </w:pPr>
      <w:r>
        <w:rPr>
          <w:i/>
          <w:color w:val="555555"/>
          <w:sz w:val="19"/>
        </w:rPr>
        <w:t>Figure I-3. DFT-simulated Raman spectrum (stick and Lorentzian-broadened), β-anomer, B3LYP-D3BJ/6-311++G(d,p).</w:t>
      </w:r>
    </w:p>
    <w:p>
      <w:pPr>
        <w:jc w:val="center"/>
      </w:pPr>
      <w:r>
        <w:drawing>
          <wp:inline xmlns:a="http://schemas.openxmlformats.org/drawingml/2006/main" xmlns:pic="http://schemas.openxmlformats.org/drawingml/2006/picture">
            <wp:extent cx="5486400" cy="4118919"/>
            <wp:docPr id="4" name="Picture 4"/>
            <wp:cNvGraphicFramePr>
              <a:graphicFrameLocks noChangeAspect="1"/>
            </wp:cNvGraphicFramePr>
            <a:graphic>
              <a:graphicData uri="http://schemas.openxmlformats.org/drawingml/2006/picture">
                <pic:pic>
                  <pic:nvPicPr>
                    <pic:cNvPr id="0" name="fig6_overlay.png"/>
                    <pic:cNvPicPr/>
                  </pic:nvPicPr>
                  <pic:blipFill>
                    <a:blip r:embed="rId12"/>
                    <a:stretch>
                      <a:fillRect/>
                    </a:stretch>
                  </pic:blipFill>
                  <pic:spPr>
                    <a:xfrm>
                      <a:off x="0" y="0"/>
                      <a:ext cx="5486400" cy="4118919"/>
                    </a:xfrm>
                    <a:prstGeom prst="rect"/>
                  </pic:spPr>
                </pic:pic>
              </a:graphicData>
            </a:graphic>
          </wp:inline>
        </w:drawing>
      </w:r>
    </w:p>
    <w:p>
      <w:pPr>
        <w:spacing w:after="160"/>
        <w:ind w:left="360"/>
      </w:pPr>
      <w:r>
        <w:rPr>
          <w:i/>
          <w:color w:val="555555"/>
          <w:sz w:val="19"/>
        </w:rPr>
        <w:t>Figure I-4. Experimental reference spectrum vs. DFT-simulated spectrum, overlay with residual panel.</w:t>
      </w:r>
    </w:p>
    <w:p>
      <w:r>
        <w:br w:type="page"/>
      </w:r>
    </w:p>
    <w:p>
      <w:pPr>
        <w:pStyle w:val="Heading2"/>
      </w:pPr>
      <w:r>
        <w:t>I.6  The 730 cm⁻¹ region — significance for bacterial SERS markers</w:t>
      </w:r>
    </w:p>
    <w:p>
      <w:pPr>
        <w:spacing w:after="60"/>
      </w:pPr>
      <w:r>
        <w:rPr>
          <w:b w:val="0"/>
          <w:i w:val="0"/>
        </w:rPr>
        <w:t>A band near 730 cm⁻¹ is a commonly cited marker in whole-cell bacterial Raman and SERS spectra, and has sometimes been attributed to muramic acid / peptidoglycan. In this dataset, the corresponding calculated mode (731.3 cm⁻¹, matched to the experimental 745 cm⁻¹ band) is dominated by out-of-plane deformation of the carboxylic acid O–H group — 47.9% of the total mode displacement comes from this single coordinate, against only 0.5% pyranose-ring character.</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Because this carboxylic-acid proton is absent in intact peptidoglycan — where the NAM carboxyl group is amide-linked to the peptide stem, not free — this result argues against attributing the bacterial ~730 cm⁻¹ SERS marker band to muramic acid specifically. This is a finding of direct relevance to interpreting any future SERS spectrum obtained from real bacterial cell walls on the sensors described in Parts II–III.</w:t>
            </w:r>
          </w:p>
        </w:tc>
      </w:tr>
    </w:tbl>
    <w:p>
      <w:pPr>
        <w:spacing w:after="80"/>
      </w:pPr>
    </w:p>
    <w:p>
      <w:pPr>
        <w:jc w:val="center"/>
      </w:pPr>
      <w:r>
        <w:drawing>
          <wp:inline xmlns:a="http://schemas.openxmlformats.org/drawingml/2006/main" xmlns:pic="http://schemas.openxmlformats.org/drawingml/2006/picture">
            <wp:extent cx="5486400" cy="3816626"/>
            <wp:docPr id="5" name="Picture 5"/>
            <wp:cNvGraphicFramePr>
              <a:graphicFrameLocks noChangeAspect="1"/>
            </wp:cNvGraphicFramePr>
            <a:graphic>
              <a:graphicData uri="http://schemas.openxmlformats.org/drawingml/2006/picture">
                <pic:pic>
                  <pic:nvPicPr>
                    <pic:cNvPr id="0" name="fig7_region730.png"/>
                    <pic:cNvPicPr/>
                  </pic:nvPicPr>
                  <pic:blipFill>
                    <a:blip r:embed="rId13"/>
                    <a:stretch>
                      <a:fillRect/>
                    </a:stretch>
                  </pic:blipFill>
                  <pic:spPr>
                    <a:xfrm>
                      <a:off x="0" y="0"/>
                      <a:ext cx="5486400" cy="3816626"/>
                    </a:xfrm>
                    <a:prstGeom prst="rect"/>
                  </pic:spPr>
                </pic:pic>
              </a:graphicData>
            </a:graphic>
          </wp:inline>
        </w:drawing>
      </w:r>
    </w:p>
    <w:p>
      <w:pPr>
        <w:spacing w:after="160"/>
        <w:ind w:left="360"/>
      </w:pPr>
      <w:r>
        <w:rPr>
          <w:i/>
          <w:color w:val="555555"/>
          <w:sz w:val="19"/>
        </w:rPr>
        <w:t>Figure I-5. Detail of the 700–780 cm⁻¹ region, experimental vs. calculated, with the carboxylic-acid O–H wag mode indicated.</w:t>
      </w:r>
    </w:p>
    <w:p>
      <w:pPr>
        <w:pStyle w:val="Heading2"/>
      </w:pPr>
      <w:r>
        <w:t>I.7  Photostability and laser-damage threshold</w:t>
      </w:r>
    </w:p>
    <w:tbl>
      <w:tblPr>
        <w:tblStyle w:val="TableGrid"/>
        <w:tblW w:type="auto" w:w="0"/>
        <w:jc w:val="center"/>
        <w:tblLayout w:type="autofit"/>
        <w:tblLook w:firstColumn="1" w:firstRow="1" w:lastColumn="0" w:lastRow="0" w:noHBand="0" w:noVBand="1" w:val="04A0"/>
      </w:tblPr>
      <w:tblGrid>
        <w:gridCol w:w="4946"/>
        <w:gridCol w:w="4946"/>
      </w:tblGrid>
      <w:tr>
        <w:tc>
          <w:tcPr>
            <w:tcW w:type="dxa" w:w="3456"/>
            <w:shd w:val="clear" w:fill="1B3A6B"/>
          </w:tcPr>
          <w:p>
            <w:r/>
            <w:r>
              <w:rPr>
                <w:b/>
                <w:color w:val="FFFFFF"/>
                <w:sz w:val="18"/>
              </w:rPr>
              <w:t>Condition</w:t>
            </w:r>
          </w:p>
        </w:tc>
        <w:tc>
          <w:tcPr>
            <w:tcW w:type="dxa" w:w="6336"/>
            <w:shd w:val="clear" w:fill="1B3A6B"/>
          </w:tcPr>
          <w:p>
            <w:r/>
            <w:r>
              <w:rPr>
                <w:b/>
                <w:color w:val="FFFFFF"/>
                <w:sz w:val="18"/>
              </w:rPr>
              <w:t>Outcome</w:t>
            </w:r>
          </w:p>
        </w:tc>
      </w:tr>
      <w:tr>
        <w:tc>
          <w:tcPr>
            <w:tcW w:type="dxa" w:w="3456"/>
          </w:tcPr>
          <w:p>
            <w:r/>
            <w:r>
              <w:rPr>
                <w:sz w:val="16"/>
              </w:rPr>
              <w:t>≤80% power, ≤25 s</w:t>
            </w:r>
          </w:p>
        </w:tc>
        <w:tc>
          <w:tcPr>
            <w:tcW w:type="dxa" w:w="6336"/>
          </w:tcPr>
          <w:p>
            <w:r/>
            <w:r>
              <w:rPr>
                <w:sz w:val="16"/>
              </w:rPr>
              <w:t>Safe</w:t>
            </w:r>
          </w:p>
        </w:tc>
      </w:tr>
      <w:tr>
        <w:tc>
          <w:tcPr>
            <w:tcW w:type="dxa" w:w="3456"/>
            <w:shd w:val="clear" w:fill="E7ECF4"/>
          </w:tcPr>
          <w:p>
            <w:r/>
            <w:r>
              <w:rPr>
                <w:sz w:val="16"/>
              </w:rPr>
              <w:t>70% power, 30 s</w:t>
            </w:r>
          </w:p>
        </w:tc>
        <w:tc>
          <w:tcPr>
            <w:tcW w:type="dxa" w:w="6336"/>
            <w:shd w:val="clear" w:fill="E7ECF4"/>
          </w:tcPr>
          <w:p>
            <w:r/>
            <w:r>
              <w:rPr>
                <w:sz w:val="16"/>
              </w:rPr>
              <w:t>Safe (r = 0.977 vs. reference)</w:t>
            </w:r>
          </w:p>
        </w:tc>
      </w:tr>
      <w:tr>
        <w:tc>
          <w:tcPr>
            <w:tcW w:type="dxa" w:w="3456"/>
          </w:tcPr>
          <w:p>
            <w:r/>
            <w:r>
              <w:rPr>
                <w:sz w:val="16"/>
              </w:rPr>
              <w:t>70% power, 60 s</w:t>
            </w:r>
          </w:p>
        </w:tc>
        <w:tc>
          <w:tcPr>
            <w:tcW w:type="dxa" w:w="6336"/>
          </w:tcPr>
          <w:p>
            <w:r/>
            <w:r>
              <w:rPr>
                <w:sz w:val="16"/>
              </w:rPr>
              <w:t>Safe (r = 0.970)</w:t>
            </w:r>
          </w:p>
        </w:tc>
      </w:tr>
      <w:tr>
        <w:tc>
          <w:tcPr>
            <w:tcW w:type="dxa" w:w="3456"/>
            <w:shd w:val="clear" w:fill="E7ECF4"/>
          </w:tcPr>
          <w:p>
            <w:r/>
            <w:r>
              <w:rPr>
                <w:sz w:val="16"/>
              </w:rPr>
              <w:t>90% power, 30 s</w:t>
            </w:r>
          </w:p>
        </w:tc>
        <w:tc>
          <w:tcPr>
            <w:tcW w:type="dxa" w:w="6336"/>
            <w:shd w:val="clear" w:fill="E7ECF4"/>
          </w:tcPr>
          <w:p>
            <w:r/>
            <w:r>
              <w:rPr>
                <w:sz w:val="16"/>
              </w:rPr>
              <w:t>Safe (r = 0.948); 930 cm⁻¹ band varies &lt; 2% over 10 consecutive same-spot scans</w:t>
            </w:r>
          </w:p>
        </w:tc>
      </w:tr>
      <w:tr>
        <w:tc>
          <w:tcPr>
            <w:tcW w:type="dxa" w:w="3456"/>
          </w:tcPr>
          <w:p>
            <w:r/>
            <w:r>
              <w:rPr>
                <w:sz w:val="16"/>
              </w:rPr>
              <w:t>90% power, 60 s</w:t>
            </w:r>
          </w:p>
        </w:tc>
        <w:tc>
          <w:tcPr>
            <w:tcW w:type="dxa" w:w="6336"/>
          </w:tcPr>
          <w:p>
            <w:r/>
            <w:r>
              <w:rPr>
                <w:sz w:val="16"/>
              </w:rPr>
              <w:t>SAMPLE DESTROYED — I(930) falls 0.44 → 0.23 over 5 scans, r drops to 0.06–0.31</w:t>
            </w:r>
          </w:p>
        </w:tc>
      </w:tr>
    </w:tbl>
    <w:p>
      <w:pPr>
        <w:spacing w:after="40"/>
      </w:pPr>
    </w:p>
    <w:p>
      <w:pPr>
        <w:jc w:val="center"/>
      </w:pPr>
      <w:r>
        <w:drawing>
          <wp:inline xmlns:a="http://schemas.openxmlformats.org/drawingml/2006/main" xmlns:pic="http://schemas.openxmlformats.org/drawingml/2006/picture">
            <wp:extent cx="5486400" cy="2581425"/>
            <wp:docPr id="6" name="Picture 6"/>
            <wp:cNvGraphicFramePr>
              <a:graphicFrameLocks noChangeAspect="1"/>
            </wp:cNvGraphicFramePr>
            <a:graphic>
              <a:graphicData uri="http://schemas.openxmlformats.org/drawingml/2006/picture">
                <pic:pic>
                  <pic:nvPicPr>
                    <pic:cNvPr id="0" name="fig4_photostability.png"/>
                    <pic:cNvPicPr/>
                  </pic:nvPicPr>
                  <pic:blipFill>
                    <a:blip r:embed="rId14"/>
                    <a:stretch>
                      <a:fillRect/>
                    </a:stretch>
                  </pic:blipFill>
                  <pic:spPr>
                    <a:xfrm>
                      <a:off x="0" y="0"/>
                      <a:ext cx="5486400" cy="2581425"/>
                    </a:xfrm>
                    <a:prstGeom prst="rect"/>
                  </pic:spPr>
                </pic:pic>
              </a:graphicData>
            </a:graphic>
          </wp:inline>
        </w:drawing>
      </w:r>
    </w:p>
    <w:p>
      <w:pPr>
        <w:spacing w:after="160"/>
        <w:ind w:left="360"/>
      </w:pPr>
      <w:r>
        <w:rPr>
          <w:i/>
          <w:color w:val="555555"/>
          <w:sz w:val="19"/>
        </w:rPr>
        <w:t>Figure I-6. Photostability series (90%/30 s, stable) and damage series (90%/60 s, decaying), with the 930 cm⁻¹ decay curve.</w:t>
      </w:r>
    </w:p>
    <w:tbl>
      <w:tblPr>
        <w:tblStyle w:val="TableGrid"/>
        <w:tblW w:type="auto" w:w="0"/>
        <w:tblLook w:firstColumn="1" w:firstRow="1" w:lastColumn="0" w:lastRow="0" w:noHBand="0" w:noVBand="1" w:val="04A0"/>
      </w:tblPr>
      <w:tblGrid>
        <w:gridCol w:w="9893"/>
      </w:tblGrid>
      <w:tr>
        <w:tc>
          <w:tcPr>
            <w:tcW w:type="dxa" w:w="9893"/>
            <w:shd w:val="clear" w:fill="E3F2E3"/>
          </w:tcPr>
          <w:p>
            <w:r/>
            <w:r>
              <w:rPr>
                <w:b/>
                <w:color w:val="1B5E20"/>
                <w:sz w:val="19"/>
              </w:rPr>
              <w:t>RESULT — This establishes a clear working envelope for future measurements on NAM-containing samples (including on the SERS substrates in Parts II–III): stay at or below 80% power for extended integration, or below 60 s integration at 90% power, to avoid sample degradation confounding the measurement.</w:t>
            </w:r>
          </w:p>
        </w:tc>
      </w:tr>
    </w:tbl>
    <w:p>
      <w:pPr>
        <w:spacing w:after="80"/>
      </w:pPr>
    </w:p>
    <w:p>
      <w:r>
        <w:br w:type="page"/>
      </w:r>
    </w:p>
    <w:p>
      <w:pPr>
        <w:pStyle w:val="Heading1"/>
      </w:pPr>
      <w:r>
        <w:t>Part II — Sensor 1: Early Ag/Si SERS Substrate</w:t>
      </w:r>
    </w:p>
    <w:p>
      <w:pPr>
        <w:spacing w:after="80"/>
      </w:pPr>
      <w:r>
        <w:rPr>
          <w:b w:val="0"/>
          <w:i w:val="0"/>
        </w:rPr>
        <w:t>The first-generation sensor was a silicon substrate with silver nanoparticles formed by reduction of AgNO₃ on the surface (referred to here as the Ag/Si substrate). The exact etch time and reagent concentrations used for this particular substrate were not fully captured in the session's Raman metadata and are not restated here; a candidate best condition of 10% HF / 6 minutes etch is referenced in the project's fabrication notes for this period.</w:t>
      </w:r>
    </w:p>
    <w:p>
      <w:pPr>
        <w:pStyle w:val="Heading2"/>
      </w:pPr>
      <w:r>
        <w:t>II.1  Blank substrate characterisation</w:t>
      </w:r>
    </w:p>
    <w:p>
      <w:pPr>
        <w:spacing w:after="60"/>
      </w:pPr>
      <w:r>
        <w:rPr>
          <w:b w:val="0"/>
          <w:i w:val="0"/>
        </w:rPr>
        <w:t>Five blank Ag/Si substrate spectra were recorded before analyte deposition, showing a reproducible peak near 520 cm⁻¹ (crystalline silicon phonon) and a flat, low baseline.</w:t>
      </w:r>
    </w:p>
    <w:p>
      <w:pPr>
        <w:jc w:val="center"/>
      </w:pPr>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jul04_blank_overlay.png"/>
                    <pic:cNvPicPr/>
                  </pic:nvPicPr>
                  <pic:blipFill>
                    <a:blip r:embed="rId15"/>
                    <a:stretch>
                      <a:fillRect/>
                    </a:stretch>
                  </pic:blipFill>
                  <pic:spPr>
                    <a:xfrm>
                      <a:off x="0" y="0"/>
                      <a:ext cx="5486400" cy="3048000"/>
                    </a:xfrm>
                    <a:prstGeom prst="rect"/>
                  </pic:spPr>
                </pic:pic>
              </a:graphicData>
            </a:graphic>
          </wp:inline>
        </w:drawing>
      </w:r>
    </w:p>
    <w:p>
      <w:pPr>
        <w:spacing w:after="160"/>
        <w:ind w:left="360"/>
      </w:pPr>
      <w:r>
        <w:rPr>
          <w:i/>
          <w:color w:val="555555"/>
          <w:sz w:val="19"/>
        </w:rPr>
        <w:t>Figure II-1. Sensor 1 — five blank-substrate spectra overlaid.</w:t>
      </w:r>
    </w:p>
    <w:p>
      <w:pPr>
        <w:pStyle w:val="Heading2"/>
      </w:pPr>
      <w:r>
        <w:t>II.2  R6G validation and concentration response</w:t>
      </w:r>
    </w:p>
    <w:p>
      <w:pPr>
        <w:spacing w:after="60"/>
      </w:pPr>
      <w:r>
        <w:rPr>
          <w:b w:val="0"/>
          <w:i w:val="0"/>
        </w:rPr>
        <w:t>R6G was measured across a six-point concentration series from 1 nM to 1 mM (2–5 replicates per point). All eight standard R6G bands (612, 774, 1183, 1310, 1360, 1509, 1575, 1650 cm⁻¹) were observed.</w:t>
      </w:r>
    </w:p>
    <w:p>
      <w:pPr>
        <w:jc w:val="center"/>
      </w:pPr>
      <w:r>
        <w:drawing>
          <wp:inline xmlns:a="http://schemas.openxmlformats.org/drawingml/2006/main" xmlns:pic="http://schemas.openxmlformats.org/drawingml/2006/picture">
            <wp:extent cx="5486400" cy="3657600"/>
            <wp:docPr id="8" name="Picture 8"/>
            <wp:cNvGraphicFramePr>
              <a:graphicFrameLocks noChangeAspect="1"/>
            </wp:cNvGraphicFramePr>
            <a:graphic>
              <a:graphicData uri="http://schemas.openxmlformats.org/drawingml/2006/picture">
                <pic:pic>
                  <pic:nvPicPr>
                    <pic:cNvPr id="0" name="jul04_r6g_conc_series.png"/>
                    <pic:cNvPicPr/>
                  </pic:nvPicPr>
                  <pic:blipFill>
                    <a:blip r:embed="rId16"/>
                    <a:stretch>
                      <a:fillRect/>
                    </a:stretch>
                  </pic:blipFill>
                  <pic:spPr>
                    <a:xfrm>
                      <a:off x="0" y="0"/>
                      <a:ext cx="5486400" cy="3657600"/>
                    </a:xfrm>
                    <a:prstGeom prst="rect"/>
                  </pic:spPr>
                </pic:pic>
              </a:graphicData>
            </a:graphic>
          </wp:inline>
        </w:drawing>
      </w:r>
    </w:p>
    <w:p>
      <w:pPr>
        <w:spacing w:after="160"/>
        <w:ind w:left="360"/>
      </w:pPr>
      <w:r>
        <w:rPr>
          <w:i/>
          <w:color w:val="555555"/>
          <w:sz w:val="19"/>
        </w:rPr>
        <w:t>Figure II-2. Sensor 1 — average R6G spectrum at each of the six concentrations tested (offset for clarity).</w:t>
      </w:r>
    </w:p>
    <w:p>
      <w:pPr>
        <w:jc w:val="center"/>
      </w:pPr>
      <w:r>
        <w:drawing>
          <wp:inline xmlns:a="http://schemas.openxmlformats.org/drawingml/2006/main" xmlns:pic="http://schemas.openxmlformats.org/drawingml/2006/picture">
            <wp:extent cx="5486400" cy="3550024"/>
            <wp:docPr id="9" name="Picture 9"/>
            <wp:cNvGraphicFramePr>
              <a:graphicFrameLocks noChangeAspect="1"/>
            </wp:cNvGraphicFramePr>
            <a:graphic>
              <a:graphicData uri="http://schemas.openxmlformats.org/drawingml/2006/picture">
                <pic:pic>
                  <pic:nvPicPr>
                    <pic:cNvPr id="0" name="jul04_r6g_conc_response.png"/>
                    <pic:cNvPicPr/>
                  </pic:nvPicPr>
                  <pic:blipFill>
                    <a:blip r:embed="rId17"/>
                    <a:stretch>
                      <a:fillRect/>
                    </a:stretch>
                  </pic:blipFill>
                  <pic:spPr>
                    <a:xfrm>
                      <a:off x="0" y="0"/>
                      <a:ext cx="5486400" cy="3550024"/>
                    </a:xfrm>
                    <a:prstGeom prst="rect"/>
                  </pic:spPr>
                </pic:pic>
              </a:graphicData>
            </a:graphic>
          </wp:inline>
        </w:drawing>
      </w:r>
    </w:p>
    <w:p>
      <w:pPr>
        <w:spacing w:after="160"/>
        <w:ind w:left="360"/>
      </w:pPr>
      <w:r>
        <w:rPr>
          <w:i/>
          <w:color w:val="555555"/>
          <w:sz w:val="19"/>
        </w:rPr>
        <w:t>Figure II-3. Sensor 1 — baseline-corrected intensity of all eight R6G marker bands vs. concentration (log scale). Response rises from 1 nM and peaks at 10 µM, then falls at 1 mM.</w:t>
      </w:r>
    </w:p>
    <w:p>
      <w:pPr>
        <w:spacing w:after="80"/>
      </w:pPr>
      <w:r>
        <w:rPr>
          <w:b w:val="0"/>
          <w:i w:val="0"/>
        </w:rPr>
        <w:t>The response was not monotonic across the full range: intensity increased from 1 nM to a maximum at 10 µM, then decreased at 1 mM. Candidate explanations include multilayer/aggregate formation, saturation of active surface sites, molecules displaced from the strongest electromagnetic hot spots at high loading, and self-absorption/fluorescence quenching effects. The usefully monotonic range on this substrate was therefore approximately 1 nM – 10 µM. R6G was experimentally observed down to 1 nM, though this has not been established as a formal, statistically-derived limit of detection.</w:t>
      </w:r>
    </w:p>
    <w:p>
      <w:pPr>
        <w:pStyle w:val="Heading2"/>
      </w:pPr>
      <w:r>
        <w:t>II.3  Acquisition-parameter sweep</w:t>
      </w:r>
    </w:p>
    <w:p>
      <w:pPr>
        <w:spacing w:after="60"/>
      </w:pPr>
      <w:r>
        <w:rPr>
          <w:b w:val="0"/>
          <w:i w:val="0"/>
        </w:rPr>
        <w:t>An additional 39 sequential spectra (the "rawr6g" set) were acquired while varying integration time and accumulation number, to probe acquisition-parameter effects independently of concentration. Signal changed in discrete steps consistent with parameter changes; this set was treated purely as an instrument-optimisation series rather than combined with the concentration data above.</w:t>
      </w:r>
    </w:p>
    <w:p>
      <w:pPr>
        <w:jc w:val="center"/>
      </w:pPr>
      <w:r>
        <w:drawing>
          <wp:inline xmlns:a="http://schemas.openxmlformats.org/drawingml/2006/main" xmlns:pic="http://schemas.openxmlformats.org/drawingml/2006/picture">
            <wp:extent cx="5486400" cy="2743200"/>
            <wp:docPr id="10" name="Picture 10"/>
            <wp:cNvGraphicFramePr>
              <a:graphicFrameLocks noChangeAspect="1"/>
            </wp:cNvGraphicFramePr>
            <a:graphic>
              <a:graphicData uri="http://schemas.openxmlformats.org/drawingml/2006/picture">
                <pic:pic>
                  <pic:nvPicPr>
                    <pic:cNvPr id="0" name="jul04_rawr6g_sweep.png"/>
                    <pic:cNvPicPr/>
                  </pic:nvPicPr>
                  <pic:blipFill>
                    <a:blip r:embed="rId18"/>
                    <a:stretch>
                      <a:fillRect/>
                    </a:stretch>
                  </pic:blipFill>
                  <pic:spPr>
                    <a:xfrm>
                      <a:off x="0" y="0"/>
                      <a:ext cx="5486400" cy="2743200"/>
                    </a:xfrm>
                    <a:prstGeom prst="rect"/>
                  </pic:spPr>
                </pic:pic>
              </a:graphicData>
            </a:graphic>
          </wp:inline>
        </w:drawing>
      </w:r>
    </w:p>
    <w:p>
      <w:pPr>
        <w:spacing w:after="160"/>
        <w:ind w:left="360"/>
      </w:pPr>
      <w:r>
        <w:rPr>
          <w:i/>
          <w:color w:val="555555"/>
          <w:sz w:val="19"/>
        </w:rPr>
        <w:t>Figure II-4. Sensor 1 — maximum fingerprint-region intensity across 39 sequential acquisitions with varying integration/accumulation settings.</w:t>
      </w:r>
    </w:p>
    <w:p>
      <w:r>
        <w:br w:type="page"/>
      </w:r>
    </w:p>
    <w:p>
      <w:pPr>
        <w:pStyle w:val="Heading2"/>
      </w:pPr>
      <w:r>
        <w:t>II.4  NAM detection attempt on Sensor 1</w:t>
      </w:r>
    </w:p>
    <w:p>
      <w:pPr>
        <w:spacing w:after="60"/>
      </w:pPr>
      <w:r>
        <w:rPr>
          <w:b w:val="0"/>
          <w:i w:val="0"/>
        </w:rPr>
        <w:t>Seven NAM spectra were acquired on this substrate: 0.1 mg/mL (0.341 mM, n = 3) and 1 mg/mL (3.410 mM, n = 4), all under identical acquisition settings (10 s × 4 accumulations), directly comparable to each other and to the five blank-substrate spectra.</w:t>
      </w:r>
    </w:p>
    <w:p>
      <w:pPr>
        <w:jc w:val="center"/>
      </w:pPr>
      <w:r>
        <w:drawing>
          <wp:inline xmlns:a="http://schemas.openxmlformats.org/drawingml/2006/main" xmlns:pic="http://schemas.openxmlformats.org/drawingml/2006/picture">
            <wp:extent cx="5486400" cy="3352800"/>
            <wp:docPr id="11" name="Picture 11"/>
            <wp:cNvGraphicFramePr>
              <a:graphicFrameLocks noChangeAspect="1"/>
            </wp:cNvGraphicFramePr>
            <a:graphic>
              <a:graphicData uri="http://schemas.openxmlformats.org/drawingml/2006/picture">
                <pic:pic>
                  <pic:nvPicPr>
                    <pic:cNvPr id="0" name="jul04_nam_overlay.png"/>
                    <pic:cNvPicPr/>
                  </pic:nvPicPr>
                  <pic:blipFill>
                    <a:blip r:embed="rId19"/>
                    <a:stretch>
                      <a:fillRect/>
                    </a:stretch>
                  </pic:blipFill>
                  <pic:spPr>
                    <a:xfrm>
                      <a:off x="0" y="0"/>
                      <a:ext cx="5486400" cy="3352800"/>
                    </a:xfrm>
                    <a:prstGeom prst="rect"/>
                  </pic:spPr>
                </pic:pic>
              </a:graphicData>
            </a:graphic>
          </wp:inline>
        </w:drawing>
      </w:r>
    </w:p>
    <w:p>
      <w:pPr>
        <w:spacing w:after="160"/>
        <w:ind w:left="360"/>
      </w:pPr>
      <w:r>
        <w:rPr>
          <w:i/>
          <w:color w:val="555555"/>
          <w:sz w:val="19"/>
        </w:rPr>
        <w:t>Figure II-5. Sensor 1 — all seven NAM replicate spectra with candidate positions marked.</w:t>
      </w:r>
    </w:p>
    <w:p>
      <w:pPr>
        <w:jc w:val="center"/>
      </w:pPr>
      <w:r>
        <w:drawing>
          <wp:inline xmlns:a="http://schemas.openxmlformats.org/drawingml/2006/main" xmlns:pic="http://schemas.openxmlformats.org/drawingml/2006/picture">
            <wp:extent cx="5486400" cy="3352800"/>
            <wp:docPr id="12" name="Picture 12"/>
            <wp:cNvGraphicFramePr>
              <a:graphicFrameLocks noChangeAspect="1"/>
            </wp:cNvGraphicFramePr>
            <a:graphic>
              <a:graphicData uri="http://schemas.openxmlformats.org/drawingml/2006/picture">
                <pic:pic>
                  <pic:nvPicPr>
                    <pic:cNvPr id="0" name="jul04_nam_vs_blank.png"/>
                    <pic:cNvPicPr/>
                  </pic:nvPicPr>
                  <pic:blipFill>
                    <a:blip r:embed="rId20"/>
                    <a:stretch>
                      <a:fillRect/>
                    </a:stretch>
                  </pic:blipFill>
                  <pic:spPr>
                    <a:xfrm>
                      <a:off x="0" y="0"/>
                      <a:ext cx="5486400" cy="3352800"/>
                    </a:xfrm>
                    <a:prstGeom prst="rect"/>
                  </pic:spPr>
                </pic:pic>
              </a:graphicData>
            </a:graphic>
          </wp:inline>
        </w:drawing>
      </w:r>
    </w:p>
    <w:p>
      <w:pPr>
        <w:spacing w:after="160"/>
        <w:ind w:left="360"/>
      </w:pPr>
      <w:r>
        <w:rPr>
          <w:i/>
          <w:color w:val="555555"/>
          <w:sz w:val="19"/>
        </w:rPr>
        <w:t>Figure II-6. Sensor 1 — average NAM spectra (both concentrations) vs. average blank substrate.</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1872"/>
            <w:shd w:val="clear" w:fill="1B3A6B"/>
          </w:tcPr>
          <w:p>
            <w:r/>
            <w:r>
              <w:rPr>
                <w:b/>
                <w:color w:val="FFFFFF"/>
                <w:sz w:val="18"/>
              </w:rPr>
              <w:t>Candidate feature</w:t>
            </w:r>
          </w:p>
        </w:tc>
        <w:tc>
          <w:tcPr>
            <w:tcW w:type="dxa" w:w="4464"/>
            <w:shd w:val="clear" w:fill="1B3A6B"/>
          </w:tcPr>
          <w:p>
            <w:r/>
            <w:r>
              <w:rPr>
                <w:b/>
                <w:color w:val="FFFFFF"/>
                <w:sz w:val="18"/>
              </w:rPr>
              <w:t>Behaviour</w:t>
            </w:r>
          </w:p>
        </w:tc>
        <w:tc>
          <w:tcPr>
            <w:tcW w:type="dxa" w:w="3744"/>
            <w:shd w:val="clear" w:fill="1B3A6B"/>
          </w:tcPr>
          <w:p>
            <w:r/>
            <w:r>
              <w:rPr>
                <w:b/>
                <w:color w:val="FFFFFF"/>
                <w:sz w:val="18"/>
              </w:rPr>
              <w:t>Assessment</w:t>
            </w:r>
          </w:p>
        </w:tc>
      </w:tr>
      <w:tr>
        <w:tc>
          <w:tcPr>
            <w:tcW w:type="dxa" w:w="1872"/>
          </w:tcPr>
          <w:p>
            <w:r/>
            <w:r>
              <w:rPr>
                <w:sz w:val="15"/>
              </w:rPr>
              <w:t>~243 cm⁻¹</w:t>
            </w:r>
          </w:p>
        </w:tc>
        <w:tc>
          <w:tcPr>
            <w:tcW w:type="dxa" w:w="4464"/>
          </w:tcPr>
          <w:p>
            <w:r/>
            <w:r>
              <w:rPr>
                <w:sz w:val="15"/>
              </w:rPr>
              <w:t>Present in 7/7 NAM replicates, absent from blank; SNR 5.8–39</w:t>
            </w:r>
          </w:p>
        </w:tc>
        <w:tc>
          <w:tcPr>
            <w:tcW w:type="dxa" w:w="3744"/>
          </w:tcPr>
          <w:p>
            <w:r/>
            <w:r>
              <w:rPr>
                <w:sz w:val="15"/>
              </w:rPr>
              <w:t>Only reproducible, high-SNR NAM-associated feature found on this substrate. Tentative — no confirmed NAM reference match available at the time of this session (see II.5)</w:t>
            </w:r>
          </w:p>
        </w:tc>
      </w:tr>
      <w:tr>
        <w:tc>
          <w:tcPr>
            <w:tcW w:type="dxa" w:w="1872"/>
            <w:shd w:val="clear" w:fill="E7ECF4"/>
          </w:tcPr>
          <w:p>
            <w:r/>
            <w:r>
              <w:rPr>
                <w:sz w:val="15"/>
              </w:rPr>
              <w:t>~928 cm⁻¹</w:t>
            </w:r>
          </w:p>
        </w:tc>
        <w:tc>
          <w:tcPr>
            <w:tcW w:type="dxa" w:w="4464"/>
            <w:shd w:val="clear" w:fill="E7ECF4"/>
          </w:tcPr>
          <w:p>
            <w:r/>
            <w:r>
              <w:rPr>
                <w:sz w:val="15"/>
              </w:rPr>
              <w:t>Present above blank in most replicates, SNR ≈ 1.1–3.0</w:t>
            </w:r>
          </w:p>
        </w:tc>
        <w:tc>
          <w:tcPr>
            <w:tcW w:type="dxa" w:w="3744"/>
            <w:shd w:val="clear" w:fill="E7ECF4"/>
          </w:tcPr>
          <w:p>
            <w:r/>
            <w:r>
              <w:rPr>
                <w:sz w:val="15"/>
              </w:rPr>
              <w:t>Weak, at the noise threshold — tentative candidate only, not confirmed</w:t>
            </w:r>
          </w:p>
        </w:tc>
      </w:tr>
      <w:tr>
        <w:tc>
          <w:tcPr>
            <w:tcW w:type="dxa" w:w="1872"/>
          </w:tcPr>
          <w:p>
            <w:r/>
            <w:r>
              <w:rPr>
                <w:sz w:val="15"/>
              </w:rPr>
              <w:t>~1504 cm⁻¹</w:t>
            </w:r>
          </w:p>
        </w:tc>
        <w:tc>
          <w:tcPr>
            <w:tcW w:type="dxa" w:w="4464"/>
          </w:tcPr>
          <w:p>
            <w:r/>
            <w:r>
              <w:rPr>
                <w:sz w:val="15"/>
              </w:rPr>
              <w:t>Present above blank in most replicates, SNR ≈ 1.1–3.0</w:t>
            </w:r>
          </w:p>
        </w:tc>
        <w:tc>
          <w:tcPr>
            <w:tcW w:type="dxa" w:w="3744"/>
          </w:tcPr>
          <w:p>
            <w:r/>
            <w:r>
              <w:rPr>
                <w:sz w:val="15"/>
              </w:rPr>
              <w:t>Weak, at the noise threshold — tentative candidate only, not confirmed</w:t>
            </w:r>
          </w:p>
        </w:tc>
      </w:tr>
      <w:tr>
        <w:tc>
          <w:tcPr>
            <w:tcW w:type="dxa" w:w="1872"/>
            <w:shd w:val="clear" w:fill="E7ECF4"/>
          </w:tcPr>
          <w:p>
            <w:r/>
            <w:r>
              <w:rPr>
                <w:sz w:val="15"/>
              </w:rPr>
              <w:t>~520 cm⁻¹</w:t>
            </w:r>
          </w:p>
        </w:tc>
        <w:tc>
          <w:tcPr>
            <w:tcW w:type="dxa" w:w="4464"/>
            <w:shd w:val="clear" w:fill="E7ECF4"/>
          </w:tcPr>
          <w:p>
            <w:r/>
            <w:r>
              <w:rPr>
                <w:sz w:val="15"/>
              </w:rPr>
              <w:t>Present in NAM spectra and equally in the blank</w:t>
            </w:r>
          </w:p>
        </w:tc>
        <w:tc>
          <w:tcPr>
            <w:tcW w:type="dxa" w:w="3744"/>
            <w:shd w:val="clear" w:fill="E7ECF4"/>
          </w:tcPr>
          <w:p>
            <w:r/>
            <w:r>
              <w:rPr>
                <w:sz w:val="15"/>
              </w:rPr>
              <w:t>Silicon substrate phonon, not NAM-related</w:t>
            </w:r>
          </w:p>
        </w:tc>
      </w:tr>
      <w:tr>
        <w:tc>
          <w:tcPr>
            <w:tcW w:type="dxa" w:w="1872"/>
          </w:tcPr>
          <w:p>
            <w:r/>
            <w:r>
              <w:rPr>
                <w:sz w:val="15"/>
              </w:rPr>
              <w:t>~600 cm⁻¹</w:t>
            </w:r>
          </w:p>
        </w:tc>
        <w:tc>
          <w:tcPr>
            <w:tcW w:type="dxa" w:w="4464"/>
          </w:tcPr>
          <w:p>
            <w:r/>
            <w:r>
              <w:rPr>
                <w:sz w:val="15"/>
              </w:rPr>
              <w:t>Sharp, narrow, strong in the 0.1 mg/mL batch (SNR 19–23) but weak/absent in the 1 mg/mL batch (SNR 1.0–2.6) despite both being NAM on the same substrate type</w:t>
            </w:r>
          </w:p>
        </w:tc>
        <w:tc>
          <w:tcPr>
            <w:tcW w:type="dxa" w:w="3744"/>
          </w:tcPr>
          <w:p>
            <w:r/>
            <w:r>
              <w:rPr>
                <w:sz w:val="15"/>
              </w:rPr>
              <w:t>Inconsistent between nominally identical sample types and single-pixel narrow — classified as a detector artefact, excluded from the peak list</w:t>
            </w:r>
          </w:p>
        </w:tc>
      </w:tr>
    </w:tbl>
    <w:p>
      <w:pPr>
        <w:spacing w:after="40"/>
      </w:pPr>
    </w:p>
    <w:p>
      <w:pPr>
        <w:jc w:val="center"/>
      </w:pPr>
      <w:r>
        <w:drawing>
          <wp:inline xmlns:a="http://schemas.openxmlformats.org/drawingml/2006/main" xmlns:pic="http://schemas.openxmlformats.org/drawingml/2006/picture">
            <wp:extent cx="4206240" cy="3505200"/>
            <wp:docPr id="13" name="Picture 13"/>
            <wp:cNvGraphicFramePr>
              <a:graphicFrameLocks noChangeAspect="1"/>
            </wp:cNvGraphicFramePr>
            <a:graphic>
              <a:graphicData uri="http://schemas.openxmlformats.org/drawingml/2006/picture">
                <pic:pic>
                  <pic:nvPicPr>
                    <pic:cNvPr id="0" name="jul04_nam_243_bar.png"/>
                    <pic:cNvPicPr/>
                  </pic:nvPicPr>
                  <pic:blipFill>
                    <a:blip r:embed="rId21"/>
                    <a:stretch>
                      <a:fillRect/>
                    </a:stretch>
                  </pic:blipFill>
                  <pic:spPr>
                    <a:xfrm>
                      <a:off x="0" y="0"/>
                      <a:ext cx="4206240" cy="3505200"/>
                    </a:xfrm>
                    <a:prstGeom prst="rect"/>
                  </pic:spPr>
                </pic:pic>
              </a:graphicData>
            </a:graphic>
          </wp:inline>
        </w:drawing>
      </w:r>
    </w:p>
    <w:p>
      <w:pPr>
        <w:spacing w:after="160"/>
        <w:ind w:left="360"/>
      </w:pPr>
      <w:r>
        <w:rPr>
          <w:i/>
          <w:color w:val="555555"/>
          <w:sz w:val="19"/>
        </w:rPr>
        <w:t>Figure II-7. Sensor 1 — 243 cm⁻¹ candidate feature intensity by NAM concentration (mean ± SD; n = 3 and n = 4). An unpaired t-test gives t = 0.58, p = 0.60 — not statistically distinguishable given the sample size and replicate-to-replicate scatter typical of SERS hot-spot heterogeneity.</w:t>
      </w:r>
    </w:p>
    <w:p>
      <w:pPr>
        <w:pStyle w:val="Heading2"/>
      </w:pPr>
      <w:r>
        <w:t>II.5  Cross-check against the Part I reference spectrum</w:t>
      </w:r>
    </w:p>
    <w:p>
      <w:pPr>
        <w:spacing w:after="60"/>
      </w:pPr>
      <w:r>
        <w:rPr>
          <w:b w:val="0"/>
          <w:i w:val="0"/>
        </w:rPr>
        <w:t>The Part I reference spectrum and DFT assignment (established from a later, independent session) covers the 400–1800 cm⁻¹ range only. The 243 cm⁻¹ candidate feature from Sensor 1 falls below this range and cannot be confirmed or excluded against the validated reference spectrum. The 928 and 1504 cm⁻¹ Sensor 1 candidates lie close to the confirmed reference bands at 930 cm⁻¹ (ring breathing, the strongest band in the reference spectrum) and — less closely — the reference set's 1451/1544 cm⁻¹ bands, but were only ever at SNR ≈ 1–3 on Sensor 1 and were not accepted as detections under this project's SNR ≥ 3, reproducibility-across-spots criteria.</w:t>
      </w:r>
    </w:p>
    <w:tbl>
      <w:tblPr>
        <w:tblStyle w:val="TableGrid"/>
        <w:tblW w:type="auto" w:w="0"/>
        <w:tblLook w:firstColumn="1" w:firstRow="1" w:lastColumn="0" w:lastRow="0" w:noHBand="0" w:noVBand="1" w:val="04A0"/>
      </w:tblPr>
      <w:tblGrid>
        <w:gridCol w:w="9893"/>
      </w:tblGrid>
      <w:tr>
        <w:tc>
          <w:tcPr>
            <w:tcW w:type="dxa" w:w="9893"/>
            <w:shd w:val="clear" w:fill="FCEFDD"/>
          </w:tcPr>
          <w:p>
            <w:r/>
            <w:r>
              <w:rPr>
                <w:b/>
                <w:color w:val="B56A0A"/>
                <w:sz w:val="19"/>
              </w:rPr>
              <w:t>NOT CONFIRMED — The ~243 cm⁻¹ feature remains an open question: it is reproducible and well above the noise floor on this substrate, but (a) it lies outside the range covered by the validated isolated-NAM reference spectrum, (b) no independent off-substrate NAM measurement in the 100–400 cm⁻¹ region exists to confirm it is intrinsic to NAM rather than a Ag-surface / charge-transfer mode, and (c) it was not reproduced or re-examined on the second-generation substrate (Part III), which used a 400 cm⁻¹ lower measurement bound. Extending future SERS acquisitions down to ~100 cm⁻¹ would settle this directly.</w:t>
            </w:r>
          </w:p>
        </w:tc>
      </w:tr>
    </w:tbl>
    <w:p>
      <w:pPr>
        <w:spacing w:after="80"/>
      </w:pPr>
    </w:p>
    <w:p>
      <w:r>
        <w:br w:type="page"/>
      </w:r>
    </w:p>
    <w:p>
      <w:pPr>
        <w:pStyle w:val="Heading1"/>
      </w:pPr>
      <w:r>
        <w:t>Part III — Sensor 2: Ag/Black-Silicon MACE Substrates</w:t>
      </w:r>
    </w:p>
    <w:p>
      <w:pPr>
        <w:spacing w:after="80"/>
      </w:pPr>
      <w:r>
        <w:rPr>
          <w:b w:val="0"/>
          <w:i w:val="0"/>
        </w:rPr>
        <w:t>The second-generation sensor used silver-decorated black-silicon substrates fabricated by one-step metal-assisted chemical etching (MACE), with a defined, documented reagent recipe. This part summarises the etch-time study, NAM detection attempts, the silicon instrument-reference dataset, and an LTA detection attempt carried out on this substrate generation.</w:t>
      </w:r>
    </w:p>
    <w:p>
      <w:pPr>
        <w:pStyle w:val="Heading2"/>
      </w:pPr>
      <w:r>
        <w:t>III.1  Fabrication</w:t>
      </w:r>
    </w:p>
    <w:p>
      <w:pPr>
        <w:spacing w:after="80"/>
      </w:pPr>
      <w:r>
        <w:rPr>
          <w:b w:val="0"/>
          <w:i w:val="0"/>
        </w:rPr>
        <w:t>Silicon pieces were cleaned (acetone, 2-propanol, deionised water; 5 min ultrasonic each) and native oxide removed (≈10% HF, 30–60 s) immediately before etching. Substrates were fabricated by one-step MACE: 0.170 g AgNO₃ dissolved in deionised water, 8.6 mL concentrated HF added, made up to 50 mL (≈20 mM AgNO₃, ≈4.8 M HF). Three etch times were investigated at room temperature: 2, 5 and 10 minutes.</w:t>
      </w:r>
    </w:p>
    <w:p>
      <w:pPr>
        <w:pStyle w:val="Heading2"/>
      </w:pPr>
      <w:r>
        <w:t>III.2  R6G validation across etch times</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1584"/>
            <w:shd w:val="clear" w:fill="1B3A6B"/>
          </w:tcPr>
          <w:p>
            <w:r/>
            <w:r>
              <w:rPr>
                <w:b/>
                <w:color w:val="FFFFFF"/>
                <w:sz w:val="18"/>
              </w:rPr>
              <w:t>Etch time</w:t>
            </w:r>
          </w:p>
        </w:tc>
        <w:tc>
          <w:tcPr>
            <w:tcW w:type="dxa" w:w="3456"/>
            <w:shd w:val="clear" w:fill="1B3A6B"/>
          </w:tcPr>
          <w:p>
            <w:r/>
            <w:r>
              <w:rPr>
                <w:b/>
                <w:color w:val="FFFFFF"/>
                <w:sz w:val="18"/>
              </w:rPr>
              <w:t>Peak height at 1509 cm⁻¹ (counts)</w:t>
            </w:r>
          </w:p>
        </w:tc>
        <w:tc>
          <w:tcPr>
            <w:tcW w:type="dxa" w:w="1872"/>
            <w:shd w:val="clear" w:fill="1B3A6B"/>
          </w:tcPr>
          <w:p>
            <w:r/>
            <w:r>
              <w:rPr>
                <w:b/>
                <w:color w:val="FFFFFF"/>
                <w:sz w:val="18"/>
              </w:rPr>
              <w:t>SNR</w:t>
            </w:r>
          </w:p>
        </w:tc>
        <w:tc>
          <w:tcPr>
            <w:tcW w:type="dxa" w:w="3024"/>
            <w:shd w:val="clear" w:fill="1B3A6B"/>
          </w:tcPr>
          <w:p>
            <w:r/>
            <w:r>
              <w:rPr>
                <w:b/>
                <w:color w:val="FFFFFF"/>
                <w:sz w:val="18"/>
              </w:rPr>
              <w:t>Relative to 5-min substrate</w:t>
            </w:r>
          </w:p>
        </w:tc>
      </w:tr>
      <w:tr>
        <w:tc>
          <w:tcPr>
            <w:tcW w:type="dxa" w:w="1584"/>
          </w:tcPr>
          <w:p>
            <w:r/>
            <w:r>
              <w:rPr>
                <w:sz w:val="16"/>
              </w:rPr>
              <w:t>2 min</w:t>
            </w:r>
          </w:p>
        </w:tc>
        <w:tc>
          <w:tcPr>
            <w:tcW w:type="dxa" w:w="3456"/>
          </w:tcPr>
          <w:p>
            <w:r/>
            <w:r>
              <w:rPr>
                <w:sz w:val="16"/>
              </w:rPr>
              <w:t>21,118</w:t>
            </w:r>
          </w:p>
        </w:tc>
        <w:tc>
          <w:tcPr>
            <w:tcW w:type="dxa" w:w="1872"/>
          </w:tcPr>
          <w:p>
            <w:r/>
            <w:r>
              <w:rPr>
                <w:sz w:val="16"/>
              </w:rPr>
              <w:t>450</w:t>
            </w:r>
          </w:p>
        </w:tc>
        <w:tc>
          <w:tcPr>
            <w:tcW w:type="dxa" w:w="3024"/>
          </w:tcPr>
          <w:p>
            <w:r/>
            <w:r>
              <w:rPr>
                <w:sz w:val="16"/>
              </w:rPr>
              <w:t>≈48×</w:t>
            </w:r>
          </w:p>
        </w:tc>
      </w:tr>
      <w:tr>
        <w:tc>
          <w:tcPr>
            <w:tcW w:type="dxa" w:w="1584"/>
            <w:shd w:val="clear" w:fill="E7ECF4"/>
          </w:tcPr>
          <w:p>
            <w:r/>
            <w:r>
              <w:rPr>
                <w:sz w:val="16"/>
              </w:rPr>
              <w:t>5 min</w:t>
            </w:r>
          </w:p>
        </w:tc>
        <w:tc>
          <w:tcPr>
            <w:tcW w:type="dxa" w:w="3456"/>
            <w:shd w:val="clear" w:fill="E7ECF4"/>
          </w:tcPr>
          <w:p>
            <w:r/>
            <w:r>
              <w:rPr>
                <w:sz w:val="16"/>
              </w:rPr>
              <w:t>436</w:t>
            </w:r>
          </w:p>
        </w:tc>
        <w:tc>
          <w:tcPr>
            <w:tcW w:type="dxa" w:w="1872"/>
            <w:shd w:val="clear" w:fill="E7ECF4"/>
          </w:tcPr>
          <w:p>
            <w:r/>
            <w:r>
              <w:rPr>
                <w:sz w:val="16"/>
              </w:rPr>
              <w:t>31</w:t>
            </w:r>
          </w:p>
        </w:tc>
        <w:tc>
          <w:tcPr>
            <w:tcW w:type="dxa" w:w="3024"/>
            <w:shd w:val="clear" w:fill="E7ECF4"/>
          </w:tcPr>
          <w:p>
            <w:r/>
            <w:r>
              <w:rPr>
                <w:sz w:val="16"/>
              </w:rPr>
              <w:t>1× (reference)</w:t>
            </w:r>
          </w:p>
        </w:tc>
      </w:tr>
      <w:tr>
        <w:tc>
          <w:tcPr>
            <w:tcW w:type="dxa" w:w="1584"/>
          </w:tcPr>
          <w:p>
            <w:r/>
            <w:r>
              <w:rPr>
                <w:sz w:val="16"/>
              </w:rPr>
              <w:t>10 min</w:t>
            </w:r>
          </w:p>
        </w:tc>
        <w:tc>
          <w:tcPr>
            <w:tcW w:type="dxa" w:w="3456"/>
          </w:tcPr>
          <w:p>
            <w:r/>
            <w:r>
              <w:rPr>
                <w:sz w:val="16"/>
              </w:rPr>
              <w:t>3,679</w:t>
            </w:r>
          </w:p>
        </w:tc>
        <w:tc>
          <w:tcPr>
            <w:tcW w:type="dxa" w:w="1872"/>
          </w:tcPr>
          <w:p>
            <w:r/>
            <w:r>
              <w:rPr>
                <w:sz w:val="16"/>
              </w:rPr>
              <w:t>220</w:t>
            </w:r>
          </w:p>
        </w:tc>
        <w:tc>
          <w:tcPr>
            <w:tcW w:type="dxa" w:w="3024"/>
          </w:tcPr>
          <w:p>
            <w:r/>
            <w:r>
              <w:rPr>
                <w:sz w:val="16"/>
              </w:rPr>
              <w:t>≈8×</w:t>
            </w:r>
          </w:p>
        </w:tc>
      </w:tr>
    </w:tbl>
    <w:p>
      <w:pPr>
        <w:spacing w:after="40"/>
      </w:pPr>
    </w:p>
    <w:p>
      <w:pPr>
        <w:spacing w:after="60"/>
      </w:pPr>
      <w:r>
        <w:rPr>
          <w:b w:val="0"/>
          <w:i w:val="0"/>
        </w:rPr>
        <w:t>The response did not vary monotonically with etch time — the 10-minute substrate outperformed the 5-minute substrate — indicating silver morphology, not etch duration alone, governs enhancement.</w:t>
      </w:r>
    </w:p>
    <w:p>
      <w:pPr>
        <w:jc w:val="center"/>
      </w:pPr>
      <w:r>
        <w:drawing>
          <wp:inline xmlns:a="http://schemas.openxmlformats.org/drawingml/2006/main" xmlns:pic="http://schemas.openxmlformats.org/drawingml/2006/picture">
            <wp:extent cx="5486400" cy="3135086"/>
            <wp:docPr id="14" name="Picture 14"/>
            <wp:cNvGraphicFramePr>
              <a:graphicFrameLocks noChangeAspect="1"/>
            </wp:cNvGraphicFramePr>
            <a:graphic>
              <a:graphicData uri="http://schemas.openxmlformats.org/drawingml/2006/picture">
                <pic:pic>
                  <pic:nvPicPr>
                    <pic:cNvPr id="0" name="plot_r6g_cross_sensor.png"/>
                    <pic:cNvPicPr/>
                  </pic:nvPicPr>
                  <pic:blipFill>
                    <a:blip r:embed="rId22"/>
                    <a:stretch>
                      <a:fillRect/>
                    </a:stretch>
                  </pic:blipFill>
                  <pic:spPr>
                    <a:xfrm>
                      <a:off x="0" y="0"/>
                      <a:ext cx="5486400" cy="3135086"/>
                    </a:xfrm>
                    <a:prstGeom prst="rect"/>
                  </pic:spPr>
                </pic:pic>
              </a:graphicData>
            </a:graphic>
          </wp:inline>
        </w:drawing>
      </w:r>
    </w:p>
    <w:p>
      <w:pPr>
        <w:spacing w:after="160"/>
        <w:ind w:left="360"/>
      </w:pPr>
      <w:r>
        <w:rPr>
          <w:i/>
          <w:color w:val="555555"/>
          <w:sz w:val="19"/>
        </w:rPr>
        <w:t>Figure III-1. R6G response compared across all three etch-time substrates.</w:t>
      </w:r>
    </w:p>
    <w:p>
      <w:pPr>
        <w:jc w:val="center"/>
      </w:pPr>
      <w:r>
        <w:drawing>
          <wp:inline xmlns:a="http://schemas.openxmlformats.org/drawingml/2006/main" xmlns:pic="http://schemas.openxmlformats.org/drawingml/2006/picture">
            <wp:extent cx="5303520" cy="3030583"/>
            <wp:docPr id="15" name="Picture 15"/>
            <wp:cNvGraphicFramePr>
              <a:graphicFrameLocks noChangeAspect="1"/>
            </wp:cNvGraphicFramePr>
            <a:graphic>
              <a:graphicData uri="http://schemas.openxmlformats.org/drawingml/2006/picture">
                <pic:pic>
                  <pic:nvPicPr>
                    <pic:cNvPr id="0" name="plot_2m_overlay.png"/>
                    <pic:cNvPicPr/>
                  </pic:nvPicPr>
                  <pic:blipFill>
                    <a:blip r:embed="rId23"/>
                    <a:stretch>
                      <a:fillRect/>
                    </a:stretch>
                  </pic:blipFill>
                  <pic:spPr>
                    <a:xfrm>
                      <a:off x="0" y="0"/>
                      <a:ext cx="5303520" cy="3030583"/>
                    </a:xfrm>
                    <a:prstGeom prst="rect"/>
                  </pic:spPr>
                </pic:pic>
              </a:graphicData>
            </a:graphic>
          </wp:inline>
        </w:drawing>
      </w:r>
    </w:p>
    <w:p>
      <w:pPr>
        <w:spacing w:after="160"/>
        <w:ind w:left="360"/>
      </w:pPr>
      <w:r>
        <w:rPr>
          <w:i/>
          <w:color w:val="555555"/>
          <w:sz w:val="19"/>
        </w:rPr>
        <w:t>Figure III-2. R6G and NAM spectra overlaid on the 2-minute substrate — the best-performing condition.</w:t>
      </w:r>
    </w:p>
    <w:p>
      <w:r>
        <w:br w:type="page"/>
      </w:r>
    </w:p>
    <w:p>
      <w:pPr>
        <w:pStyle w:val="Heading2"/>
      </w:pPr>
      <w:r>
        <w:t>III.3  NAM detection attempts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304"/>
            <w:shd w:val="clear" w:fill="1B3A6B"/>
          </w:tcPr>
          <w:p>
            <w:r/>
            <w:r>
              <w:rPr>
                <w:b/>
                <w:color w:val="FFFFFF"/>
                <w:sz w:val="18"/>
              </w:rPr>
              <w:t>Substrate / power</w:t>
            </w:r>
          </w:p>
        </w:tc>
        <w:tc>
          <w:tcPr>
            <w:tcW w:type="dxa" w:w="4464"/>
            <w:shd w:val="clear" w:fill="1B3A6B"/>
          </w:tcPr>
          <w:p>
            <w:r/>
            <w:r>
              <w:rPr>
                <w:b/>
                <w:color w:val="FFFFFF"/>
                <w:sz w:val="18"/>
              </w:rPr>
              <w:t>Highest SNR at any NAM target band</w:t>
            </w:r>
          </w:p>
        </w:tc>
        <w:tc>
          <w:tcPr>
            <w:tcW w:type="dxa" w:w="3024"/>
            <w:shd w:val="clear" w:fill="1B3A6B"/>
          </w:tcPr>
          <w:p>
            <w:r/>
            <w:r>
              <w:rPr>
                <w:b/>
                <w:color w:val="FFFFFF"/>
                <w:sz w:val="18"/>
              </w:rPr>
              <w:t>Outcome</w:t>
            </w:r>
          </w:p>
        </w:tc>
      </w:tr>
      <w:tr>
        <w:tc>
          <w:tcPr>
            <w:tcW w:type="dxa" w:w="2304"/>
          </w:tcPr>
          <w:p>
            <w:r/>
            <w:r>
              <w:rPr>
                <w:sz w:val="16"/>
              </w:rPr>
              <w:t>2 min, level 5</w:t>
            </w:r>
          </w:p>
        </w:tc>
        <w:tc>
          <w:tcPr>
            <w:tcW w:type="dxa" w:w="4464"/>
          </w:tcPr>
          <w:p>
            <w:r/>
            <w:r>
              <w:rPr>
                <w:sz w:val="16"/>
              </w:rPr>
              <w:t>2.4  (541 cm⁻¹)</w:t>
            </w:r>
          </w:p>
        </w:tc>
        <w:tc>
          <w:tcPr>
            <w:tcW w:type="dxa" w:w="3024"/>
          </w:tcPr>
          <w:p>
            <w:r/>
            <w:r>
              <w:rPr>
                <w:sz w:val="16"/>
              </w:rPr>
              <w:t>Not detected</w:t>
            </w:r>
          </w:p>
        </w:tc>
      </w:tr>
      <w:tr>
        <w:tc>
          <w:tcPr>
            <w:tcW w:type="dxa" w:w="2304"/>
            <w:shd w:val="clear" w:fill="E7ECF4"/>
          </w:tcPr>
          <w:p>
            <w:r/>
            <w:r>
              <w:rPr>
                <w:sz w:val="16"/>
              </w:rPr>
              <w:t>2 min, level 10</w:t>
            </w:r>
          </w:p>
        </w:tc>
        <w:tc>
          <w:tcPr>
            <w:tcW w:type="dxa" w:w="4464"/>
            <w:shd w:val="clear" w:fill="E7ECF4"/>
          </w:tcPr>
          <w:p>
            <w:r/>
            <w:r>
              <w:rPr>
                <w:sz w:val="16"/>
              </w:rPr>
              <w:t>3.0  (1023 cm⁻¹)</w:t>
            </w:r>
          </w:p>
        </w:tc>
        <w:tc>
          <w:tcPr>
            <w:tcW w:type="dxa" w:w="3024"/>
            <w:shd w:val="clear" w:fill="E7ECF4"/>
          </w:tcPr>
          <w:p>
            <w:r/>
            <w:r>
              <w:rPr>
                <w:sz w:val="16"/>
              </w:rPr>
              <w:t>Isolated, not reproduced — not accepted</w:t>
            </w:r>
          </w:p>
        </w:tc>
      </w:tr>
      <w:tr>
        <w:tc>
          <w:tcPr>
            <w:tcW w:type="dxa" w:w="2304"/>
          </w:tcPr>
          <w:p>
            <w:r/>
            <w:r>
              <w:rPr>
                <w:sz w:val="16"/>
              </w:rPr>
              <w:t>5 min, level 5</w:t>
            </w:r>
          </w:p>
        </w:tc>
        <w:tc>
          <w:tcPr>
            <w:tcW w:type="dxa" w:w="4464"/>
          </w:tcPr>
          <w:p>
            <w:r/>
            <w:r>
              <w:rPr>
                <w:sz w:val="16"/>
              </w:rPr>
              <w:t>2.6  (541 and 1023 cm⁻¹)</w:t>
            </w:r>
          </w:p>
        </w:tc>
        <w:tc>
          <w:tcPr>
            <w:tcW w:type="dxa" w:w="3024"/>
          </w:tcPr>
          <w:p>
            <w:r/>
            <w:r>
              <w:rPr>
                <w:sz w:val="16"/>
              </w:rPr>
              <w:t>Not detected</w:t>
            </w:r>
          </w:p>
        </w:tc>
      </w:tr>
      <w:tr>
        <w:tc>
          <w:tcPr>
            <w:tcW w:type="dxa" w:w="2304"/>
            <w:shd w:val="clear" w:fill="E7ECF4"/>
          </w:tcPr>
          <w:p>
            <w:r/>
            <w:r>
              <w:rPr>
                <w:sz w:val="16"/>
              </w:rPr>
              <w:t>10 min, level 5</w:t>
            </w:r>
          </w:p>
        </w:tc>
        <w:tc>
          <w:tcPr>
            <w:tcW w:type="dxa" w:w="4464"/>
            <w:shd w:val="clear" w:fill="E7ECF4"/>
          </w:tcPr>
          <w:p>
            <w:r/>
            <w:r>
              <w:rPr>
                <w:sz w:val="16"/>
              </w:rPr>
              <w:t>3.3  (930 cm⁻¹)</w:t>
            </w:r>
          </w:p>
        </w:tc>
        <w:tc>
          <w:tcPr>
            <w:tcW w:type="dxa" w:w="3024"/>
            <w:shd w:val="clear" w:fill="E7ECF4"/>
          </w:tcPr>
          <w:p>
            <w:r/>
            <w:r>
              <w:rPr>
                <w:sz w:val="16"/>
              </w:rPr>
              <w:t>Isolated, not reproduced — not accepted</w:t>
            </w:r>
          </w:p>
        </w:tc>
      </w:tr>
      <w:tr>
        <w:tc>
          <w:tcPr>
            <w:tcW w:type="dxa" w:w="2304"/>
          </w:tcPr>
          <w:p>
            <w:r/>
            <w:r>
              <w:rPr>
                <w:sz w:val="16"/>
              </w:rPr>
              <w:t>10 min, level 10</w:t>
            </w:r>
          </w:p>
        </w:tc>
        <w:tc>
          <w:tcPr>
            <w:tcW w:type="dxa" w:w="4464"/>
          </w:tcPr>
          <w:p>
            <w:r/>
            <w:r>
              <w:rPr>
                <w:sz w:val="16"/>
              </w:rPr>
              <w:t>2.4  (1347 and 1394 cm⁻¹)</w:t>
            </w:r>
          </w:p>
        </w:tc>
        <w:tc>
          <w:tcPr>
            <w:tcW w:type="dxa" w:w="3024"/>
          </w:tcPr>
          <w:p>
            <w:r/>
            <w:r>
              <w:rPr>
                <w:sz w:val="16"/>
              </w:rPr>
              <w:t>Not detected</w:t>
            </w:r>
          </w:p>
        </w:tc>
      </w:tr>
    </w:tbl>
    <w:p>
      <w:pPr>
        <w:spacing w:after="40"/>
      </w:pPr>
    </w:p>
    <w:p>
      <w:pPr>
        <w:spacing w:after="60"/>
      </w:pPr>
      <w:r>
        <w:rPr>
          <w:b w:val="0"/>
          <w:i w:val="0"/>
        </w:rPr>
        <w:t>Target bands (541, 871, 930, 1023, 1347, 1394 cm⁻¹) were taken from an earlier, less complete version of the Part I reference list; all are confirmed high-confidence bands in the full Part I reference spectrum (542, 872, 930, 1024, 1346, 1395 cm⁻¹ respectively — within the ±5 cm⁻¹ instrument calibration tolerance established in Part III.4). No target band reached SNR ≥ 3 reproducibly on any substrate, power level, or after blank subtraction.</w:t>
      </w:r>
    </w:p>
    <w:p>
      <w:pPr>
        <w:jc w:val="center"/>
      </w:pPr>
      <w:r>
        <w:drawing>
          <wp:inline xmlns:a="http://schemas.openxmlformats.org/drawingml/2006/main" xmlns:pic="http://schemas.openxmlformats.org/drawingml/2006/picture">
            <wp:extent cx="5486400" cy="3135086"/>
            <wp:docPr id="16" name="Picture 16"/>
            <wp:cNvGraphicFramePr>
              <a:graphicFrameLocks noChangeAspect="1"/>
            </wp:cNvGraphicFramePr>
            <a:graphic>
              <a:graphicData uri="http://schemas.openxmlformats.org/drawingml/2006/picture">
                <pic:pic>
                  <pic:nvPicPr>
                    <pic:cNvPr id="0" name="plot_nam_cross_sensor.png"/>
                    <pic:cNvPicPr/>
                  </pic:nvPicPr>
                  <pic:blipFill>
                    <a:blip r:embed="rId24"/>
                    <a:stretch>
                      <a:fillRect/>
                    </a:stretch>
                  </pic:blipFill>
                  <pic:spPr>
                    <a:xfrm>
                      <a:off x="0" y="0"/>
                      <a:ext cx="5486400" cy="3135086"/>
                    </a:xfrm>
                    <a:prstGeom prst="rect"/>
                  </pic:spPr>
                </pic:pic>
              </a:graphicData>
            </a:graphic>
          </wp:inline>
        </w:drawing>
      </w:r>
    </w:p>
    <w:p>
      <w:pPr>
        <w:spacing w:after="160"/>
        <w:ind w:left="360"/>
      </w:pPr>
      <w:r>
        <w:rPr>
          <w:i/>
          <w:color w:val="555555"/>
          <w:sz w:val="19"/>
        </w:rPr>
        <w:t>Figure III-3. NAM spectra compared across all three etch-time substrates — no reproducible band at any target position.</w:t>
      </w:r>
    </w:p>
    <w:p>
      <w:pPr>
        <w:jc w:val="center"/>
      </w:pPr>
      <w:r>
        <w:drawing>
          <wp:inline xmlns:a="http://schemas.openxmlformats.org/drawingml/2006/main" xmlns:pic="http://schemas.openxmlformats.org/drawingml/2006/picture">
            <wp:extent cx="5303520" cy="3030583"/>
            <wp:docPr id="17" name="Picture 17"/>
            <wp:cNvGraphicFramePr>
              <a:graphicFrameLocks noChangeAspect="1"/>
            </wp:cNvGraphicFramePr>
            <a:graphic>
              <a:graphicData uri="http://schemas.openxmlformats.org/drawingml/2006/picture">
                <pic:pic>
                  <pic:nvPicPr>
                    <pic:cNvPr id="0" name="plot_5m_nam_blanksub_p5.png"/>
                    <pic:cNvPicPr/>
                  </pic:nvPicPr>
                  <pic:blipFill>
                    <a:blip r:embed="rId25"/>
                    <a:stretch>
                      <a:fillRect/>
                    </a:stretch>
                  </pic:blipFill>
                  <pic:spPr>
                    <a:xfrm>
                      <a:off x="0" y="0"/>
                      <a:ext cx="5303520" cy="3030583"/>
                    </a:xfrm>
                    <a:prstGeom prst="rect"/>
                  </pic:spPr>
                </pic:pic>
              </a:graphicData>
            </a:graphic>
          </wp:inline>
        </w:drawing>
      </w:r>
    </w:p>
    <w:p>
      <w:pPr>
        <w:spacing w:after="160"/>
        <w:ind w:left="360"/>
      </w:pPr>
      <w:r>
        <w:rPr>
          <w:i/>
          <w:color w:val="555555"/>
          <w:sz w:val="19"/>
        </w:rPr>
        <w:t>Figure III-4. NAM signal after substrate-blank subtraction, 5-min substrate — no feature exceeds threshold.</w:t>
      </w:r>
    </w:p>
    <w:p>
      <w:r>
        <w:br w:type="page"/>
      </w:r>
    </w:p>
    <w:p>
      <w:pPr>
        <w:pStyle w:val="Heading2"/>
      </w:pPr>
      <w:r>
        <w:t>III.4  Silicon instrument reference and calibration</w:t>
      </w:r>
    </w:p>
    <w:p>
      <w:pPr>
        <w:spacing w:after="60"/>
      </w:pPr>
      <w:r>
        <w:rPr>
          <w:b w:val="0"/>
          <w:i w:val="0"/>
        </w:rPr>
        <w:t>A dedicated 45-spectrum dataset on unetched silicon (13 power/integration combinations) confirmed correct, consistent instrument operation and characterised two systematic effects relevant to every measurement in this report:</w:t>
      </w:r>
    </w:p>
    <w:p>
      <w:pPr>
        <w:pStyle w:val="ListBullet"/>
        <w:spacing w:after="60"/>
      </w:pPr>
      <w:r>
        <w:rPr>
          <w:b/>
        </w:rPr>
        <w:t xml:space="preserve">Wavenumber offset. </w:t>
      </w:r>
      <w:r>
        <w:t>The silicon TO phonon band appeared at a fixed 517.8 cm⁻¹ (vs. 520–521 cm⁻¹ literature) across all 13 conditions — a fixed instrument calibration shift. A ±5 cm⁻¹ tolerance is applied throughout this report when matching measured to reference/literature band positions.</w:t>
      </w:r>
    </w:p>
    <w:p>
      <w:pPr>
        <w:pStyle w:val="ListBullet"/>
        <w:spacing w:after="60"/>
      </w:pPr>
      <w:r>
        <w:rPr>
          <w:b/>
        </w:rPr>
        <w:t xml:space="preserve">Noise scaling. </w:t>
      </w:r>
      <w:r>
        <w:t>SNR improved faster than the √t shot-noise law (5.9× for a 5× increase in integration time at one power level), indicating a fixed noise floor rather than pure photon statistics — extended integration is an effective strategy for weak analytes such as NAM.</w:t>
      </w:r>
    </w:p>
    <w:p>
      <w:pPr>
        <w:pStyle w:val="ListBullet"/>
        <w:spacing w:after="60"/>
      </w:pPr>
      <w:r>
        <w:rPr>
          <w:b/>
        </w:rPr>
        <w:t xml:space="preserve">Peak width. </w:t>
      </w:r>
      <w:r>
        <w:t>The TO phonon FWHM (≈7.2 cm⁻¹, ≈4–5 pixels) defines the minimum peak-width criterion used to reject single-pixel detector artefacts (see III.5 and the Sensor-1 600 cm⁻¹ artefact in Part II.4).</w:t>
      </w:r>
    </w:p>
    <w:p>
      <w:pPr>
        <w:jc w:val="center"/>
      </w:pPr>
      <w:r>
        <w:drawing>
          <wp:inline xmlns:a="http://schemas.openxmlformats.org/drawingml/2006/main" xmlns:pic="http://schemas.openxmlformats.org/drawingml/2006/picture">
            <wp:extent cx="5486400" cy="2194560"/>
            <wp:docPr id="18" name="Picture 18"/>
            <wp:cNvGraphicFramePr>
              <a:graphicFrameLocks noChangeAspect="1"/>
            </wp:cNvGraphicFramePr>
            <a:graphic>
              <a:graphicData uri="http://schemas.openxmlformats.org/drawingml/2006/picture">
                <pic:pic>
                  <pic:nvPicPr>
                    <pic:cNvPr id="0" name="rawsi_linearity_check.png"/>
                    <pic:cNvPicPr/>
                  </pic:nvPicPr>
                  <pic:blipFill>
                    <a:blip r:embed="rId26"/>
                    <a:stretch>
                      <a:fillRect/>
                    </a:stretch>
                  </pic:blipFill>
                  <pic:spPr>
                    <a:xfrm>
                      <a:off x="0" y="0"/>
                      <a:ext cx="5486400" cy="2194560"/>
                    </a:xfrm>
                    <a:prstGeom prst="rect"/>
                  </pic:spPr>
                </pic:pic>
              </a:graphicData>
            </a:graphic>
          </wp:inline>
        </w:drawing>
      </w:r>
    </w:p>
    <w:p>
      <w:pPr>
        <w:spacing w:after="160"/>
        <w:ind w:left="360"/>
      </w:pPr>
      <w:r>
        <w:rPr>
          <w:i/>
          <w:color w:val="555555"/>
          <w:sz w:val="19"/>
        </w:rPr>
        <w:t>Figure III-5. Peak height vs. integration time (linearity) and SNR-vs-√t comparison, unetched silicon reference.</w:t>
      </w:r>
    </w:p>
    <w:p>
      <w:pPr>
        <w:pStyle w:val="Heading2"/>
      </w:pPr>
      <w:r>
        <w:t>III.5  LTA detection attempt and pixel-artefact finding</w:t>
      </w:r>
    </w:p>
    <w:p>
      <w:pPr>
        <w:spacing w:after="60"/>
      </w:pPr>
      <w:r>
        <w:rPr>
          <w:b w:val="0"/>
          <w:i w:val="0"/>
        </w:rPr>
        <w:t>An initial apparent LTA signal (SNR 7–9, 3 of 15 spots) at 1095 cm⁻¹ was found, on pixel-level inspection, to occupy exactly one detector pixel at an identical position across all three candidate spectra — the signature of a fixed-pattern detector artefact rather than a genuine Raman band (which spans 4–5 pixels on this instrument). Reclassified as not detected.</w:t>
      </w:r>
    </w:p>
    <w:p>
      <w:pPr>
        <w:jc w:val="center"/>
      </w:pPr>
      <w:r>
        <w:drawing>
          <wp:inline xmlns:a="http://schemas.openxmlformats.org/drawingml/2006/main" xmlns:pic="http://schemas.openxmlformats.org/drawingml/2006/picture">
            <wp:extent cx="5669280" cy="2061556"/>
            <wp:docPr id="19" name="Picture 19"/>
            <wp:cNvGraphicFramePr>
              <a:graphicFrameLocks noChangeAspect="1"/>
            </wp:cNvGraphicFramePr>
            <a:graphic>
              <a:graphicData uri="http://schemas.openxmlformats.org/drawingml/2006/picture">
                <pic:pic>
                  <pic:nvPicPr>
                    <pic:cNvPr id="0" name="lta_zoom_check.png"/>
                    <pic:cNvPicPr/>
                  </pic:nvPicPr>
                  <pic:blipFill>
                    <a:blip r:embed="rId27"/>
                    <a:stretch>
                      <a:fillRect/>
                    </a:stretch>
                  </pic:blipFill>
                  <pic:spPr>
                    <a:xfrm>
                      <a:off x="0" y="0"/>
                      <a:ext cx="5669280" cy="2061556"/>
                    </a:xfrm>
                    <a:prstGeom prst="rect"/>
                  </pic:spPr>
                </pic:pic>
              </a:graphicData>
            </a:graphic>
          </wp:inline>
        </w:drawing>
      </w:r>
    </w:p>
    <w:p>
      <w:pPr>
        <w:spacing w:after="160"/>
        <w:ind w:left="360"/>
      </w:pPr>
      <w:r>
        <w:rPr>
          <w:i/>
          <w:color w:val="555555"/>
          <w:sz w:val="19"/>
        </w:rPr>
        <w:t>Figure III-6. Pixel-level zoom of the apparent 1095 cm⁻¹ LTA feature, showing the single-pixel origin.</w:t>
      </w:r>
    </w:p>
    <w:p>
      <w:r>
        <w:br w:type="page"/>
      </w:r>
    </w:p>
    <w:p>
      <w:pPr>
        <w:pStyle w:val="Heading1"/>
      </w:pPr>
      <w:r>
        <w:t>Part IV — Sensor Types Tried: Comparison</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2016"/>
            <w:shd w:val="clear" w:fill="1B3A6B"/>
          </w:tcPr>
          <w:p>
            <w:r/>
            <w:r>
              <w:rPr>
                <w:b/>
                <w:color w:val="FFFFFF"/>
                <w:sz w:val="18"/>
              </w:rPr>
            </w:r>
          </w:p>
        </w:tc>
        <w:tc>
          <w:tcPr>
            <w:tcW w:type="dxa" w:w="3744"/>
            <w:shd w:val="clear" w:fill="1B3A6B"/>
          </w:tcPr>
          <w:p>
            <w:r/>
            <w:r>
              <w:rPr>
                <w:b/>
                <w:color w:val="FFFFFF"/>
                <w:sz w:val="18"/>
              </w:rPr>
              <w:t>Sensor 1 (Ag/Si)</w:t>
            </w:r>
          </w:p>
        </w:tc>
        <w:tc>
          <w:tcPr>
            <w:tcW w:type="dxa" w:w="4464"/>
            <w:shd w:val="clear" w:fill="1B3A6B"/>
          </w:tcPr>
          <w:p>
            <w:r/>
            <w:r>
              <w:rPr>
                <w:b/>
                <w:color w:val="FFFFFF"/>
                <w:sz w:val="18"/>
              </w:rPr>
              <w:t>Sensor 2 (Ag/black-Si, MACE)</w:t>
            </w:r>
          </w:p>
        </w:tc>
      </w:tr>
      <w:tr>
        <w:tc>
          <w:tcPr>
            <w:tcW w:type="dxa" w:w="2016"/>
          </w:tcPr>
          <w:p>
            <w:r/>
            <w:r>
              <w:rPr>
                <w:sz w:val="15"/>
              </w:rPr>
              <w:t>Fabrication method</w:t>
            </w:r>
          </w:p>
        </w:tc>
        <w:tc>
          <w:tcPr>
            <w:tcW w:type="dxa" w:w="3744"/>
          </w:tcPr>
          <w:p>
            <w:r/>
            <w:r>
              <w:rPr>
                <w:sz w:val="15"/>
              </w:rPr>
              <w:t>AgNO₃ reduction on Si; exact etch/reagent parameters not fully documented for this batch</w:t>
            </w:r>
          </w:p>
        </w:tc>
        <w:tc>
          <w:tcPr>
            <w:tcW w:type="dxa" w:w="4464"/>
          </w:tcPr>
          <w:p>
            <w:r/>
            <w:r>
              <w:rPr>
                <w:sz w:val="15"/>
              </w:rPr>
              <w:t>One-step MACE, documented recipe: 0.170 g AgNO₃ + 8.6 mL HF in 50 mL (≈20 mM AgNO₃, ≈4.8 M HF)</w:t>
            </w:r>
          </w:p>
        </w:tc>
      </w:tr>
      <w:tr>
        <w:tc>
          <w:tcPr>
            <w:tcW w:type="dxa" w:w="2016"/>
            <w:shd w:val="clear" w:fill="E7ECF4"/>
          </w:tcPr>
          <w:p>
            <w:r/>
            <w:r>
              <w:rPr>
                <w:sz w:val="15"/>
              </w:rPr>
              <w:t>Etch/process variable studied</w:t>
            </w:r>
          </w:p>
        </w:tc>
        <w:tc>
          <w:tcPr>
            <w:tcW w:type="dxa" w:w="3744"/>
            <w:shd w:val="clear" w:fill="E7ECF4"/>
          </w:tcPr>
          <w:p>
            <w:r/>
            <w:r>
              <w:rPr>
                <w:sz w:val="15"/>
              </w:rPr>
              <w:t>Not systematically varied in the analysed dataset (candidate best condition noted as 10% HF / 6 min)</w:t>
            </w:r>
          </w:p>
        </w:tc>
        <w:tc>
          <w:tcPr>
            <w:tcW w:type="dxa" w:w="4464"/>
            <w:shd w:val="clear" w:fill="E7ECF4"/>
          </w:tcPr>
          <w:p>
            <w:r/>
            <w:r>
              <w:rPr>
                <w:sz w:val="15"/>
              </w:rPr>
              <w:t>2, 5, 10 min etch time, systematically compared</w:t>
            </w:r>
          </w:p>
        </w:tc>
      </w:tr>
      <w:tr>
        <w:tc>
          <w:tcPr>
            <w:tcW w:type="dxa" w:w="2016"/>
          </w:tcPr>
          <w:p>
            <w:r/>
            <w:r>
              <w:rPr>
                <w:sz w:val="15"/>
              </w:rPr>
              <w:t>R6G validation</w:t>
            </w:r>
          </w:p>
        </w:tc>
        <w:tc>
          <w:tcPr>
            <w:tcW w:type="dxa" w:w="3744"/>
          </w:tcPr>
          <w:p>
            <w:r/>
            <w:r>
              <w:rPr>
                <w:sz w:val="15"/>
              </w:rPr>
              <w:t>Concentration series 1 nM–1 mM; non-monotonic, peak at 10 µM</w:t>
            </w:r>
          </w:p>
        </w:tc>
        <w:tc>
          <w:tcPr>
            <w:tcW w:type="dxa" w:w="4464"/>
          </w:tcPr>
          <w:p>
            <w:r/>
            <w:r>
              <w:rPr>
                <w:sz w:val="15"/>
              </w:rPr>
              <w:t>Etch-time series; non-monotonic, best at 2 min (SNR 450)</w:t>
            </w:r>
          </w:p>
        </w:tc>
      </w:tr>
      <w:tr>
        <w:tc>
          <w:tcPr>
            <w:tcW w:type="dxa" w:w="2016"/>
            <w:shd w:val="clear" w:fill="E7ECF4"/>
          </w:tcPr>
          <w:p>
            <w:r/>
            <w:r>
              <w:rPr>
                <w:sz w:val="15"/>
              </w:rPr>
              <w:t>Best R6G SNR observed</w:t>
            </w:r>
          </w:p>
        </w:tc>
        <w:tc>
          <w:tcPr>
            <w:tcW w:type="dxa" w:w="3744"/>
            <w:shd w:val="clear" w:fill="E7ECF4"/>
          </w:tcPr>
          <w:p>
            <w:r/>
            <w:r>
              <w:rPr>
                <w:sz w:val="15"/>
              </w:rPr>
              <w:t>≈345 (1509 cm⁻¹, 10 µM)</w:t>
            </w:r>
          </w:p>
        </w:tc>
        <w:tc>
          <w:tcPr>
            <w:tcW w:type="dxa" w:w="4464"/>
            <w:shd w:val="clear" w:fill="E7ECF4"/>
          </w:tcPr>
          <w:p>
            <w:r/>
            <w:r>
              <w:rPr>
                <w:sz w:val="15"/>
              </w:rPr>
              <w:t>450 (1509 cm⁻¹, 2-min substrate)</w:t>
            </w:r>
          </w:p>
        </w:tc>
      </w:tr>
      <w:tr>
        <w:tc>
          <w:tcPr>
            <w:tcW w:type="dxa" w:w="2016"/>
          </w:tcPr>
          <w:p>
            <w:r/>
            <w:r>
              <w:rPr>
                <w:sz w:val="15"/>
              </w:rPr>
              <w:t>NAM result</w:t>
            </w:r>
          </w:p>
        </w:tc>
        <w:tc>
          <w:tcPr>
            <w:tcW w:type="dxa" w:w="3744"/>
          </w:tcPr>
          <w:p>
            <w:r/>
            <w:r>
              <w:rPr>
                <w:sz w:val="15"/>
              </w:rPr>
              <w:t>One reproducible tentative feature (~243 cm⁻¹, SNR 5.8–39), not statistically concentration-dependent, not cross-checked against a validated reference (didn't exist yet)</w:t>
            </w:r>
          </w:p>
        </w:tc>
        <w:tc>
          <w:tcPr>
            <w:tcW w:type="dxa" w:w="4464"/>
          </w:tcPr>
          <w:p>
            <w:r/>
            <w:r>
              <w:rPr>
                <w:sz w:val="15"/>
              </w:rPr>
              <w:t>No reproducible detection at any of 6 validated reference target bands, any substrate, or power level</w:t>
            </w:r>
          </w:p>
        </w:tc>
      </w:tr>
      <w:tr>
        <w:tc>
          <w:tcPr>
            <w:tcW w:type="dxa" w:w="2016"/>
            <w:shd w:val="clear" w:fill="E7ECF4"/>
          </w:tcPr>
          <w:p>
            <w:r/>
            <w:r>
              <w:rPr>
                <w:sz w:val="15"/>
              </w:rPr>
              <w:t>Blank/instrument control</w:t>
            </w:r>
          </w:p>
        </w:tc>
        <w:tc>
          <w:tcPr>
            <w:tcW w:type="dxa" w:w="3744"/>
            <w:shd w:val="clear" w:fill="E7ECF4"/>
          </w:tcPr>
          <w:p>
            <w:r/>
            <w:r>
              <w:rPr>
                <w:sz w:val="15"/>
              </w:rPr>
              <w:t>5 blank substrate spectra only</w:t>
            </w:r>
          </w:p>
        </w:tc>
        <w:tc>
          <w:tcPr>
            <w:tcW w:type="dxa" w:w="4464"/>
            <w:shd w:val="clear" w:fill="E7ECF4"/>
          </w:tcPr>
          <w:p>
            <w:r/>
            <w:r>
              <w:rPr>
                <w:sz w:val="15"/>
              </w:rPr>
              <w:t>Full 45-spectrum, 13-condition unetched-Si instrument reference dataset</w:t>
            </w:r>
          </w:p>
        </w:tc>
      </w:tr>
      <w:tr>
        <w:tc>
          <w:tcPr>
            <w:tcW w:type="dxa" w:w="2016"/>
          </w:tcPr>
          <w:p>
            <w:r/>
            <w:r>
              <w:rPr>
                <w:sz w:val="15"/>
              </w:rPr>
              <w:t>Artefact found</w:t>
            </w:r>
          </w:p>
        </w:tc>
        <w:tc>
          <w:tcPr>
            <w:tcW w:type="dxa" w:w="3744"/>
          </w:tcPr>
          <w:p>
            <w:r/>
            <w:r>
              <w:rPr>
                <w:sz w:val="15"/>
              </w:rPr>
              <w:t>~600 cm⁻¹ single-pixel spike, inconsistent between NAM batches — excluded</w:t>
            </w:r>
          </w:p>
        </w:tc>
        <w:tc>
          <w:tcPr>
            <w:tcW w:type="dxa" w:w="4464"/>
          </w:tcPr>
          <w:p>
            <w:r/>
            <w:r>
              <w:rPr>
                <w:sz w:val="15"/>
              </w:rPr>
              <w:t>~1095 cm⁻¹ single-pixel spike in LTA data — excluded</w:t>
            </w:r>
          </w:p>
        </w:tc>
      </w:tr>
      <w:tr>
        <w:tc>
          <w:tcPr>
            <w:tcW w:type="dxa" w:w="2016"/>
            <w:shd w:val="clear" w:fill="E7ECF4"/>
          </w:tcPr>
          <w:p>
            <w:r/>
            <w:r>
              <w:rPr>
                <w:sz w:val="15"/>
              </w:rPr>
              <w:t>Status</w:t>
            </w:r>
          </w:p>
        </w:tc>
        <w:tc>
          <w:tcPr>
            <w:tcW w:type="dxa" w:w="3744"/>
            <w:shd w:val="clear" w:fill="E7ECF4"/>
          </w:tcPr>
          <w:p>
            <w:r/>
            <w:r>
              <w:rPr>
                <w:sz w:val="15"/>
              </w:rPr>
              <w:t>Superseded — informs but is not the current working substrate</w:t>
            </w:r>
          </w:p>
        </w:tc>
        <w:tc>
          <w:tcPr>
            <w:tcW w:type="dxa" w:w="4464"/>
            <w:shd w:val="clear" w:fill="E7ECF4"/>
          </w:tcPr>
          <w:p>
            <w:r/>
            <w:r>
              <w:rPr>
                <w:sz w:val="15"/>
              </w:rPr>
              <w:t>Current working substrate; basis for the Part VI forward plan</w:t>
            </w:r>
          </w:p>
        </w:tc>
      </w:tr>
    </w:tbl>
    <w:p>
      <w:pPr>
        <w:spacing w:after="40"/>
      </w:pPr>
    </w:p>
    <w:p>
      <w:r>
        <w:br w:type="page"/>
      </w:r>
    </w:p>
    <w:p>
      <w:pPr>
        <w:pStyle w:val="Heading1"/>
      </w:pPr>
      <w:r>
        <w:t>Part V — Consolidated Analysis: Status of NAM Detection</w:t>
      </w:r>
    </w:p>
    <w:p>
      <w:pPr>
        <w:pStyle w:val="Heading2"/>
      </w:pPr>
      <w:r>
        <w:t>V.1  Why NAM is an intrinsically difficult SERS analyte</w:t>
      </w:r>
    </w:p>
    <w:p>
      <w:pPr>
        <w:spacing w:after="80"/>
      </w:pPr>
      <w:r>
        <w:rPr>
          <w:b w:val="0"/>
          <w:i w:val="0"/>
        </w:rPr>
        <w:t>The Part I reference/DFT study makes it possible to state this quantitatively rather than qualitatively. NAM is a pyranose amino-sugar acid with no chromophore absorbing near 785 nm (no resonance enhancement available), no thiol or free amine for direct Ag affinity (the nitrogen is blocked as an amide), and calculated Raman activities for its strongest modes (e.g. 3.6 for the 930 cm⁻¹ ring-breathing mode) that are modest compared with a strong Raman/SERS reporter such as R6G. This is consistent with, and now quantitatively supports, the qualitative assessment reached independently in both sensor generations.</w:t>
      </w:r>
    </w:p>
    <w:p>
      <w:pPr>
        <w:pStyle w:val="Heading2"/>
      </w:pPr>
      <w:r>
        <w:t>V.2  Ranked assessment of causes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720"/>
            <w:shd w:val="clear" w:fill="1B3A6B"/>
          </w:tcPr>
          <w:p>
            <w:r/>
            <w:r>
              <w:rPr>
                <w:b/>
                <w:color w:val="FFFFFF"/>
                <w:sz w:val="18"/>
              </w:rPr>
              <w:t>Rank</w:t>
            </w:r>
          </w:p>
        </w:tc>
        <w:tc>
          <w:tcPr>
            <w:tcW w:type="dxa" w:w="4320"/>
            <w:shd w:val="clear" w:fill="1B3A6B"/>
          </w:tcPr>
          <w:p>
            <w:r/>
            <w:r>
              <w:rPr>
                <w:b/>
                <w:color w:val="FFFFFF"/>
                <w:sz w:val="18"/>
              </w:rPr>
              <w:t>Candidate cause</w:t>
            </w:r>
          </w:p>
        </w:tc>
        <w:tc>
          <w:tcPr>
            <w:tcW w:type="dxa" w:w="5040"/>
            <w:shd w:val="clear" w:fill="1B3A6B"/>
          </w:tcPr>
          <w:p>
            <w:r/>
            <w:r>
              <w:rPr>
                <w:b/>
                <w:color w:val="FFFFFF"/>
                <w:sz w:val="18"/>
              </w:rPr>
              <w:t>Assessment</w:t>
            </w:r>
          </w:p>
        </w:tc>
      </w:tr>
      <w:tr>
        <w:tc>
          <w:tcPr>
            <w:tcW w:type="dxa" w:w="720"/>
          </w:tcPr>
          <w:p>
            <w:r/>
            <w:r>
              <w:rPr>
                <w:sz w:val="15"/>
              </w:rPr>
              <w:t>1</w:t>
            </w:r>
          </w:p>
        </w:tc>
        <w:tc>
          <w:tcPr>
            <w:tcW w:type="dxa" w:w="4320"/>
          </w:tcPr>
          <w:p>
            <w:r/>
            <w:r>
              <w:rPr>
                <w:sz w:val="15"/>
              </w:rPr>
              <w:t>Weak/absent silver affinity and non-resonant, modest-cross-section Raman response of NAM (Part I)</w:t>
            </w:r>
          </w:p>
        </w:tc>
        <w:tc>
          <w:tcPr>
            <w:tcW w:type="dxa" w:w="5040"/>
          </w:tcPr>
          <w:p>
            <w:r/>
            <w:r>
              <w:rPr>
                <w:sz w:val="15"/>
              </w:rPr>
              <w:t>Most probable primary cause, now supported by DFT-computed Raman activities, not just qualitative structure comparison</w:t>
            </w:r>
          </w:p>
        </w:tc>
      </w:tr>
      <w:tr>
        <w:tc>
          <w:tcPr>
            <w:tcW w:type="dxa" w:w="720"/>
            <w:shd w:val="clear" w:fill="E7ECF4"/>
          </w:tcPr>
          <w:p>
            <w:r/>
            <w:r>
              <w:rPr>
                <w:sz w:val="15"/>
              </w:rPr>
              <w:t>2</w:t>
            </w:r>
          </w:p>
        </w:tc>
        <w:tc>
          <w:tcPr>
            <w:tcW w:type="dxa" w:w="4320"/>
            <w:shd w:val="clear" w:fill="E7ECF4"/>
          </w:tcPr>
          <w:p>
            <w:r/>
            <w:r>
              <w:rPr>
                <w:sz w:val="15"/>
              </w:rPr>
              <w:t>Droplet spreading on the hydrophilic black-silicon surface (Sensor 2) reducing effective concentration in the measured region</w:t>
            </w:r>
          </w:p>
        </w:tc>
        <w:tc>
          <w:tcPr>
            <w:tcW w:type="dxa" w:w="5040"/>
            <w:shd w:val="clear" w:fill="E7ECF4"/>
          </w:tcPr>
          <w:p>
            <w:r/>
            <w:r>
              <w:rPr>
                <w:sz w:val="15"/>
              </w:rPr>
              <w:t>Likely contributing factor, unlikely to be the sole cause</w:t>
            </w:r>
          </w:p>
        </w:tc>
      </w:tr>
      <w:tr>
        <w:tc>
          <w:tcPr>
            <w:tcW w:type="dxa" w:w="720"/>
          </w:tcPr>
          <w:p>
            <w:r/>
            <w:r>
              <w:rPr>
                <w:sz w:val="15"/>
              </w:rPr>
              <w:t>3</w:t>
            </w:r>
          </w:p>
        </w:tc>
        <w:tc>
          <w:tcPr>
            <w:tcW w:type="dxa" w:w="4320"/>
          </w:tcPr>
          <w:p>
            <w:r/>
            <w:r>
              <w:rPr>
                <w:sz w:val="15"/>
              </w:rPr>
              <w:t>Unconfirmed ~243 cm⁻¹ Sensor-1 feature — possible Ag-surface/charge-transfer mode outside the validated reference range, not yet re-tested on Sensor 2</w:t>
            </w:r>
          </w:p>
        </w:tc>
        <w:tc>
          <w:tcPr>
            <w:tcW w:type="dxa" w:w="5040"/>
          </w:tcPr>
          <w:p>
            <w:r/>
            <w:r>
              <w:rPr>
                <w:sz w:val="15"/>
              </w:rPr>
              <w:t>Open question — requires extending Sensor-2 acquisition range below 400 cm⁻¹</w:t>
            </w:r>
          </w:p>
        </w:tc>
      </w:tr>
      <w:tr>
        <w:tc>
          <w:tcPr>
            <w:tcW w:type="dxa" w:w="720"/>
            <w:shd w:val="clear" w:fill="E7ECF4"/>
          </w:tcPr>
          <w:p>
            <w:r/>
            <w:r>
              <w:rPr>
                <w:sz w:val="15"/>
              </w:rPr>
              <w:t>4</w:t>
            </w:r>
          </w:p>
        </w:tc>
        <w:tc>
          <w:tcPr>
            <w:tcW w:type="dxa" w:w="4320"/>
            <w:shd w:val="clear" w:fill="E7ECF4"/>
          </w:tcPr>
          <w:p>
            <w:r/>
            <w:r>
              <w:rPr>
                <w:sz w:val="15"/>
              </w:rPr>
              <w:t>Bulk NAM concentration too low</w:t>
            </w:r>
          </w:p>
        </w:tc>
        <w:tc>
          <w:tcPr>
            <w:tcW w:type="dxa" w:w="5040"/>
            <w:shd w:val="clear" w:fill="E7ECF4"/>
          </w:tcPr>
          <w:p>
            <w:r/>
            <w:r>
              <w:rPr>
                <w:sz w:val="15"/>
              </w:rPr>
              <w:t>Unlikely — concentrations tested (0.34–3.4 mM) are high by SERS standards</w:t>
            </w:r>
          </w:p>
        </w:tc>
      </w:tr>
      <w:tr>
        <w:tc>
          <w:tcPr>
            <w:tcW w:type="dxa" w:w="720"/>
          </w:tcPr>
          <w:p>
            <w:r/>
            <w:r>
              <w:rPr>
                <w:sz w:val="15"/>
              </w:rPr>
              <w:t>5</w:t>
            </w:r>
          </w:p>
        </w:tc>
        <w:tc>
          <w:tcPr>
            <w:tcW w:type="dxa" w:w="4320"/>
          </w:tcPr>
          <w:p>
            <w:r/>
            <w:r>
              <w:rPr>
                <w:sz w:val="15"/>
              </w:rPr>
              <w:t>Substrate not SERS-active</w:t>
            </w:r>
          </w:p>
        </w:tc>
        <w:tc>
          <w:tcPr>
            <w:tcW w:type="dxa" w:w="5040"/>
          </w:tcPr>
          <w:p>
            <w:r/>
            <w:r>
              <w:rPr>
                <w:sz w:val="15"/>
              </w:rPr>
              <w:t>Excluded on both sensor generations — R6G control confirms strong activity on each</w:t>
            </w:r>
          </w:p>
        </w:tc>
      </w:tr>
      <w:tr>
        <w:tc>
          <w:tcPr>
            <w:tcW w:type="dxa" w:w="720"/>
            <w:shd w:val="clear" w:fill="E7ECF4"/>
          </w:tcPr>
          <w:p>
            <w:r/>
            <w:r>
              <w:rPr>
                <w:sz w:val="15"/>
              </w:rPr>
              <w:t>6</w:t>
            </w:r>
          </w:p>
        </w:tc>
        <w:tc>
          <w:tcPr>
            <w:tcW w:type="dxa" w:w="4320"/>
            <w:shd w:val="clear" w:fill="E7ECF4"/>
          </w:tcPr>
          <w:p>
            <w:r/>
            <w:r>
              <w:rPr>
                <w:sz w:val="15"/>
              </w:rPr>
              <w:t>Instrument miscalibration or malfunction</w:t>
            </w:r>
          </w:p>
        </w:tc>
        <w:tc>
          <w:tcPr>
            <w:tcW w:type="dxa" w:w="5040"/>
            <w:shd w:val="clear" w:fill="E7ECF4"/>
          </w:tcPr>
          <w:p>
            <w:r/>
            <w:r>
              <w:rPr>
                <w:sz w:val="15"/>
              </w:rPr>
              <w:t>Excluded — silicon reference dataset (Part III.4) and glass-blank series (Part I) confirm correct, consistent operation</w:t>
            </w:r>
          </w:p>
        </w:tc>
      </w:tr>
    </w:tbl>
    <w:p>
      <w:pPr>
        <w:spacing w:after="40"/>
      </w:pPr>
    </w:p>
    <w:p>
      <w:r>
        <w:br w:type="page"/>
      </w:r>
    </w:p>
    <w:p>
      <w:pPr>
        <w:pStyle w:val="Heading1"/>
      </w:pPr>
      <w:r>
        <w:t>Part VI — Proposed Future Work: 4-MPBA Surface Functionalisation</w:t>
      </w:r>
    </w:p>
    <w:p>
      <w:pPr>
        <w:spacing w:after="80"/>
      </w:pPr>
      <w:r>
        <w:rPr>
          <w:b w:val="0"/>
          <w:i w:val="0"/>
        </w:rPr>
        <w:t>Since R6G validation has already demonstrated that both sensor generations can produce strong SERS enhancement, the open problem is no longer "can the substrate produce SERS?" but "how can NAM be brought into the SERS-active region of the substrate in a controlled, reproducible manner?" The proposed approach is to introduce a molecular recognition layer between the Ag surface and NAM.</w:t>
      </w:r>
    </w:p>
    <w:p>
      <w:pPr>
        <w:pStyle w:val="Heading2"/>
      </w:pPr>
      <w:r>
        <w:t>VI.1  Proposed architecture</w:t>
      </w:r>
    </w:p>
    <w:p>
      <w:pPr>
        <w:spacing w:after="60"/>
      </w:pPr>
      <w:r>
        <w:rPr>
          <w:b w:val="0"/>
          <w:i w:val="0"/>
        </w:rPr>
        <w:t>Black silicon → Ag nanostructures → 4-mercaptophenylboronic acid (4-MPBA) recognition layer → NAM → SERS detection. 4-MPBA offers a thiol group (–SH) for strong, well-established anchoring to Ag surfaces, and a boronic-acid group (–B(OH)₂) at the opposite end that can interact with diol/hydroxyl-containing carbohydrates such as NAM. This dual functionality — Ag anchoring plus candidate carbohydrate recognition — is why 4-MPBA is proposed rather than a simpler thiol linker.</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Boronic-acid chemistry is not inherently NAM-specific — other carbohydrates and amino sugars can also interact with boronic-acid groups, and MPBA surface orientation/chemistry is known to be pH-dependent. This is a candidate recognition chemistry requiring experimental validation, not an established NAM-specific method.</w:t>
            </w:r>
          </w:p>
        </w:tc>
      </w:tr>
    </w:tbl>
    <w:p>
      <w:pPr>
        <w:spacing w:after="80"/>
      </w:pPr>
    </w:p>
    <w:p>
      <w:pPr>
        <w:pStyle w:val="Heading2"/>
      </w:pPr>
      <w:r>
        <w:t>VI.2  Literature basis</w:t>
      </w:r>
    </w:p>
    <w:tbl>
      <w:tblPr>
        <w:tblStyle w:val="TableGrid"/>
        <w:tblW w:type="auto" w:w="0"/>
        <w:jc w:val="center"/>
        <w:tblLayout w:type="autofit"/>
        <w:tblLook w:firstColumn="1" w:firstRow="1" w:lastColumn="0" w:lastRow="0" w:noHBand="0" w:noVBand="1" w:val="04A0"/>
      </w:tblPr>
      <w:tblGrid>
        <w:gridCol w:w="3298"/>
        <w:gridCol w:w="3298"/>
        <w:gridCol w:w="3298"/>
      </w:tblGrid>
      <w:tr>
        <w:tc>
          <w:tcPr>
            <w:tcW w:type="dxa" w:w="3456"/>
            <w:shd w:val="clear" w:fill="1B3A6B"/>
          </w:tcPr>
          <w:p>
            <w:r/>
            <w:r>
              <w:rPr>
                <w:b/>
                <w:color w:val="FFFFFF"/>
                <w:sz w:val="18"/>
              </w:rPr>
              <w:t>Study</w:t>
            </w:r>
          </w:p>
        </w:tc>
        <w:tc>
          <w:tcPr>
            <w:tcW w:type="dxa" w:w="3312"/>
            <w:shd w:val="clear" w:fill="1B3A6B"/>
          </w:tcPr>
          <w:p>
            <w:r/>
            <w:r>
              <w:rPr>
                <w:b/>
                <w:color w:val="FFFFFF"/>
                <w:sz w:val="18"/>
              </w:rPr>
              <w:t>System</w:t>
            </w:r>
          </w:p>
        </w:tc>
        <w:tc>
          <w:tcPr>
            <w:tcW w:type="dxa" w:w="3312"/>
            <w:shd w:val="clear" w:fill="1B3A6B"/>
          </w:tcPr>
          <w:p>
            <w:r/>
            <w:r>
              <w:rPr>
                <w:b/>
                <w:color w:val="FFFFFF"/>
                <w:sz w:val="18"/>
              </w:rPr>
              <w:t>Relevance</w:t>
            </w:r>
          </w:p>
        </w:tc>
      </w:tr>
      <w:tr>
        <w:tc>
          <w:tcPr>
            <w:tcW w:type="dxa" w:w="3456"/>
          </w:tcPr>
          <w:p>
            <w:r/>
            <w:r>
              <w:rPr>
                <w:sz w:val="14"/>
              </w:rPr>
              <w:t>Li et al., 2015, Phys. Chem. Chem. Phys. 17, 17638 (DOI 10.1039/C5CP02409A)</w:t>
            </w:r>
          </w:p>
        </w:tc>
        <w:tc>
          <w:tcPr>
            <w:tcW w:type="dxa" w:w="3312"/>
          </w:tcPr>
          <w:p>
            <w:r/>
            <w:r>
              <w:rPr>
                <w:sz w:val="14"/>
              </w:rPr>
              <w:t>4-MPBA on assembled Ag nanoparticles, D-glucose</w:t>
            </w:r>
          </w:p>
        </w:tc>
        <w:tc>
          <w:tcPr>
            <w:tcW w:type="dxa" w:w="3312"/>
          </w:tcPr>
          <w:p>
            <w:r/>
            <w:r>
              <w:rPr>
                <w:sz w:val="14"/>
              </w:rPr>
              <w:t>Directly demonstrates 4-MPBA + Ag + carbohydrate + SERS; shows MPBA orientation/chemical state depends strongly on pH</w:t>
            </w:r>
          </w:p>
        </w:tc>
      </w:tr>
      <w:tr>
        <w:tc>
          <w:tcPr>
            <w:tcW w:type="dxa" w:w="3456"/>
            <w:shd w:val="clear" w:fill="E7ECF4"/>
          </w:tcPr>
          <w:p>
            <w:r/>
            <w:r>
              <w:rPr>
                <w:sz w:val="14"/>
              </w:rPr>
              <w:t>Pham et al., 2017, BioChip J. 11, 46 (DOI 10.1007/s13206-016-1107-6)</w:t>
            </w:r>
          </w:p>
        </w:tc>
        <w:tc>
          <w:tcPr>
            <w:tcW w:type="dxa" w:w="3312"/>
            <w:shd w:val="clear" w:fill="E7ECF4"/>
          </w:tcPr>
          <w:p>
            <w:r/>
            <w:r>
              <w:rPr>
                <w:sz w:val="14"/>
              </w:rPr>
              <w:t>4-MPBA-incorporated Ag nanoparticles on silica-coated graphene oxide, glucose</w:t>
            </w:r>
          </w:p>
        </w:tc>
        <w:tc>
          <w:tcPr>
            <w:tcW w:type="dxa" w:w="3312"/>
            <w:shd w:val="clear" w:fill="E7ECF4"/>
          </w:tcPr>
          <w:p>
            <w:r/>
            <w:r>
              <w:rPr>
                <w:sz w:val="14"/>
              </w:rPr>
              <w:t>Methodological precedent for MPBA-functionalised Ag SERS substrates</w:t>
            </w:r>
          </w:p>
        </w:tc>
      </w:tr>
      <w:tr>
        <w:tc>
          <w:tcPr>
            <w:tcW w:type="dxa" w:w="3456"/>
          </w:tcPr>
          <w:p>
            <w:r/>
            <w:r>
              <w:rPr>
                <w:sz w:val="14"/>
              </w:rPr>
              <w:t>Pham et al., 2021, Nanomaterials 11, 948 (DOI 10.3390/nano11040948)</w:t>
            </w:r>
          </w:p>
        </w:tc>
        <w:tc>
          <w:tcPr>
            <w:tcW w:type="dxa" w:w="3312"/>
          </w:tcPr>
          <w:p>
            <w:r/>
            <w:r>
              <w:rPr>
                <w:sz w:val="14"/>
              </w:rPr>
              <w:t>4-MPBA-immobilised Au–Ag core–shell silica nanostructure, glucose</w:t>
            </w:r>
          </w:p>
        </w:tc>
        <w:tc>
          <w:tcPr>
            <w:tcW w:type="dxa" w:w="3312"/>
          </w:tcPr>
          <w:p>
            <w:r/>
            <w:r>
              <w:rPr>
                <w:sz w:val="14"/>
              </w:rPr>
              <w:t>Quantitative, selective glucose detection via MPBA-functionalised bimetallic SERS</w:t>
            </w:r>
          </w:p>
        </w:tc>
      </w:tr>
      <w:tr>
        <w:tc>
          <w:tcPr>
            <w:tcW w:type="dxa" w:w="3456"/>
            <w:shd w:val="clear" w:fill="E7ECF4"/>
          </w:tcPr>
          <w:p>
            <w:r/>
            <w:r>
              <w:rPr>
                <w:sz w:val="14"/>
              </w:rPr>
              <w:t>Gao et al., 2021, ACS Appl. Nano Mater. (DOI 10.1021/acsanm.1c02216)</w:t>
            </w:r>
          </w:p>
        </w:tc>
        <w:tc>
          <w:tcPr>
            <w:tcW w:type="dxa" w:w="3312"/>
            <w:shd w:val="clear" w:fill="E7ECF4"/>
          </w:tcPr>
          <w:p>
            <w:r/>
            <w:r>
              <w:rPr>
                <w:sz w:val="14"/>
              </w:rPr>
              <w:t>Graphene oxide + Ag nanoparticles + 4-MPBA, cerebrospinal-fluid glucose</w:t>
            </w:r>
          </w:p>
        </w:tc>
        <w:tc>
          <w:tcPr>
            <w:tcW w:type="dxa" w:w="3312"/>
            <w:shd w:val="clear" w:fill="E7ECF4"/>
          </w:tcPr>
          <w:p>
            <w:r/>
            <w:r>
              <w:rPr>
                <w:sz w:val="14"/>
              </w:rPr>
              <w:t>Extends MPBA-based SERS to a biological-fluid sensing context</w:t>
            </w:r>
          </w:p>
        </w:tc>
      </w:tr>
      <w:tr>
        <w:tc>
          <w:tcPr>
            <w:tcW w:type="dxa" w:w="3456"/>
          </w:tcPr>
          <w:p>
            <w:r/>
            <w:r>
              <w:rPr>
                <w:sz w:val="14"/>
              </w:rPr>
              <w:t>Sun et al., 2016, RSC Adv. 6, 53800 (DOI 10.1039/C6RA06223G)</w:t>
            </w:r>
          </w:p>
        </w:tc>
        <w:tc>
          <w:tcPr>
            <w:tcW w:type="dxa" w:w="3312"/>
          </w:tcPr>
          <w:p>
            <w:r/>
            <w:r>
              <w:rPr>
                <w:sz w:val="14"/>
              </w:rPr>
              <w:t>4-MPBA-decorated Ag nanoparticles, urinary glucose</w:t>
            </w:r>
          </w:p>
        </w:tc>
        <w:tc>
          <w:tcPr>
            <w:tcW w:type="dxa" w:w="3312"/>
          </w:tcPr>
          <w:p>
            <w:r/>
            <w:r>
              <w:rPr>
                <w:sz w:val="14"/>
              </w:rPr>
              <w:t>Further support for combining MPBA recognition with Ag SERS enhancement</w:t>
            </w:r>
          </w:p>
        </w:tc>
      </w:tr>
    </w:tbl>
    <w:p>
      <w:pPr>
        <w:spacing w:after="40"/>
      </w:pPr>
    </w:p>
    <w:p>
      <w:pPr>
        <w:spacing w:after="80"/>
      </w:pPr>
      <w:r>
        <w:rPr>
          <w:b w:val="0"/>
          <w:i/>
        </w:rPr>
        <w:t>None of these studies establish 4-MPBA as a NAM-specific receptor on an Ag/black-silicon substrate — this is the identified research gap this project's next stage addresses.</w:t>
      </w:r>
    </w:p>
    <w:p>
      <w:r>
        <w:br w:type="page"/>
      </w:r>
    </w:p>
    <w:p>
      <w:pPr>
        <w:pStyle w:val="Heading2"/>
      </w:pPr>
      <w:r>
        <w:t>VI.3  Proposed experimental sequence</w:t>
      </w:r>
    </w:p>
    <w:p>
      <w:pPr>
        <w:pStyle w:val="ListNumber"/>
        <w:spacing w:after="60"/>
      </w:pPr>
      <w:r>
        <w:t>Reproduce the best-performing Ag/black-silicon substrate condition identified so far (Part III.2) as the starting point — recognising NAM may interact differently with the surface than R6G did.</w:t>
      </w:r>
    </w:p>
    <w:p>
      <w:pPr>
        <w:pStyle w:val="ListNumber"/>
        <w:spacing w:after="60"/>
      </w:pPr>
      <w:r>
        <w:t>Characterise the bare substrate physically (SEM, EDS, AFM where available, UV-Vis) to obtain morphological evidence — Ag distribution, coverage, nanostructure geometry — explaining the optical SERS behaviour already measured.</w:t>
      </w:r>
    </w:p>
    <w:p>
      <w:pPr>
        <w:pStyle w:val="ListNumber"/>
        <w:spacing w:after="60"/>
      </w:pPr>
      <w:r>
        <w:t>Re-establish direct (non-functionalised) NAM detection on this specific substrate batch as the baseline, using the validated Part I reference band list, before adding any surface chemistry.</w:t>
      </w:r>
    </w:p>
    <w:p>
      <w:pPr>
        <w:pStyle w:val="ListNumber"/>
        <w:spacing w:after="60"/>
      </w:pPr>
      <w:r>
        <w:t>Functionalise with 4-MPBA (concentration, incubation time, solvent, pH and washing to be optimised experimentally rather than copied from the glucose literature) and verify functionalisation directly — bare Ag/black-Si vs. MPBA-functionalised substrate — before introducing NAM at all, so that substrate failure, functionalisation failure and NAM-binding failure remain distinguishable.</w:t>
      </w:r>
    </w:p>
    <w:p>
      <w:pPr>
        <w:pStyle w:val="ListNumber"/>
        <w:spacing w:after="60"/>
      </w:pPr>
      <w:r>
        <w:t>Optimise MPBA surface coverage using a small concentration matrix, seeking a thin recognition layer (strong, reproducible MPBA SERS signal without suppressing the underlying Ag activity) rather than a thick organic layer that would push NAM out of the enhancement zone.</w:t>
      </w:r>
    </w:p>
    <w:p>
      <w:pPr>
        <w:pStyle w:val="ListNumber"/>
        <w:spacing w:after="60"/>
      </w:pPr>
      <w:r>
        <w:t>Run the NAM-binding experiment: compare NAM response with and without the MPBA layer, looking for both direct NAM Raman bands and MPBA-band perturbation as two complementary detection strategies.</w:t>
      </w:r>
    </w:p>
    <w:p>
      <w:pPr>
        <w:pStyle w:val="ListNumber"/>
        <w:spacing w:after="60"/>
      </w:pPr>
      <w:r>
        <w:t>Extend the acquisition range below 400 cm⁻¹ on the black-silicon substrate to directly test whether the unresolved Sensor-1 ~243 cm⁻¹ feature (Part II.5) reappears.</w:t>
      </w:r>
    </w:p>
    <w:p>
      <w:r>
        <w:br w:type="page"/>
      </w:r>
    </w:p>
    <w:p>
      <w:pPr>
        <w:pStyle w:val="Heading1"/>
      </w:pPr>
      <w:r>
        <w:t>Conclusions</w:t>
      </w:r>
    </w:p>
    <w:p>
      <w:pPr>
        <w:pStyle w:val="ListNumber"/>
        <w:spacing w:after="60"/>
      </w:pPr>
      <w:r>
        <w:t>A validated, DFT-confirmed reference Raman spectrum of isolated NAM has been established (41 bands, 30 matched to calculated normal modes, r = 0.9996), independent of any SERS substrate. This reference underlies the target band list used to evaluate every SERS detection attempt in this report.</w:t>
      </w:r>
    </w:p>
    <w:p>
      <w:pPr>
        <w:pStyle w:val="ListNumber"/>
        <w:spacing w:after="60"/>
      </w:pPr>
      <w:r>
        <w:t>The calculated 731 cm⁻¹ mode is shown to be dominated by carboxylic-acid O–H out-of-plane deformation rather than pyranose-ring motion, arguing against assigning the widely-used bacterial ~730 cm⁻¹ SERS marker band to muramic acid.</w:t>
      </w:r>
    </w:p>
    <w:p>
      <w:pPr>
        <w:pStyle w:val="ListNumber"/>
        <w:spacing w:after="60"/>
      </w:pPr>
      <w:r>
        <w:t>Two generations of Ag-based SERS substrate have been fabricated and validated using R6G, both showing strong, non-monotonic concentration/etch-time-dependent enhancement (best SNR 345 and 450 respectively).</w:t>
      </w:r>
    </w:p>
    <w:p>
      <w:pPr>
        <w:pStyle w:val="ListNumber"/>
        <w:spacing w:after="60"/>
      </w:pPr>
      <w:r>
        <w:t>Sensor 1 showed one reproducible, tentative NAM-associated feature (~243 cm⁻¹) that could not be cross-checked against the reference spectrum (out of range) and was not re-examined on Sensor 2.</w:t>
      </w:r>
    </w:p>
    <w:p>
      <w:pPr>
        <w:pStyle w:val="ListNumber"/>
        <w:spacing w:after="60"/>
      </w:pPr>
      <w:r>
        <w:t>Sensor 2, evaluated against the full validated reference band list under rigorous SNR and reproducibility criteria, did not reproducibly detect NAM under any tested condition.</w:t>
      </w:r>
    </w:p>
    <w:p>
      <w:pPr>
        <w:pStyle w:val="ListNumber"/>
        <w:spacing w:after="60"/>
      </w:pPr>
      <w:r>
        <w:t>A full instrument-reference dataset on unetched silicon and a related LTA detection attempt (which uncovered and corrected a single-pixel detector-artefact failure mode) confirm that both sensor generations and the measurement/analysis pipeline are functioning correctly — the NAM null result is attributable to the molecule's intrinsic SERS properties and to methodological gaps (droplet control, unconfirmed low-wavenumber region), not to instrument or substrate failure.</w:t>
      </w:r>
    </w:p>
    <w:p>
      <w:pPr>
        <w:pStyle w:val="ListNumber"/>
        <w:spacing w:after="60"/>
      </w:pPr>
      <w:r>
        <w:t>A 4-MPBA surface-functionalisation strategy, grounded in five independent literature precedents for MPBA/Ag carbohydrate SERS, is proposed as the next stage, with an explicit experimental sequence designed to keep substrate, functionalisation and binding failure modes distinguishable.</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B3A6B"/>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