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SENTRY</w:t>
      </w:r>
    </w:p>
    <w:p>
      <w:pPr>
        <w:spacing w:after="40"/>
        <w:jc w:val="center"/>
      </w:pPr>
      <w:r>
        <w:rPr>
          <w:i/>
          <w:iCs/>
          <w:sz w:val="26"/>
          <w:szCs w:val="26"/>
        </w:rPr>
        <w:t xml:space="preserve">Fake Social Media Account Detection &amp; Reporting System</w:t>
      </w:r>
    </w:p>
    <w:p>
      <w:pPr>
        <w:spacing w:after="300"/>
        <w:jc w:val="center"/>
      </w:pPr>
      <w:r>
        <w:rPr>
          <w:b/>
          <w:bCs/>
          <w:color w:val="1F3864"/>
          <w:sz w:val="24"/>
          <w:szCs w:val="24"/>
        </w:rPr>
        <w:t xml:space="preserve">Frontend Module — Technical Documentation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PS-SW-003 · Software · Blockchain &amp; Cybersecurity · SIH Sprint 2026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The frontend module is the browser-based dashboard through which a moderator or analyst interacts with the SENTRY detection engine. It is a single-page interface, server-rendered by Flask and made interactive with vanilla JavaScript — no frontend framework or build step is used, keeping the module lightweight and dependency-free.</w:t>
      </w:r>
    </w:p>
    <w:p>
      <w:pPr>
        <w:spacing w:after="120"/>
      </w:pPr>
      <w:r>
        <w:t xml:space="preserve">The module is responsible for three things: collecting the observed signals for a profile under review, calling the backend detection API and visualising the returned risk assessment, and giving the reviewer a live view of the case log that stands in for the central agency's queue.</w:t>
      </w:r>
    </w:p>
    <w:p>
      <w:pPr>
        <w:pStyle w:val="Heading1"/>
        <w:spacing w:after="150" w:before="300"/>
      </w:pPr>
      <w:r>
        <w:t xml:space="preserve">2. File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templates/index.html   Dashboard markup (Jinja2 template)</w:t>
      </w:r>
      <w:r>
        <w:rPr>
          <w:rFonts w:ascii="Consolas" w:cs="Consolas" w:eastAsia="Consolas" w:hAnsi="Consolas"/>
          <w:sz w:val="18"/>
          <w:szCs w:val="18"/>
        </w:rPr>
        <w:br/>
        <w:t xml:space="preserve">static/style.css       Visual design system and layout</w:t>
      </w:r>
      <w:r>
        <w:rPr>
          <w:rFonts w:ascii="Consolas" w:cs="Consolas" w:eastAsia="Consolas" w:hAnsi="Consolas"/>
          <w:sz w:val="18"/>
          <w:szCs w:val="18"/>
        </w:rPr>
        <w:br/>
        <w:t xml:space="preserve">static/script.js       Client-side logic and API calls</w:t>
      </w:r>
    </w:p>
    <w:p>
      <w:pPr>
        <w:spacing w:after="120"/>
      </w:pPr>
      <w:r>
        <w:t xml:space="preserve">index.html is rendered by the single Flask route ("/") and references the two static assets via Flask's url_for helper, so paths resolve correctly regardless of deployment path.</w:t>
      </w:r>
    </w:p>
    <w:p>
      <w:pPr>
        <w:pStyle w:val="Heading1"/>
        <w:spacing w:after="150" w:before="300"/>
      </w:pPr>
      <w:r>
        <w:t xml:space="preserve">3. Page Layout</w:t>
      </w:r>
    </w:p>
    <w:p>
      <w:pPr>
        <w:spacing w:after="120"/>
      </w:pPr>
      <w:r>
        <w:t xml:space="preserve">The dashboard is organised as four sequential panels: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Topbar — brand mark ("SENTRY"), a live "ENGINE ONLINE" status badge, and the problem-statement reference (PS-SW-003).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01 · Profile Intake — an input form capturing the observable signals for a single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02 · Risk Assessment — an initially empty state that populates with a gauge, verdict, and contributing signals once a scan is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03 · Central Agency Case Log — a live table of every case that has been filed, with an inline status control and a CSV export link.</w:t>
      </w:r>
    </w:p>
    <w:p>
      <w:pPr>
        <w:spacing w:after="120"/>
      </w:pPr>
      <w:r>
        <w:t xml:space="preserve">A footer notes that the prototype runs entirely on manually entered signals rather than live platform data feeds.</w:t>
      </w:r>
    </w:p>
    <w:p>
      <w:pPr>
        <w:pStyle w:val="Heading2"/>
        <w:spacing w:after="120" w:before="240"/>
      </w:pPr>
      <w:r>
        <w:t xml:space="preserve">3.1 Profile Intake Form</w:t>
      </w:r>
    </w:p>
    <w:p>
      <w:pPr>
        <w:spacing w:after="120"/>
      </w:pPr>
      <w:r>
        <w:t xml:space="preserve">Fields are grouped into two- and three-column grids so the form stays compact on a single screen. Captured fields are: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2200"/>
      </w:tblGrid>
      <w:tr>
        <w:trPr>
          <w:tblHeader/>
        </w:trPr>
        <w:tc>
          <w:tcPr>
            <w:tcW w:type="dxa" w:w="3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(required)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(Instagram / Facebook / X / generic)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age (days)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Followers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Following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posts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posts / day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(step 0.1)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rate (0–1)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(step 0.01)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 text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textarea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profile photo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checkbox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looks stock/stolen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checkbox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unchecked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 username changes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Three actions sit below the fields: "Run Detection Scan" submits the form, while "Load suspicious example" and "Load genuine example" fill every field with a pre-set scenario so the detector can be demonstrated without typing data by hand.</w:t>
      </w:r>
    </w:p>
    <w:p>
      <w:pPr>
        <w:pStyle w:val="Heading2"/>
        <w:spacing w:after="120" w:before="240"/>
      </w:pPr>
      <w:r>
        <w:t xml:space="preserve">3.2 Risk Assessment Panel</w:t>
      </w:r>
    </w:p>
    <w:p>
      <w:pPr>
        <w:spacing w:after="120"/>
      </w:pPr>
      <w:r>
        <w:t xml:space="preserve">Before a scan runs, this panel shows a placeholder message. Once a result returns, it reveals: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SVG gauge (0–100) whose fill colour and needle angle scale with the final risk score — cyan for low risk, amber for medium, red for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verdict pill and a confidence readout.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score breakdown chip pair showing the rule-engine score and the ML classifier score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"Contributing signals" list — the specific reasons the account was flagged, or a reassuring message if none were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"Report to Central Agency" button, shown only when the score meets the reporting threshold.</w:t>
      </w:r>
    </w:p>
    <w:p>
      <w:pPr>
        <w:pStyle w:val="Heading2"/>
        <w:spacing w:after="120" w:before="240"/>
      </w:pPr>
      <w:r>
        <w:t xml:space="preserve">3.3 Central Agency Case Log</w:t>
      </w:r>
    </w:p>
    <w:p>
      <w:pPr>
        <w:spacing w:after="120"/>
      </w:pPr>
      <w:r>
        <w:t xml:space="preserve">A table lists every filed case: case ID, account, platform, score, verdict, filed date/time, and a status dropdown. The dropdown lets a reviewer move a case through the pipeline (Pending Agency Review → Escalated to Platform → Account Suspended, or Dismissed – False Positive) directly from the table. An "Export CSV" link hands the log off for compliance/agency use.</w:t>
      </w:r>
    </w:p>
    <w:p>
      <w:pPr>
        <w:pStyle w:val="Heading1"/>
        <w:spacing w:after="150" w:before="300"/>
      </w:pPr>
      <w:r>
        <w:t xml:space="preserve">4. Client-side Logic (script.js)</w:t>
      </w:r>
    </w:p>
    <w:p>
      <w:pPr>
        <w:spacing w:after="120"/>
      </w:pPr>
      <w:r>
        <w:t xml:space="preserve">The script is organised around a handful of DOM references captured at load time and a small set of functions: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tierClass(score)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 a numeric score to a low / medium / high risk tier for styling.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formToPayload()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the intake form into a plain JSON payload for the API.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renderResult(data)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Updates the gauge, verdict, score chips and reasons list from an API response.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loadCases()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Fetches the case log and rebuilds the table, wiring each row's status dropdown.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demo-fake / demo-real handlers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Pre-fill the form with a suspicious or genuine example profile.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All communication with the backend is via fetch() calls to JSON endpoints — no page reloads occur after the initial load: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/api/scan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submit — runs the detector and returns the risk assessment.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"Report to Central Agency" button — files the last assessment as a case.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loadCases() — populates the case log table on load and after filing a report.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/api/reports/{id}/status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dropdown change — updates a case's pipeline status.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/api/reports/export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(link)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"Export CSV" — downloads the case log.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gauge fill and needle are animated purely with CSS custom properties (stroke-dashoffset and a rotation transform) driven from the returned final_score, so no charting library is required.</w:t>
      </w:r>
    </w:p>
    <w:p>
      <w:pPr>
        <w:pStyle w:val="Heading1"/>
        <w:spacing w:after="150" w:before="300"/>
      </w:pPr>
      <w:r>
        <w:t xml:space="preserve">5. Visual Design (style.css)</w:t>
      </w:r>
    </w:p>
    <w:p>
      <w:pPr>
        <w:spacing w:after="120"/>
      </w:pPr>
      <w:r>
        <w:t xml:space="preserve">The design uses a dark, monitoring-console aesthetic appropriate to a security/detection tool: IBM Plex Sans for interface text and JetBrains Mono for numeric/technical readouts, loaded from Google Fonts. Colour is used semantically — cyan for low risk, amber for medium risk, and red for high risk — applied consistently across the gauge, verdict pill, and score tags in the case table.</w:t>
      </w:r>
    </w:p>
    <w:p>
      <w:pPr>
        <w:spacing w:after="120"/>
      </w:pPr>
      <w:r>
        <w:t xml:space="preserve">Layout is grid-based: the intake and assessment panels sit side by side on wide viewports, and the case log spans the full width beneath them.</w:t>
      </w:r>
    </w:p>
    <w:p>
      <w:pPr>
        <w:pStyle w:val="Heading1"/>
        <w:spacing w:after="150" w:before="300"/>
      </w:pPr>
      <w:r>
        <w:t xml:space="preserve">6. Design Notes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frontend build tooling (bundler, framework, or package manager) is used — the module is plain HTML/CSS/JS served directly by Flask, which keeps the prototype easy to run and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detection signals are entered manually; the README notes that wiring in real platform API data (Meta Graph API, X API, etc.) is a suggested next step rather than part of the current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interface is single-page and does not currently implement authentication or role-based views for different reviewer roles.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2026-08-11T09:26:33.029Z</dcterms:created>
  <dcterms:modified xsi:type="dcterms:W3CDTF">2026-08-11T09:26:33.041Z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