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C00000"/>
          <w:sz w:val="36"/>
          <w:szCs w:val="36"/>
        </w:rPr>
        <w:t xml:space="preserve">Marketing Campaign Dashboard</w:t>
      </w:r>
    </w:p>
    <w:p>
      <w:pPr>
        <w:spacing w:after="100"/>
        <w:jc w:val="center"/>
      </w:pPr>
      <w:r>
        <w:rPr>
          <w:b/>
          <w:bCs/>
          <w:color w:val="2E2E2E"/>
          <w:sz w:val="28"/>
          <w:szCs w:val="28"/>
        </w:rPr>
        <w:t xml:space="preserve">Dashboard Insights Summary</w:t>
      </w:r>
    </w:p>
    <w:p>
      <w:pPr>
        <w:pBdr>
          <w:bottom w:val="single" w:color="C00000" w:sz="8"/>
        </w:pBdr>
        <w:spacing w:after="300"/>
      </w:pPr>
    </w:p>
    <w:p>
      <w:pPr>
        <w:spacing w:after="400"/>
      </w:pPr>
      <w:r>
        <w:rPr>
          <w:b/>
          <w:bCs/>
          <w:i/>
          <w:iCs/>
          <w:color w:val="C00000"/>
          <w:sz w:val="20"/>
          <w:szCs w:val="20"/>
        </w:rPr>
        <w:t xml:space="preserve">Note: </w:t>
      </w:r>
      <w:r>
        <w:rPr>
          <w:i/>
          <w:iCs/>
          <w:color w:val="444444"/>
          <w:sz w:val="20"/>
          <w:szCs w:val="20"/>
        </w:rPr>
        <w:t xml:space="preserve">This is not a detailed view — this is an overview of every segment and key insight derived from each dashboard page.</w:t>
      </w:r>
    </w:p>
    <w:p>
      <w:pPr>
        <w:spacing w:after="120" w:before="300"/>
      </w:pPr>
      <w:r>
        <w:rPr>
          <w:b/>
          <w:bCs/>
          <w:color w:val="C00000"/>
          <w:sz w:val="24"/>
          <w:szCs w:val="24"/>
        </w:rPr>
        <w:t xml:space="preserve">Page 1 — Executive Overall</w:t>
      </w:r>
    </w:p>
    <w:p>
      <w:pPr>
        <w:pBdr>
          <w:left w:val="single" w:color="C00000" w:sz="16"/>
        </w:pBdr>
        <w:spacing w:after="80"/>
        <w:ind w:left="360"/>
      </w:pPr>
      <w:r>
        <w:rPr>
          <w:color w:val="2E2E2E"/>
          <w:sz w:val="20"/>
          <w:szCs w:val="20"/>
        </w:rPr>
        <w:t xml:space="preserve">200K campaigns ran across all channels with a total spend of $2.5bn, generating an average ROI of 5.00 and 8.01% conversion rate — indicating a stable but uniform campaign performance overall.</w:t>
      </w:r>
    </w:p>
    <w:p>
      <w:pPr>
        <w:spacing w:after="160"/>
      </w:pPr>
    </w:p>
    <w:p>
      <w:pPr>
        <w:spacing w:after="120" w:before="300"/>
      </w:pPr>
      <w:r>
        <w:rPr>
          <w:b/>
          <w:bCs/>
          <w:color w:val="C00000"/>
          <w:sz w:val="24"/>
          <w:szCs w:val="24"/>
        </w:rPr>
        <w:t xml:space="preserve">Page 2 — Company Performance</w:t>
      </w:r>
    </w:p>
    <w:p>
      <w:pPr>
        <w:pBdr>
          <w:left w:val="single" w:color="C00000" w:sz="16"/>
        </w:pBdr>
        <w:spacing w:after="80"/>
        <w:ind w:left="360"/>
      </w:pPr>
      <w:r>
        <w:rPr>
          <w:color w:val="2E2E2E"/>
          <w:sz w:val="20"/>
          <w:szCs w:val="20"/>
        </w:rPr>
        <w:t xml:space="preserve">TechCorp leads in Total Campaigns (40,237) and Clicks (22.17M), while Innovate Industries lags slightly with 39,709 campaigns — however, all 5 companies show near-identical ROI (~5.00) and Conversion Rate (~8%), suggesting no single company holds a significant competitive edge.</w:t>
      </w:r>
    </w:p>
    <w:p>
      <w:pPr>
        <w:spacing w:after="160"/>
      </w:pPr>
    </w:p>
    <w:p>
      <w:pPr>
        <w:spacing w:after="120" w:before="300"/>
      </w:pPr>
      <w:r>
        <w:rPr>
          <w:b/>
          <w:bCs/>
          <w:color w:val="C00000"/>
          <w:sz w:val="24"/>
          <w:szCs w:val="24"/>
        </w:rPr>
        <w:t xml:space="preserve">Page 3 — Channel &amp; Campaign Analysis</w:t>
      </w:r>
    </w:p>
    <w:p>
      <w:pPr>
        <w:pBdr>
          <w:left w:val="single" w:color="C00000" w:sz="16"/>
        </w:pBdr>
        <w:spacing w:after="80"/>
        <w:ind w:left="360"/>
      </w:pPr>
      <w:r>
        <w:rPr>
          <w:color w:val="2E2E2E"/>
          <w:sz w:val="20"/>
          <w:szCs w:val="20"/>
        </w:rPr>
        <w:t xml:space="preserve">Email channel drives the highest spend ($420.9M) and clicks (18.49M), while Facebook generates the lowest clicks (18.04M) despite comparable spend — suggesting Email remains the most efficient channel for audience reach.</w:t>
      </w:r>
    </w:p>
    <w:p>
      <w:pPr>
        <w:spacing w:after="160"/>
      </w:pPr>
    </w:p>
    <w:p>
      <w:pPr>
        <w:spacing w:after="120" w:before="300"/>
      </w:pPr>
      <w:r>
        <w:rPr>
          <w:b/>
          <w:bCs/>
          <w:color w:val="C00000"/>
          <w:sz w:val="24"/>
          <w:szCs w:val="24"/>
        </w:rPr>
        <w:t xml:space="preserve">Page 4 — Performance Trends</w:t>
      </w:r>
    </w:p>
    <w:p>
      <w:pPr>
        <w:pBdr>
          <w:left w:val="single" w:color="C00000" w:sz="16"/>
        </w:pBdr>
        <w:spacing w:after="80"/>
        <w:ind w:left="360"/>
      </w:pPr>
      <w:r>
        <w:rPr>
          <w:color w:val="2E2E2E"/>
          <w:sz w:val="20"/>
          <w:szCs w:val="20"/>
        </w:rPr>
        <w:t xml:space="preserve">October recorded the highest clicks and campaign activity, while September peaked in ROI (5.03) and April led in Conversion Rate (8.05%) — indicating mid-year and Q4 periods are most effective for campaign performance.</w:t>
      </w:r>
    </w:p>
    <w:p>
      <w:pPr>
        <w:spacing w:after="160"/>
      </w:pPr>
    </w:p>
    <w:p>
      <w:pPr>
        <w:spacing w:after="120" w:before="300"/>
      </w:pPr>
      <w:r>
        <w:rPr>
          <w:b/>
          <w:bCs/>
          <w:color w:val="C00000"/>
          <w:sz w:val="24"/>
          <w:szCs w:val="24"/>
        </w:rPr>
        <w:t xml:space="preserve">Page 5 — Audience Insights</w:t>
      </w:r>
    </w:p>
    <w:p>
      <w:pPr>
        <w:pBdr>
          <w:left w:val="single" w:color="C00000" w:sz="16"/>
        </w:pBdr>
        <w:spacing w:after="80"/>
        <w:ind w:left="360"/>
      </w:pPr>
      <w:r>
        <w:rPr>
          <w:color w:val="2E2E2E"/>
          <w:sz w:val="20"/>
          <w:szCs w:val="20"/>
        </w:rPr>
        <w:t xml:space="preserve">French-speaking audiences show the highest conversion rate (8.03%), while Foodies segment drives maximum clicks (22.08M) — suggesting targeted campaigns toward French language and food-interest audiences could yield better returns.</w:t>
      </w:r>
    </w:p>
    <w:p>
      <w:pPr>
        <w:spacing w:after="160"/>
      </w:pPr>
    </w:p>
    <w:p>
      <w:pPr>
        <w:spacing w:after="120" w:before="300"/>
      </w:pPr>
      <w:r>
        <w:rPr>
          <w:b/>
          <w:bCs/>
          <w:color w:val="C00000"/>
          <w:sz w:val="24"/>
          <w:szCs w:val="24"/>
        </w:rPr>
        <w:t xml:space="preserve">Page 6 — Advanced Analytics</w:t>
      </w:r>
    </w:p>
    <w:p>
      <w:pPr>
        <w:pBdr>
          <w:left w:val="single" w:color="C00000" w:sz="16"/>
        </w:pBdr>
        <w:spacing w:after="80"/>
        <w:ind w:left="360"/>
      </w:pPr>
      <w:r>
        <w:rPr>
          <w:color w:val="2E2E2E"/>
          <w:sz w:val="20"/>
          <w:szCs w:val="20"/>
        </w:rPr>
        <w:t xml:space="preserve">Despite visible separation in scatter plots, all companies operate within a narrow performance band (ROI: 4.99–5.01, Cost: 12.49K–12.51K) — suggesting consistent and uniform campaign execution across all companies with no significant outlier.</w:t>
      </w:r>
    </w:p>
    <w:p>
      <w:pPr>
        <w:spacing w:after="160"/>
      </w:pPr>
    </w:p>
    <w:p>
      <w:pPr>
        <w:pBdr>
          <w:top w:val="single" w:color="C00000" w:sz="8"/>
        </w:pBdr>
        <w:spacing w:before="400"/>
        <w:jc w:val="center"/>
      </w:pPr>
      <w:r>
        <w:rPr>
          <w:i/>
          <w:iCs/>
          <w:color w:val="888888"/>
          <w:sz w:val="16"/>
          <w:szCs w:val="16"/>
        </w:rPr>
        <w:t xml:space="preserve">Prepared by Sukhdev Gujjar  |  Power BI Marketing Campaign Dashboard  |  2021 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2026-07-04T06:58:30.689Z</dcterms:created>
  <dcterms:modified xsi:type="dcterms:W3CDTF">2026-07-04T06:58:30.689Z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