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7B2FBE"/>
          <w:sz w:val="56"/>
          <w:szCs w:val="56"/>
        </w:rPr>
        <w:t xml:space="preserve">Maven Fuzzy Factory</w:t>
      </w:r>
    </w:p>
    <w:p>
      <w:pPr>
        <w:spacing w:after="60" w:before="60"/>
        <w:jc w:val="center"/>
      </w:pPr>
      <w:r>
        <w:rPr>
          <w:rFonts w:ascii="Arial" w:cs="Arial" w:eastAsia="Arial" w:hAnsi="Arial"/>
          <w:color w:val="4A1A8A"/>
          <w:sz w:val="36"/>
          <w:szCs w:val="36"/>
        </w:rPr>
        <w:t xml:space="preserve">E-Commerce Analytics Report</w:t>
      </w:r>
    </w:p>
    <w:p>
      <w:pPr>
        <w:spacing w:after="240" w:before="60"/>
        <w:jc w:val="center"/>
      </w:pPr>
      <w:r>
        <w:rPr>
          <w:rFonts w:ascii="Arial" w:cs="Arial" w:eastAsia="Arial" w:hAnsi="Arial"/>
          <w:color w:val="555555"/>
          <w:sz w:val="26"/>
          <w:szCs w:val="26"/>
        </w:rPr>
        <w:t xml:space="preserve">March 2012 – March 2015</w:t>
      </w:r>
    </w:p>
    <w:p>
      <w:pPr>
        <w:pBdr>
          <w:bottom w:val="single" w:color="7B2FBE" w:sz="4" w:space="1"/>
        </w:pBdr>
        <w:spacing w:after="120" w:before="120"/>
      </w:pPr>
      <w:r>
        <w:t xml:space="preserve"/>
      </w:r>
    </w:p>
    <w:p>
      <w:pPr>
        <w:spacing w:after="80" w:before="80"/>
      </w:pPr>
      <w:r>
        <w:t xml:space="preserve"/>
      </w:r>
    </w:p>
    <w:p>
      <w:pPr>
        <w:jc w:val="center"/>
      </w:pPr>
      <w:r>
        <w:rPr>
          <w:rFonts w:ascii="Arial" w:cs="Arial" w:eastAsia="Arial" w:hAnsi="Arial"/>
          <w:color w:val="333333"/>
          <w:sz w:val="22"/>
          <w:szCs w:val="22"/>
        </w:rPr>
        <w:t xml:space="preserve">Prepared by: Sukhdev Gujjar</w:t>
      </w:r>
    </w:p>
    <w:p>
      <w:pPr>
        <w:jc w:val="center"/>
      </w:pPr>
      <w:r>
        <w:rPr>
          <w:rFonts w:ascii="Arial" w:cs="Arial" w:eastAsia="Arial" w:hAnsi="Arial"/>
          <w:color w:val="333333"/>
          <w:sz w:val="22"/>
          <w:szCs w:val="22"/>
        </w:rPr>
        <w:t xml:space="preserve">Data Analyst  |  SQL Server + Power BI</w:t>
      </w:r>
    </w:p>
    <w:p>
      <w:pPr>
        <w:jc w:val="center"/>
      </w:pPr>
      <w:r>
        <w:rPr>
          <w:rFonts w:ascii="Arial" w:cs="Arial" w:eastAsia="Arial" w:hAnsi="Arial"/>
          <w:color w:val="7B2FBE"/>
          <w:sz w:val="22"/>
          <w:szCs w:val="22"/>
        </w:rPr>
        <w:t xml:space="preserve">sukhdev-data-analyst.lovable.app</w:t>
      </w:r>
    </w:p>
    <w:p>
      <w:pPr>
        <w:spacing w:after="80" w:before="80"/>
      </w:pPr>
      <w:r>
        <w:t xml:space="preserve"/>
      </w:r>
    </w:p>
    <w:p>
      <w:pPr>
        <w:spacing w:after="80" w:before="80"/>
      </w:pPr>
      <w:r>
        <w:t xml:space="preserve"/>
      </w:r>
    </w:p>
    <w:p>
      <w:pPr>
        <w:spacing w:after="60" w:before="120"/>
        <w:jc w:val="center"/>
      </w:pPr>
      <w:r>
        <w:rPr>
          <w:rFonts w:ascii="Arial" w:cs="Arial" w:eastAsia="Arial" w:hAnsi="Arial"/>
          <w:b/>
          <w:bCs/>
          <w:color w:val="4A1A8A"/>
          <w:sz w:val="24"/>
          <w:szCs w:val="24"/>
        </w:rPr>
        <w:t xml:space="preserve">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Tool</w:t>
            </w:r>
          </w:p>
        </w:tc>
        <w:tc>
          <w:tcPr>
            <w:tcW w:type="dxa" w:w="468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SQL Server (SSMS)</w:t>
            </w:r>
          </w:p>
        </w:tc>
        <w:tc>
          <w:tcPr>
            <w:tcW w:type="dxa" w:w="468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Data import, cleaning, EDA, and analytical queries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BI Desktop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dashboard with 4 analysis pages</w:t>
            </w:r>
          </w:p>
        </w:tc>
      </w:tr>
      <w:tr>
        <w:tc>
          <w:tcPr>
            <w:tcW w:type="dxa" w:w="468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DAX</w:t>
            </w:r>
          </w:p>
        </w:tc>
        <w:tc>
          <w:tcPr>
            <w:tcW w:type="dxa" w:w="468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Custom KPI measures and calculated columns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Views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data layers for Power BI connection</w:t>
            </w:r>
          </w:p>
        </w:tc>
      </w:tr>
    </w:tbl>
    <w:p>
      <w:r>
        <w:br w:type="page"/>
      </w:r>
    </w:p>
    <w:p>
      <w:pPr>
        <w:pStyle w:val="Heading1"/>
        <w:spacing w:after="160" w:before="320"/>
      </w:pPr>
      <w:r>
        <w:rPr>
          <w:rFonts w:ascii="Arial" w:cs="Arial" w:eastAsia="Arial" w:hAnsi="Arial"/>
          <w:b/>
          <w:bCs/>
          <w:color w:val="7B2FBE"/>
          <w:sz w:val="36"/>
          <w:szCs w:val="36"/>
        </w:rPr>
        <w:t xml:space="preserve">1. Executive Overview</w:t>
      </w:r>
    </w:p>
    <w:p>
      <w:pPr>
        <w:pBdr>
          <w:bottom w:val="single" w:color="7B2FBE" w:sz="4" w:space="1"/>
        </w:pBdr>
        <w:spacing w:after="120" w:before="120"/>
      </w:pPr>
      <w:r>
        <w:t xml:space="preserve"/>
      </w:r>
    </w:p>
    <w:p>
      <w:pPr>
        <w:spacing w:after="80" w:before="80"/>
      </w:pPr>
      <w:r>
        <w:rPr>
          <w:rFonts w:ascii="Arial" w:cs="Arial" w:eastAsia="Arial" w:hAnsi="Arial"/>
          <w:sz w:val="22"/>
          <w:szCs w:val="22"/>
        </w:rPr>
        <w:t xml:space="preserve">Maven Fuzzy Factory, an online teddy bear retailer, demonstrated strong and consistent business growth from March 2012 to March 2015. This report captures performance across four key areas: Traffic &amp; Sessions, Conversion, Revenue &amp; Products, and Refunds.</w:t>
      </w:r>
    </w:p>
    <w:p>
      <w:pPr>
        <w:spacing w:after="80" w:before="80"/>
      </w:pPr>
      <w:r>
        <w:t xml:space="preserve"/>
      </w:r>
    </w:p>
    <w:p>
      <w:pPr>
        <w:spacing w:after="60" w:before="60"/>
      </w:pPr>
      <w:r>
        <w:rPr>
          <w:rFonts w:ascii="Arial" w:cs="Arial" w:eastAsia="Arial" w:hAnsi="Arial"/>
          <w:i/>
          <w:iCs/>
          <w:color w:val="AA5500"/>
          <w:sz w:val="20"/>
          <w:szCs w:val="20"/>
        </w:rPr>
        <w:t xml:space="preserve">Note: 2012 contains data from March to December only (10 months). 2015 contains data from January to March only (3 months). Use 2013 and 2014 for accurate year-over-year comparison.</w:t>
      </w:r>
    </w:p>
    <w:p>
      <w:pPr>
        <w:spacing w:after="80" w:before="80"/>
      </w:pPr>
      <w:r>
        <w:t xml:space="preserve"/>
      </w:r>
    </w:p>
    <w:p>
      <w:pPr>
        <w:spacing w:after="80" w:before="200"/>
      </w:pPr>
      <w:r>
        <w:rPr>
          <w:rFonts w:ascii="Arial" w:cs="Arial" w:eastAsia="Arial" w:hAnsi="Arial"/>
          <w:b/>
          <w:bCs/>
          <w:color w:val="2C2C2A"/>
          <w:sz w:val="24"/>
          <w:szCs w:val="24"/>
        </w:rPr>
        <w:t xml:space="preserve">Key Performance Indicators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2FBE" w:sz="1"/>
              <w:left w:val="single" w:color="7B2FBE" w:sz="1"/>
              <w:bottom w:val="single" w:color="7B2FBE" w:sz="1"/>
              <w:right w:val="single" w:color="7B2FBE" w:sz="1"/>
            </w:tcBorders>
            <w:shd w:fill="F3E8FF" w:val="clear"/>
            <w:tcMar>
              <w:top w:type="dxa" w:w="100"/>
              <w:left w:type="dxa" w:w="120"/>
              <w:bottom w:type="dxa" w:w="100"/>
              <w:right w:type="dxa" w:w="120"/>
            </w:tcMar>
          </w:tcPr>
          <w:p>
            <w:pPr>
              <w:jc w:val="center"/>
            </w:pPr>
            <w:r>
              <w:rPr>
                <w:rFonts w:ascii="Arial" w:cs="Arial" w:eastAsia="Arial" w:hAnsi="Arial"/>
                <w:color w:val="555555"/>
                <w:sz w:val="18"/>
                <w:szCs w:val="18"/>
              </w:rPr>
              <w:t xml:space="preserve">Total Sessions</w:t>
            </w:r>
          </w:p>
          <w:p>
            <w:pPr>
              <w:jc w:val="center"/>
            </w:pPr>
            <w:r>
              <w:rPr>
                <w:rFonts w:ascii="Arial" w:cs="Arial" w:eastAsia="Arial" w:hAnsi="Arial"/>
                <w:b/>
                <w:bCs/>
                <w:color w:val="4A1A8A"/>
                <w:sz w:val="26"/>
                <w:szCs w:val="26"/>
              </w:rPr>
              <w:t xml:space="preserve">472,871</w:t>
            </w:r>
          </w:p>
        </w:tc>
        <w:tc>
          <w:tcPr>
            <w:tcW w:type="dxa" w:w="2340"/>
            <w:tcBorders>
              <w:top w:val="single" w:color="7B2FBE" w:sz="1"/>
              <w:left w:val="single" w:color="7B2FBE" w:sz="1"/>
              <w:bottom w:val="single" w:color="7B2FBE" w:sz="1"/>
              <w:right w:val="single" w:color="7B2FBE" w:sz="1"/>
            </w:tcBorders>
            <w:shd w:fill="F3E8FF" w:val="clear"/>
            <w:tcMar>
              <w:top w:type="dxa" w:w="100"/>
              <w:left w:type="dxa" w:w="120"/>
              <w:bottom w:type="dxa" w:w="100"/>
              <w:right w:type="dxa" w:w="120"/>
            </w:tcMar>
          </w:tcPr>
          <w:p>
            <w:pPr>
              <w:jc w:val="center"/>
            </w:pPr>
            <w:r>
              <w:rPr>
                <w:rFonts w:ascii="Arial" w:cs="Arial" w:eastAsia="Arial" w:hAnsi="Arial"/>
                <w:color w:val="555555"/>
                <w:sz w:val="18"/>
                <w:szCs w:val="18"/>
              </w:rPr>
              <w:t xml:space="preserve">Total Orders</w:t>
            </w:r>
          </w:p>
          <w:p>
            <w:pPr>
              <w:jc w:val="center"/>
            </w:pPr>
            <w:r>
              <w:rPr>
                <w:rFonts w:ascii="Arial" w:cs="Arial" w:eastAsia="Arial" w:hAnsi="Arial"/>
                <w:b/>
                <w:bCs/>
                <w:color w:val="4A1A8A"/>
                <w:sz w:val="26"/>
                <w:szCs w:val="26"/>
              </w:rPr>
              <w:t xml:space="preserve">32,313</w:t>
            </w:r>
          </w:p>
        </w:tc>
        <w:tc>
          <w:tcPr>
            <w:tcW w:type="dxa" w:w="2340"/>
            <w:tcBorders>
              <w:top w:val="single" w:color="7B2FBE" w:sz="1"/>
              <w:left w:val="single" w:color="7B2FBE" w:sz="1"/>
              <w:bottom w:val="single" w:color="7B2FBE" w:sz="1"/>
              <w:right w:val="single" w:color="7B2FBE" w:sz="1"/>
            </w:tcBorders>
            <w:shd w:fill="F3E8FF" w:val="clear"/>
            <w:tcMar>
              <w:top w:type="dxa" w:w="100"/>
              <w:left w:type="dxa" w:w="120"/>
              <w:bottom w:type="dxa" w:w="100"/>
              <w:right w:type="dxa" w:w="120"/>
            </w:tcMar>
          </w:tcPr>
          <w:p>
            <w:pPr>
              <w:jc w:val="center"/>
            </w:pPr>
            <w:r>
              <w:rPr>
                <w:rFonts w:ascii="Arial" w:cs="Arial" w:eastAsia="Arial" w:hAnsi="Arial"/>
                <w:color w:val="555555"/>
                <w:sz w:val="18"/>
                <w:szCs w:val="18"/>
              </w:rPr>
              <w:t xml:space="preserve">Conversion Rate</w:t>
            </w:r>
          </w:p>
          <w:p>
            <w:pPr>
              <w:jc w:val="center"/>
            </w:pPr>
            <w:r>
              <w:rPr>
                <w:rFonts w:ascii="Arial" w:cs="Arial" w:eastAsia="Arial" w:hAnsi="Arial"/>
                <w:b/>
                <w:bCs/>
                <w:color w:val="4A1A8A"/>
                <w:sz w:val="26"/>
                <w:szCs w:val="26"/>
              </w:rPr>
              <w:t xml:space="preserve">6.83%</w:t>
            </w:r>
          </w:p>
        </w:tc>
        <w:tc>
          <w:tcPr>
            <w:tcW w:type="dxa" w:w="2340"/>
            <w:tcBorders>
              <w:top w:val="single" w:color="7B2FBE" w:sz="1"/>
              <w:left w:val="single" w:color="7B2FBE" w:sz="1"/>
              <w:bottom w:val="single" w:color="7B2FBE" w:sz="1"/>
              <w:right w:val="single" w:color="7B2FBE" w:sz="1"/>
            </w:tcBorders>
            <w:shd w:fill="F3E8FF" w:val="clear"/>
            <w:tcMar>
              <w:top w:type="dxa" w:w="100"/>
              <w:left w:type="dxa" w:w="120"/>
              <w:bottom w:type="dxa" w:w="100"/>
              <w:right w:type="dxa" w:w="120"/>
            </w:tcMar>
          </w:tcPr>
          <w:p>
            <w:pPr>
              <w:jc w:val="center"/>
            </w:pPr>
            <w:r>
              <w:rPr>
                <w:rFonts w:ascii="Arial" w:cs="Arial" w:eastAsia="Arial" w:hAnsi="Arial"/>
                <w:color w:val="555555"/>
                <w:sz w:val="18"/>
                <w:szCs w:val="18"/>
              </w:rPr>
              <w:t xml:space="preserve">Avg Order Value</w:t>
            </w:r>
          </w:p>
          <w:p>
            <w:pPr>
              <w:jc w:val="center"/>
            </w:pPr>
            <w:r>
              <w:rPr>
                <w:rFonts w:ascii="Arial" w:cs="Arial" w:eastAsia="Arial" w:hAnsi="Arial"/>
                <w:b/>
                <w:bCs/>
                <w:color w:val="4A1A8A"/>
                <w:sz w:val="26"/>
                <w:szCs w:val="26"/>
              </w:rPr>
              <w:t xml:space="preserve">$59.99</w:t>
            </w:r>
          </w:p>
        </w:tc>
      </w:tr>
      <w:tr>
        <w:tc>
          <w:tcPr>
            <w:tcW w:type="dxa" w:w="2340"/>
            <w:tcBorders>
              <w:top w:val="single" w:color="7B2FBE" w:sz="1"/>
              <w:left w:val="single" w:color="7B2FBE" w:sz="1"/>
              <w:bottom w:val="single" w:color="7B2FBE" w:sz="1"/>
              <w:right w:val="single" w:color="7B2FBE" w:sz="1"/>
            </w:tcBorders>
            <w:shd w:fill="F3E8FF" w:val="clear"/>
            <w:tcMar>
              <w:top w:type="dxa" w:w="100"/>
              <w:left w:type="dxa" w:w="120"/>
              <w:bottom w:type="dxa" w:w="100"/>
              <w:right w:type="dxa" w:w="120"/>
            </w:tcMar>
          </w:tcPr>
          <w:p>
            <w:pPr>
              <w:jc w:val="center"/>
            </w:pPr>
            <w:r>
              <w:rPr>
                <w:rFonts w:ascii="Arial" w:cs="Arial" w:eastAsia="Arial" w:hAnsi="Arial"/>
                <w:color w:val="555555"/>
                <w:sz w:val="18"/>
                <w:szCs w:val="18"/>
              </w:rPr>
              <w:t xml:space="preserve">Gross Revenue</w:t>
            </w:r>
          </w:p>
          <w:p>
            <w:pPr>
              <w:jc w:val="center"/>
            </w:pPr>
            <w:r>
              <w:rPr>
                <w:rFonts w:ascii="Arial" w:cs="Arial" w:eastAsia="Arial" w:hAnsi="Arial"/>
                <w:b/>
                <w:bCs/>
                <w:color w:val="4A1A8A"/>
                <w:sz w:val="26"/>
                <w:szCs w:val="26"/>
              </w:rPr>
              <w:t xml:space="preserve">$1.94M</w:t>
            </w:r>
          </w:p>
        </w:tc>
        <w:tc>
          <w:tcPr>
            <w:tcW w:type="dxa" w:w="2340"/>
            <w:tcBorders>
              <w:top w:val="single" w:color="7B2FBE" w:sz="1"/>
              <w:left w:val="single" w:color="7B2FBE" w:sz="1"/>
              <w:bottom w:val="single" w:color="7B2FBE" w:sz="1"/>
              <w:right w:val="single" w:color="7B2FBE" w:sz="1"/>
            </w:tcBorders>
            <w:shd w:fill="F3E8FF" w:val="clear"/>
            <w:tcMar>
              <w:top w:type="dxa" w:w="100"/>
              <w:left w:type="dxa" w:w="120"/>
              <w:bottom w:type="dxa" w:w="100"/>
              <w:right w:type="dxa" w:w="120"/>
            </w:tcMar>
          </w:tcPr>
          <w:p>
            <w:pPr>
              <w:jc w:val="center"/>
            </w:pPr>
            <w:r>
              <w:rPr>
                <w:rFonts w:ascii="Arial" w:cs="Arial" w:eastAsia="Arial" w:hAnsi="Arial"/>
                <w:color w:val="555555"/>
                <w:sz w:val="18"/>
                <w:szCs w:val="18"/>
              </w:rPr>
              <w:t xml:space="preserve">Gross Profit</w:t>
            </w:r>
          </w:p>
          <w:p>
            <w:pPr>
              <w:jc w:val="center"/>
            </w:pPr>
            <w:r>
              <w:rPr>
                <w:rFonts w:ascii="Arial" w:cs="Arial" w:eastAsia="Arial" w:hAnsi="Arial"/>
                <w:b/>
                <w:bCs/>
                <w:color w:val="4A1A8A"/>
                <w:sz w:val="26"/>
                <w:szCs w:val="26"/>
              </w:rPr>
              <w:t xml:space="preserve">$1.22M</w:t>
            </w:r>
          </w:p>
        </w:tc>
        <w:tc>
          <w:tcPr>
            <w:tcW w:type="dxa" w:w="2340"/>
            <w:tcBorders>
              <w:top w:val="single" w:color="7B2FBE" w:sz="1"/>
              <w:left w:val="single" w:color="7B2FBE" w:sz="1"/>
              <w:bottom w:val="single" w:color="7B2FBE" w:sz="1"/>
              <w:right w:val="single" w:color="7B2FBE" w:sz="1"/>
            </w:tcBorders>
            <w:shd w:fill="F3E8FF" w:val="clear"/>
            <w:tcMar>
              <w:top w:type="dxa" w:w="100"/>
              <w:left w:type="dxa" w:w="120"/>
              <w:bottom w:type="dxa" w:w="100"/>
              <w:right w:type="dxa" w:w="120"/>
            </w:tcMar>
          </w:tcPr>
          <w:p>
            <w:pPr>
              <w:jc w:val="center"/>
            </w:pPr>
            <w:r>
              <w:rPr>
                <w:rFonts w:ascii="Arial" w:cs="Arial" w:eastAsia="Arial" w:hAnsi="Arial"/>
                <w:color w:val="555555"/>
                <w:sz w:val="18"/>
                <w:szCs w:val="18"/>
              </w:rPr>
              <w:t xml:space="preserve">Net Revenue</w:t>
            </w:r>
          </w:p>
          <w:p>
            <w:pPr>
              <w:jc w:val="center"/>
            </w:pPr>
            <w:r>
              <w:rPr>
                <w:rFonts w:ascii="Arial" w:cs="Arial" w:eastAsia="Arial" w:hAnsi="Arial"/>
                <w:b/>
                <w:bCs/>
                <w:color w:val="4A1A8A"/>
                <w:sz w:val="26"/>
                <w:szCs w:val="26"/>
              </w:rPr>
              <w:t xml:space="preserve">$1.85M</w:t>
            </w:r>
          </w:p>
        </w:tc>
        <w:tc>
          <w:tcPr>
            <w:tcW w:type="dxa" w:w="2340"/>
            <w:tcBorders>
              <w:top w:val="single" w:color="7B2FBE" w:sz="1"/>
              <w:left w:val="single" w:color="7B2FBE" w:sz="1"/>
              <w:bottom w:val="single" w:color="7B2FBE" w:sz="1"/>
              <w:right w:val="single" w:color="7B2FBE" w:sz="1"/>
            </w:tcBorders>
            <w:shd w:fill="F3E8FF" w:val="clear"/>
            <w:tcMar>
              <w:top w:type="dxa" w:w="100"/>
              <w:left w:type="dxa" w:w="120"/>
              <w:bottom w:type="dxa" w:w="100"/>
              <w:right w:type="dxa" w:w="120"/>
            </w:tcMar>
          </w:tcPr>
          <w:p>
            <w:pPr>
              <w:jc w:val="center"/>
            </w:pPr>
            <w:r>
              <w:rPr>
                <w:rFonts w:ascii="Arial" w:cs="Arial" w:eastAsia="Arial" w:hAnsi="Arial"/>
                <w:color w:val="555555"/>
                <w:sz w:val="18"/>
                <w:szCs w:val="18"/>
              </w:rPr>
              <w:t xml:space="preserve">Net Profit</w:t>
            </w:r>
          </w:p>
          <w:p>
            <w:pPr>
              <w:jc w:val="center"/>
            </w:pPr>
            <w:r>
              <w:rPr>
                <w:rFonts w:ascii="Arial" w:cs="Arial" w:eastAsia="Arial" w:hAnsi="Arial"/>
                <w:b/>
                <w:bCs/>
                <w:color w:val="4A1A8A"/>
                <w:sz w:val="26"/>
                <w:szCs w:val="26"/>
              </w:rPr>
              <w:t xml:space="preserve">$1.13M</w:t>
            </w:r>
          </w:p>
        </w:tc>
      </w:tr>
      <w:tr>
        <w:tc>
          <w:tcPr>
            <w:tcW w:type="dxa" w:w="2340"/>
            <w:tcBorders>
              <w:top w:val="single" w:color="7B2FBE" w:sz="1"/>
              <w:left w:val="single" w:color="7B2FBE" w:sz="1"/>
              <w:bottom w:val="single" w:color="7B2FBE" w:sz="1"/>
              <w:right w:val="single" w:color="7B2FBE" w:sz="1"/>
            </w:tcBorders>
            <w:shd w:fill="F3E8FF" w:val="clear"/>
            <w:tcMar>
              <w:top w:type="dxa" w:w="100"/>
              <w:left w:type="dxa" w:w="120"/>
              <w:bottom w:type="dxa" w:w="100"/>
              <w:right w:type="dxa" w:w="120"/>
            </w:tcMar>
          </w:tcPr>
          <w:p>
            <w:pPr>
              <w:jc w:val="center"/>
            </w:pPr>
            <w:r>
              <w:rPr>
                <w:rFonts w:ascii="Arial" w:cs="Arial" w:eastAsia="Arial" w:hAnsi="Arial"/>
                <w:color w:val="555555"/>
                <w:sz w:val="18"/>
                <w:szCs w:val="18"/>
              </w:rPr>
              <w:t xml:space="preserve">Return Rate</w:t>
            </w:r>
          </w:p>
          <w:p>
            <w:pPr>
              <w:jc w:val="center"/>
            </w:pPr>
            <w:r>
              <w:rPr>
                <w:rFonts w:ascii="Arial" w:cs="Arial" w:eastAsia="Arial" w:hAnsi="Arial"/>
                <w:b/>
                <w:bCs/>
                <w:color w:val="4A1A8A"/>
                <w:sz w:val="26"/>
                <w:szCs w:val="26"/>
              </w:rPr>
              <w:t xml:space="preserve">4.32%</w:t>
            </w:r>
          </w:p>
        </w:tc>
        <w:tc>
          <w:tcPr>
            <w:tcW w:type="dxa" w:w="2340"/>
            <w:tcBorders>
              <w:top w:val="single" w:color="7B2FBE" w:sz="1"/>
              <w:left w:val="single" w:color="7B2FBE" w:sz="1"/>
              <w:bottom w:val="single" w:color="7B2FBE" w:sz="1"/>
              <w:right w:val="single" w:color="7B2FBE" w:sz="1"/>
            </w:tcBorders>
            <w:shd w:fill="F3E8FF" w:val="clear"/>
            <w:tcMar>
              <w:top w:type="dxa" w:w="100"/>
              <w:left w:type="dxa" w:w="120"/>
              <w:bottom w:type="dxa" w:w="100"/>
              <w:right w:type="dxa" w:w="120"/>
            </w:tcMar>
          </w:tcPr>
          <w:p>
            <w:pPr>
              <w:jc w:val="center"/>
            </w:pPr>
            <w:r>
              <w:rPr>
                <w:rFonts w:ascii="Arial" w:cs="Arial" w:eastAsia="Arial" w:hAnsi="Arial"/>
                <w:color w:val="555555"/>
                <w:sz w:val="18"/>
                <w:szCs w:val="18"/>
              </w:rPr>
              <w:t xml:space="preserve">Refund Loss</w:t>
            </w:r>
          </w:p>
          <w:p>
            <w:pPr>
              <w:jc w:val="center"/>
            </w:pPr>
            <w:r>
              <w:rPr>
                <w:rFonts w:ascii="Arial" w:cs="Arial" w:eastAsia="Arial" w:hAnsi="Arial"/>
                <w:b/>
                <w:bCs/>
                <w:color w:val="4A1A8A"/>
                <w:sz w:val="26"/>
                <w:szCs w:val="26"/>
              </w:rPr>
              <w:t xml:space="preserve">$85.34K</w:t>
            </w:r>
          </w:p>
        </w:tc>
        <w:tc>
          <w:tcPr>
            <w:tcW w:type="dxa" w:w="2340"/>
            <w:tcBorders>
              <w:top w:val="single" w:color="7B2FBE" w:sz="1"/>
              <w:left w:val="single" w:color="7B2FBE" w:sz="1"/>
              <w:bottom w:val="single" w:color="7B2FBE" w:sz="1"/>
              <w:right w:val="single" w:color="7B2FBE" w:sz="1"/>
            </w:tcBorders>
            <w:shd w:fill="F3E8FF" w:val="clear"/>
            <w:tcMar>
              <w:top w:type="dxa" w:w="100"/>
              <w:left w:type="dxa" w:w="120"/>
              <w:bottom w:type="dxa" w:w="100"/>
              <w:right w:type="dxa" w:w="120"/>
            </w:tcMar>
          </w:tcPr>
          <w:p>
            <w:pPr>
              <w:jc w:val="center"/>
            </w:pPr>
            <w:r>
              <w:rPr>
                <w:rFonts w:ascii="Arial" w:cs="Arial" w:eastAsia="Arial" w:hAnsi="Arial"/>
                <w:color w:val="555555"/>
                <w:sz w:val="18"/>
                <w:szCs w:val="18"/>
              </w:rPr>
              <w:t xml:space="preserve">Multi-item Orders</w:t>
            </w:r>
          </w:p>
          <w:p>
            <w:pPr>
              <w:jc w:val="center"/>
            </w:pPr>
            <w:r>
              <w:rPr>
                <w:rFonts w:ascii="Arial" w:cs="Arial" w:eastAsia="Arial" w:hAnsi="Arial"/>
                <w:b/>
                <w:bCs/>
                <w:color w:val="4A1A8A"/>
                <w:sz w:val="26"/>
                <w:szCs w:val="26"/>
              </w:rPr>
              <w:t xml:space="preserve">23.87%</w:t>
            </w:r>
          </w:p>
        </w:tc>
        <w:tc>
          <w:tcPr>
            <w:tcW w:type="dxa" w:w="2340"/>
            <w:tcBorders>
              <w:top w:val="single" w:color="7B2FBE" w:sz="1"/>
              <w:left w:val="single" w:color="7B2FBE" w:sz="1"/>
              <w:bottom w:val="single" w:color="7B2FBE" w:sz="1"/>
              <w:right w:val="single" w:color="7B2FBE" w:sz="1"/>
            </w:tcBorders>
            <w:shd w:fill="F3E8FF" w:val="clear"/>
            <w:tcMar>
              <w:top w:type="dxa" w:w="100"/>
              <w:left w:type="dxa" w:w="120"/>
              <w:bottom w:type="dxa" w:w="100"/>
              <w:right w:type="dxa" w:w="120"/>
            </w:tcMar>
          </w:tcPr>
          <w:p>
            <w:pPr>
              <w:jc w:val="center"/>
            </w:pPr>
            <w:r>
              <w:rPr>
                <w:rFonts w:ascii="Arial" w:cs="Arial" w:eastAsia="Arial" w:hAnsi="Arial"/>
                <w:color w:val="555555"/>
                <w:sz w:val="18"/>
                <w:szCs w:val="18"/>
              </w:rPr>
              <w:t xml:space="preserve">Repeat Sessions</w:t>
            </w:r>
          </w:p>
          <w:p>
            <w:pPr>
              <w:jc w:val="center"/>
            </w:pPr>
            <w:r>
              <w:rPr>
                <w:rFonts w:ascii="Arial" w:cs="Arial" w:eastAsia="Arial" w:hAnsi="Arial"/>
                <w:b/>
                <w:bCs/>
                <w:color w:val="4A1A8A"/>
                <w:sz w:val="26"/>
                <w:szCs w:val="26"/>
              </w:rPr>
              <w:t xml:space="preserve">16.61%</w:t>
            </w:r>
          </w:p>
        </w:tc>
      </w:tr>
    </w:tbl>
    <w:p>
      <w:pPr>
        <w:spacing w:after="80" w:before="80"/>
      </w:pPr>
      <w:r>
        <w:t xml:space="preserve"/>
      </w:r>
    </w:p>
    <w:p>
      <w:pPr>
        <w:spacing w:after="80" w:before="200"/>
      </w:pPr>
      <w:r>
        <w:rPr>
          <w:rFonts w:ascii="Arial" w:cs="Arial" w:eastAsia="Arial" w:hAnsi="Arial"/>
          <w:b/>
          <w:bCs/>
          <w:color w:val="2C2C2A"/>
          <w:sz w:val="24"/>
          <w:szCs w:val="24"/>
        </w:rPr>
        <w:t xml:space="preserve">Year-over-Year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200"/>
        <w:gridCol w:w="1660"/>
        <w:gridCol w:w="1700"/>
        <w:gridCol w:w="2300"/>
      </w:tblGrid>
      <w:tr>
        <w:tc>
          <w:tcPr>
            <w:tcW w:type="dxa" w:w="130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Year</w:t>
            </w:r>
          </w:p>
        </w:tc>
        <w:tc>
          <w:tcPr>
            <w:tcW w:type="dxa" w:w="120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Sessions</w:t>
            </w:r>
          </w:p>
        </w:tc>
        <w:tc>
          <w:tcPr>
            <w:tcW w:type="dxa" w:w="120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Orders</w:t>
            </w:r>
          </w:p>
        </w:tc>
        <w:tc>
          <w:tcPr>
            <w:tcW w:type="dxa" w:w="166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Conversion Rate</w:t>
            </w:r>
          </w:p>
        </w:tc>
        <w:tc>
          <w:tcPr>
            <w:tcW w:type="dxa" w:w="170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Return Rate</w:t>
            </w:r>
          </w:p>
        </w:tc>
        <w:tc>
          <w:tcPr>
            <w:tcW w:type="dxa" w:w="230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Notes</w:t>
            </w:r>
          </w:p>
        </w:tc>
      </w:tr>
      <w:tr>
        <w:tc>
          <w:tcPr>
            <w:tcW w:type="dxa" w:w="13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2012</w:t>
            </w:r>
          </w:p>
        </w:tc>
        <w:tc>
          <w:tcPr>
            <w:tcW w:type="dxa" w:w="12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62K</w:t>
            </w:r>
          </w:p>
        </w:tc>
        <w:tc>
          <w:tcPr>
            <w:tcW w:type="dxa" w:w="12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3K</w:t>
            </w:r>
          </w:p>
        </w:tc>
        <w:tc>
          <w:tcPr>
            <w:tcW w:type="dxa" w:w="166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4.14%</w:t>
            </w:r>
          </w:p>
        </w:tc>
        <w:tc>
          <w:tcPr>
            <w:tcW w:type="dxa" w:w="17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6.88% 🚨</w:t>
            </w:r>
          </w:p>
        </w:tc>
        <w:tc>
          <w:tcPr>
            <w:tcW w:type="dxa" w:w="23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Mar-Dec only (10 months)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113K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7K</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4.41% ⚠️</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year</w:t>
            </w:r>
          </w:p>
        </w:tc>
      </w:tr>
      <w:tr>
        <w:tc>
          <w:tcPr>
            <w:tcW w:type="dxa" w:w="13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2014</w:t>
            </w:r>
          </w:p>
        </w:tc>
        <w:tc>
          <w:tcPr>
            <w:tcW w:type="dxa" w:w="12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233K</w:t>
            </w:r>
          </w:p>
        </w:tc>
        <w:tc>
          <w:tcPr>
            <w:tcW w:type="dxa" w:w="12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17K</w:t>
            </w:r>
          </w:p>
        </w:tc>
        <w:tc>
          <w:tcPr>
            <w:tcW w:type="dxa" w:w="166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7.22%</w:t>
            </w:r>
          </w:p>
        </w:tc>
        <w:tc>
          <w:tcPr>
            <w:tcW w:type="dxa" w:w="17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4.36% ⚠️</w:t>
            </w:r>
          </w:p>
        </w:tc>
        <w:tc>
          <w:tcPr>
            <w:tcW w:type="dxa" w:w="23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Full year</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5K</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8.44%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3.20% ✅</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Jan-Mar only (3 months)</w:t>
            </w:r>
          </w:p>
        </w:tc>
      </w:tr>
    </w:tbl>
    <w:p>
      <w:pPr>
        <w:spacing w:after="80" w:before="80"/>
      </w:pPr>
      <w:r>
        <w:t xml:space="preserve"/>
      </w:r>
    </w:p>
    <w:p>
      <w:pPr>
        <w:spacing w:after="80" w:before="200"/>
      </w:pPr>
      <w:r>
        <w:rPr>
          <w:rFonts w:ascii="Arial" w:cs="Arial" w:eastAsia="Arial" w:hAnsi="Arial"/>
          <w:b/>
          <w:bCs/>
          <w:color w:val="2C2C2A"/>
          <w:sz w:val="24"/>
          <w:szCs w:val="24"/>
        </w:rPr>
        <w:t xml:space="preserve">Key Takeaway</w:t>
      </w:r>
    </w:p>
    <w:p>
      <w:pPr>
        <w:spacing w:after="80" w:before="80"/>
      </w:pPr>
      <w:r>
        <w:rPr>
          <w:rFonts w:ascii="Arial" w:cs="Arial" w:eastAsia="Arial" w:hAnsi="Arial"/>
          <w:sz w:val="22"/>
          <w:szCs w:val="22"/>
        </w:rPr>
        <w:t xml:space="preserve">Maven Fuzzy Factory showed the hallmarks of a maturing e-commerce business — accelerating order growth, improving conversion rates, and a declining return rate — all pointing toward a stronger, more efficient operation by 2015. Orders grew 5x while sessions grew 4x, confirming that order growth consistently outpaced traffic growth across the period.</w:t>
      </w:r>
    </w:p>
    <w:p>
      <w:r>
        <w:br w:type="page"/>
      </w:r>
    </w:p>
    <w:p>
      <w:pPr>
        <w:pStyle w:val="Heading1"/>
        <w:spacing w:after="160" w:before="320"/>
      </w:pPr>
      <w:r>
        <w:rPr>
          <w:rFonts w:ascii="Arial" w:cs="Arial" w:eastAsia="Arial" w:hAnsi="Arial"/>
          <w:b/>
          <w:bCs/>
          <w:color w:val="7B2FBE"/>
          <w:sz w:val="36"/>
          <w:szCs w:val="36"/>
        </w:rPr>
        <w:t xml:space="preserve">2. Traffic &amp; Conversion Analysis</w:t>
      </w:r>
    </w:p>
    <w:p>
      <w:pPr>
        <w:pBdr>
          <w:bottom w:val="single" w:color="7B2FBE" w:sz="4" w:space="1"/>
        </w:pBdr>
        <w:spacing w:after="120" w:before="120"/>
      </w:pPr>
      <w:r>
        <w:t xml:space="preserve"/>
      </w:r>
    </w:p>
    <w:p>
      <w:pPr>
        <w:pStyle w:val="Heading2"/>
        <w:spacing w:after="120" w:before="240"/>
      </w:pPr>
      <w:r>
        <w:rPr>
          <w:rFonts w:ascii="Arial" w:cs="Arial" w:eastAsia="Arial" w:hAnsi="Arial"/>
          <w:b/>
          <w:bCs/>
          <w:color w:val="4A1A8A"/>
          <w:sz w:val="28"/>
          <w:szCs w:val="28"/>
        </w:rPr>
        <w:t xml:space="preserve">2.1 Traffic Sources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000"/>
        <w:gridCol w:w="1200"/>
        <w:gridCol w:w="1760"/>
        <w:gridCol w:w="1700"/>
      </w:tblGrid>
      <w:tr>
        <w:tc>
          <w:tcPr>
            <w:tcW w:type="dxa" w:w="150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UTM Source</w:t>
            </w:r>
          </w:p>
        </w:tc>
        <w:tc>
          <w:tcPr>
            <w:tcW w:type="dxa" w:w="140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Sessions</w:t>
            </w:r>
          </w:p>
        </w:tc>
        <w:tc>
          <w:tcPr>
            <w:tcW w:type="dxa" w:w="100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Share</w:t>
            </w:r>
          </w:p>
        </w:tc>
        <w:tc>
          <w:tcPr>
            <w:tcW w:type="dxa" w:w="120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Orders</w:t>
            </w:r>
          </w:p>
        </w:tc>
        <w:tc>
          <w:tcPr>
            <w:tcW w:type="dxa" w:w="176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Conversion Rate</w:t>
            </w:r>
          </w:p>
        </w:tc>
        <w:tc>
          <w:tcPr>
            <w:tcW w:type="dxa" w:w="170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Repeat Rate</w:t>
            </w:r>
          </w:p>
        </w:tc>
      </w:tr>
      <w:tr>
        <w:tc>
          <w:tcPr>
            <w:tcW w:type="dxa" w:w="15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gsearch</w:t>
            </w:r>
          </w:p>
        </w:tc>
        <w:tc>
          <w:tcPr>
            <w:tcW w:type="dxa" w:w="14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316,035</w:t>
            </w:r>
          </w:p>
        </w:tc>
        <w:tc>
          <w:tcPr>
            <w:tcW w:type="dxa" w:w="10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66%</w:t>
            </w:r>
          </w:p>
        </w:tc>
        <w:tc>
          <w:tcPr>
            <w:tcW w:type="dxa" w:w="12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21,333</w:t>
            </w:r>
          </w:p>
        </w:tc>
        <w:tc>
          <w:tcPr>
            <w:tcW w:type="dxa" w:w="176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6.75%</w:t>
            </w:r>
          </w:p>
        </w:tc>
        <w:tc>
          <w:tcPr>
            <w:tcW w:type="dxa" w:w="17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6.71%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83,328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6,118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62.80%</w:t>
            </w:r>
          </w:p>
        </w:tc>
      </w:tr>
      <w:tr>
        <w:tc>
          <w:tcPr>
            <w:tcW w:type="dxa" w:w="15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bsearch</w:t>
            </w:r>
          </w:p>
        </w:tc>
        <w:tc>
          <w:tcPr>
            <w:tcW w:type="dxa" w:w="14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62,823</w:t>
            </w:r>
          </w:p>
        </w:tc>
        <w:tc>
          <w:tcPr>
            <w:tcW w:type="dxa" w:w="10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13%</w:t>
            </w:r>
          </w:p>
        </w:tc>
        <w:tc>
          <w:tcPr>
            <w:tcW w:type="dxa" w:w="12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4,519</w:t>
            </w:r>
          </w:p>
        </w:tc>
        <w:tc>
          <w:tcPr>
            <w:tcW w:type="dxa" w:w="176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7.19%</w:t>
            </w:r>
          </w:p>
        </w:tc>
        <w:tc>
          <w:tcPr>
            <w:tcW w:type="dxa" w:w="17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7.99%</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socialbook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10,685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80" w:before="80"/>
      </w:pPr>
      <w:r>
        <w:t xml:space="preserve"/>
      </w:r>
    </w:p>
    <w:p>
      <w:pPr>
        <w:pStyle w:val="Heading2"/>
        <w:spacing w:after="120" w:before="240"/>
      </w:pPr>
      <w:r>
        <w:rPr>
          <w:rFonts w:ascii="Arial" w:cs="Arial" w:eastAsia="Arial" w:hAnsi="Arial"/>
          <w:b/>
          <w:bCs/>
          <w:color w:val="4A1A8A"/>
          <w:sz w:val="28"/>
          <w:szCs w:val="28"/>
        </w:rPr>
        <w:t xml:space="preserve">2.2 Campaign Performance</w:t>
      </w:r>
    </w:p>
    <w:tbl>
      <w:tblPr>
        <w:tblW w:type="dxa" w:w="74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400"/>
        <w:gridCol w:w="1260"/>
        <w:gridCol w:w="1800"/>
      </w:tblGrid>
      <w:tr>
        <w:tc>
          <w:tcPr>
            <w:tcW w:type="dxa" w:w="130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Source</w:t>
            </w:r>
          </w:p>
        </w:tc>
        <w:tc>
          <w:tcPr>
            <w:tcW w:type="dxa" w:w="170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Campaign</w:t>
            </w:r>
          </w:p>
        </w:tc>
        <w:tc>
          <w:tcPr>
            <w:tcW w:type="dxa" w:w="140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Sessions</w:t>
            </w:r>
          </w:p>
        </w:tc>
        <w:tc>
          <w:tcPr>
            <w:tcW w:type="dxa" w:w="126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Orders</w:t>
            </w:r>
          </w:p>
        </w:tc>
        <w:tc>
          <w:tcPr>
            <w:tcW w:type="dxa" w:w="180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Conversion Rate</w:t>
            </w:r>
          </w:p>
        </w:tc>
      </w:tr>
      <w:tr>
        <w:tc>
          <w:tcPr>
            <w:tcW w:type="dxa" w:w="13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gsearch</w:t>
            </w:r>
          </w:p>
        </w:tc>
        <w:tc>
          <w:tcPr>
            <w:tcW w:type="dxa" w:w="17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nonbrand</w:t>
            </w:r>
          </w:p>
        </w:tc>
        <w:tc>
          <w:tcPr>
            <w:tcW w:type="dxa" w:w="14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282,706</w:t>
            </w:r>
          </w:p>
        </w:tc>
        <w:tc>
          <w:tcPr>
            <w:tcW w:type="dxa" w:w="126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18,822</w:t>
            </w:r>
          </w:p>
        </w:tc>
        <w:tc>
          <w:tcPr>
            <w:tcW w:type="dxa" w:w="18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6.66%</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gsearch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33,329</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7.53%</w:t>
            </w:r>
          </w:p>
        </w:tc>
      </w:tr>
      <w:tr>
        <w:tc>
          <w:tcPr>
            <w:tcW w:type="dxa" w:w="13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bsearch</w:t>
            </w:r>
          </w:p>
        </w:tc>
        <w:tc>
          <w:tcPr>
            <w:tcW w:type="dxa" w:w="17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nonbrand</w:t>
            </w:r>
          </w:p>
        </w:tc>
        <w:tc>
          <w:tcPr>
            <w:tcW w:type="dxa" w:w="14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54,909</w:t>
            </w:r>
          </w:p>
        </w:tc>
        <w:tc>
          <w:tcPr>
            <w:tcW w:type="dxa" w:w="126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3,818</w:t>
            </w:r>
          </w:p>
        </w:tc>
        <w:tc>
          <w:tcPr>
            <w:tcW w:type="dxa" w:w="18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6.95%</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bsearch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7,914</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8.86%</w:t>
            </w:r>
          </w:p>
        </w:tc>
      </w:tr>
      <w:tr>
        <w:tc>
          <w:tcPr>
            <w:tcW w:type="dxa" w:w="13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organic</w:t>
            </w:r>
          </w:p>
        </w:tc>
        <w:tc>
          <w:tcPr>
            <w:tcW w:type="dxa" w:w="17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organic</w:t>
            </w:r>
          </w:p>
        </w:tc>
        <w:tc>
          <w:tcPr>
            <w:tcW w:type="dxa" w:w="14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83,328</w:t>
            </w:r>
          </w:p>
        </w:tc>
        <w:tc>
          <w:tcPr>
            <w:tcW w:type="dxa" w:w="126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6,118</w:t>
            </w:r>
          </w:p>
        </w:tc>
        <w:tc>
          <w:tcPr>
            <w:tcW w:type="dxa" w:w="18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7.34%</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socialbook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desktop_targeted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5,590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5.15%</w:t>
            </w:r>
          </w:p>
        </w:tc>
      </w:tr>
      <w:tr>
        <w:tc>
          <w:tcPr>
            <w:tcW w:type="dxa" w:w="13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socialbook</w:t>
            </w:r>
          </w:p>
        </w:tc>
        <w:tc>
          <w:tcPr>
            <w:tcW w:type="dxa" w:w="17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pilot</w:t>
            </w:r>
          </w:p>
        </w:tc>
        <w:tc>
          <w:tcPr>
            <w:tcW w:type="dxa" w:w="14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5,095</w:t>
            </w:r>
          </w:p>
        </w:tc>
        <w:tc>
          <w:tcPr>
            <w:tcW w:type="dxa" w:w="126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55</w:t>
            </w:r>
          </w:p>
        </w:tc>
        <w:tc>
          <w:tcPr>
            <w:tcW w:type="dxa" w:w="18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1.08%</w:t>
            </w:r>
          </w:p>
        </w:tc>
      </w:tr>
    </w:tbl>
    <w:p>
      <w:pPr>
        <w:spacing w:after="80" w:before="80"/>
      </w:pPr>
      <w:r>
        <w:t xml:space="preserve"/>
      </w:r>
    </w:p>
    <w:p>
      <w:pPr>
        <w:pStyle w:val="Heading2"/>
        <w:spacing w:after="120" w:before="240"/>
      </w:pPr>
      <w:r>
        <w:rPr>
          <w:rFonts w:ascii="Arial" w:cs="Arial" w:eastAsia="Arial" w:hAnsi="Arial"/>
          <w:b/>
          <w:bCs/>
          <w:color w:val="4A1A8A"/>
          <w:sz w:val="28"/>
          <w:szCs w:val="28"/>
        </w:rPr>
        <w:t xml:space="preserve">2.3 Device Type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Device</w:t>
            </w:r>
          </w:p>
        </w:tc>
        <w:tc>
          <w:tcPr>
            <w:tcW w:type="dxa" w:w="234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Sessions</w:t>
            </w:r>
          </w:p>
        </w:tc>
        <w:tc>
          <w:tcPr>
            <w:tcW w:type="dxa" w:w="234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Share</w:t>
            </w:r>
          </w:p>
        </w:tc>
        <w:tc>
          <w:tcPr>
            <w:tcW w:type="dxa" w:w="234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Repeat Session Rate</w:t>
            </w:r>
          </w:p>
        </w:tc>
      </w:tr>
      <w:tr>
        <w:tc>
          <w:tcPr>
            <w:tcW w:type="dxa" w:w="234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Desktop</w:t>
            </w:r>
          </w:p>
        </w:tc>
        <w:tc>
          <w:tcPr>
            <w:tcW w:type="dxa" w:w="234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327,027</w:t>
            </w:r>
          </w:p>
        </w:tc>
        <w:tc>
          <w:tcPr>
            <w:tcW w:type="dxa" w:w="234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69.16%</w:t>
            </w:r>
          </w:p>
        </w:tc>
        <w:tc>
          <w:tcPr>
            <w:tcW w:type="dxa" w:w="234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15.20%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145,844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30.84%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19.77%</w:t>
            </w:r>
          </w:p>
        </w:tc>
      </w:tr>
    </w:tbl>
    <w:p>
      <w:pPr>
        <w:spacing w:after="80" w:before="80"/>
      </w:pPr>
      <w:r>
        <w:t xml:space="preserve"/>
      </w:r>
    </w:p>
    <w:p>
      <w:pPr>
        <w:pStyle w:val="Heading2"/>
        <w:spacing w:after="120" w:before="240"/>
      </w:pPr>
      <w:r>
        <w:rPr>
          <w:rFonts w:ascii="Arial" w:cs="Arial" w:eastAsia="Arial" w:hAnsi="Arial"/>
          <w:b/>
          <w:bCs/>
          <w:color w:val="4A1A8A"/>
          <w:sz w:val="28"/>
          <w:szCs w:val="28"/>
        </w:rPr>
        <w:t xml:space="preserve">2.4 Key Insights</w:t>
      </w:r>
    </w:p>
    <w:p>
      <w:pPr>
        <w:pStyle w:val="ListParagraph"/>
        <w:numPr>
          <w:ilvl w:val="0"/>
          <w:numId w:val="2"/>
        </w:numPr>
        <w:spacing w:after="60" w:before="60"/>
      </w:pPr>
      <w:r>
        <w:rPr>
          <w:rFonts w:ascii="Arial" w:cs="Arial" w:eastAsia="Arial" w:hAnsi="Arial"/>
          <w:sz w:val="22"/>
          <w:szCs w:val="22"/>
        </w:rPr>
        <w:t xml:space="preserve">gsearch is the primary acquisition channel, generating 66% of all sessions. This creates significant channel dependency risk for the business.</w:t>
      </w:r>
    </w:p>
    <w:p>
      <w:pPr>
        <w:pStyle w:val="ListParagraph"/>
        <w:numPr>
          <w:ilvl w:val="0"/>
          <w:numId w:val="2"/>
        </w:numPr>
        <w:spacing w:after="60" w:before="60"/>
      </w:pPr>
      <w:r>
        <w:rPr>
          <w:rFonts w:ascii="Arial" w:cs="Arial" w:eastAsia="Arial" w:hAnsi="Arial"/>
          <w:sz w:val="22"/>
          <w:szCs w:val="22"/>
        </w:rPr>
        <w:t xml:space="preserve">Mobile users show a higher repeat session rate (19.77%) than desktop users (15.20%), indicating stronger customer loyalty among mobile visitors despite lower overall volume.</w:t>
      </w:r>
    </w:p>
    <w:p>
      <w:pPr>
        <w:pStyle w:val="ListParagraph"/>
        <w:numPr>
          <w:ilvl w:val="0"/>
          <w:numId w:val="2"/>
        </w:numPr>
        <w:spacing w:after="60" w:before="60"/>
      </w:pPr>
      <w:r>
        <w:rPr>
          <w:rFonts w:ascii="Arial" w:cs="Arial" w:eastAsia="Arial" w:hAnsi="Arial"/>
          <w:sz w:val="22"/>
          <w:szCs w:val="22"/>
        </w:rPr>
        <w:t xml:space="preserve">Brand campaigns consistently achieve higher conversion rates than non-brand campaigns across both gsearch and bsearch, confirming that brand-aware users have stronger purchase intent.</w:t>
      </w:r>
    </w:p>
    <w:p>
      <w:pPr>
        <w:pStyle w:val="ListParagraph"/>
        <w:numPr>
          <w:ilvl w:val="0"/>
          <w:numId w:val="2"/>
        </w:numPr>
        <w:spacing w:after="60" w:before="60"/>
      </w:pPr>
      <w:r>
        <w:rPr>
          <w:rFonts w:ascii="Arial" w:cs="Arial" w:eastAsia="Arial" w:hAnsi="Arial"/>
          <w:sz w:val="22"/>
          <w:szCs w:val="22"/>
        </w:rPr>
        <w:t xml:space="preserve">Organic traffic shows a significantly higher repeat visitor rate (62.80%), suggesting customers who discover the brand organically are more loyal and likely to return.</w:t>
      </w:r>
    </w:p>
    <w:p>
      <w:pPr>
        <w:pStyle w:val="ListParagraph"/>
        <w:numPr>
          <w:ilvl w:val="0"/>
          <w:numId w:val="2"/>
        </w:numPr>
        <w:spacing w:after="60" w:before="60"/>
      </w:pPr>
      <w:r>
        <w:rPr>
          <w:rFonts w:ascii="Arial" w:cs="Arial" w:eastAsia="Arial" w:hAnsi="Arial"/>
          <w:sz w:val="22"/>
          <w:szCs w:val="22"/>
        </w:rPr>
        <w:t xml:space="preserve">The socialbook pilot campaign records only 1.08% conversion rate, significantly below all other channels, indicating poor audience targeting or messaging fit.</w:t>
      </w:r>
    </w:p>
    <w:p>
      <w:pPr>
        <w:spacing w:after="80" w:before="80"/>
      </w:pPr>
      <w:r>
        <w:t xml:space="preserve"/>
      </w:r>
    </w:p>
    <w:p>
      <w:pPr>
        <w:pStyle w:val="Heading2"/>
        <w:spacing w:after="120" w:before="240"/>
      </w:pPr>
      <w:r>
        <w:rPr>
          <w:rFonts w:ascii="Arial" w:cs="Arial" w:eastAsia="Arial" w:hAnsi="Arial"/>
          <w:b/>
          <w:bCs/>
          <w:color w:val="4A1A8A"/>
          <w:sz w:val="28"/>
          <w:szCs w:val="28"/>
        </w:rPr>
        <w:t xml:space="preserve">2.5 Recommendations</w:t>
      </w:r>
    </w:p>
    <w:p>
      <w:pPr>
        <w:pStyle w:val="ListParagraph"/>
        <w:numPr>
          <w:ilvl w:val="0"/>
          <w:numId w:val="2"/>
        </w:numPr>
        <w:spacing w:after="60" w:before="60"/>
      </w:pPr>
      <w:r>
        <w:rPr>
          <w:rFonts w:ascii="Arial" w:cs="Arial" w:eastAsia="Arial" w:hAnsi="Arial"/>
          <w:sz w:val="22"/>
          <w:szCs w:val="22"/>
        </w:rPr>
        <w:t xml:space="preserve">Diversify traffic acquisition by investing in SEO and alternative channels to reduce the 66% dependency on gsearch paid search.</w:t>
      </w:r>
    </w:p>
    <w:p>
      <w:pPr>
        <w:pStyle w:val="ListParagraph"/>
        <w:numPr>
          <w:ilvl w:val="0"/>
          <w:numId w:val="2"/>
        </w:numPr>
        <w:spacing w:after="60" w:before="60"/>
      </w:pPr>
      <w:r>
        <w:rPr>
          <w:rFonts w:ascii="Arial" w:cs="Arial" w:eastAsia="Arial" w:hAnsi="Arial"/>
          <w:sz w:val="22"/>
          <w:szCs w:val="22"/>
        </w:rPr>
        <w:t xml:space="preserve">Improve the mobile experience and launch mobile-focused retention campaigns to capitalize on the higher repeat rate observed among mobile users.</w:t>
      </w:r>
    </w:p>
    <w:p>
      <w:pPr>
        <w:pStyle w:val="ListParagraph"/>
        <w:numPr>
          <w:ilvl w:val="0"/>
          <w:numId w:val="2"/>
        </w:numPr>
        <w:spacing w:after="60" w:before="60"/>
      </w:pPr>
      <w:r>
        <w:rPr>
          <w:rFonts w:ascii="Arial" w:cs="Arial" w:eastAsia="Arial" w:hAnsi="Arial"/>
          <w:sz w:val="22"/>
          <w:szCs w:val="22"/>
        </w:rPr>
        <w:t xml:space="preserve">Review and pause the socialbook pilot campaign. Conduct audience and messaging analysis before committing further budget.</w:t>
      </w:r>
    </w:p>
    <w:p>
      <w:pPr>
        <w:pStyle w:val="ListParagraph"/>
        <w:numPr>
          <w:ilvl w:val="0"/>
          <w:numId w:val="2"/>
        </w:numPr>
        <w:spacing w:after="60" w:before="60"/>
      </w:pPr>
      <w:r>
        <w:rPr>
          <w:rFonts w:ascii="Arial" w:cs="Arial" w:eastAsia="Arial" w:hAnsi="Arial"/>
          <w:sz w:val="22"/>
          <w:szCs w:val="22"/>
        </w:rPr>
        <w:t xml:space="preserve">Continue investing in brand-building initiatives to drive higher-intent branded search traffic.</w:t>
      </w:r>
    </w:p>
    <w:p>
      <w:r>
        <w:br w:type="page"/>
      </w:r>
    </w:p>
    <w:p>
      <w:pPr>
        <w:pStyle w:val="Heading1"/>
        <w:spacing w:after="160" w:before="320"/>
      </w:pPr>
      <w:r>
        <w:rPr>
          <w:rFonts w:ascii="Arial" w:cs="Arial" w:eastAsia="Arial" w:hAnsi="Arial"/>
          <w:b/>
          <w:bCs/>
          <w:color w:val="7B2FBE"/>
          <w:sz w:val="36"/>
          <w:szCs w:val="36"/>
        </w:rPr>
        <w:t xml:space="preserve">3. Revenue &amp; Product Analysis</w:t>
      </w:r>
    </w:p>
    <w:p>
      <w:pPr>
        <w:pBdr>
          <w:bottom w:val="single" w:color="7B2FBE" w:sz="4" w:space="1"/>
        </w:pBdr>
        <w:spacing w:after="120" w:before="120"/>
      </w:pPr>
      <w:r>
        <w:t xml:space="preserve"/>
      </w:r>
    </w:p>
    <w:p>
      <w:pPr>
        <w:pStyle w:val="Heading2"/>
        <w:spacing w:after="120" w:before="240"/>
      </w:pPr>
      <w:r>
        <w:rPr>
          <w:rFonts w:ascii="Arial" w:cs="Arial" w:eastAsia="Arial" w:hAnsi="Arial"/>
          <w:b/>
          <w:bCs/>
          <w:color w:val="4A1A8A"/>
          <w:sz w:val="28"/>
          <w:szCs w:val="28"/>
        </w:rPr>
        <w:t xml:space="preserve">3.1 Revenue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2FBE" w:sz="1"/>
              <w:left w:val="single" w:color="7B2FBE" w:sz="1"/>
              <w:bottom w:val="single" w:color="7B2FBE" w:sz="1"/>
              <w:right w:val="single" w:color="7B2FBE" w:sz="1"/>
            </w:tcBorders>
            <w:shd w:fill="F3E8FF" w:val="clear"/>
            <w:tcMar>
              <w:top w:type="dxa" w:w="100"/>
              <w:left w:type="dxa" w:w="120"/>
              <w:bottom w:type="dxa" w:w="100"/>
              <w:right w:type="dxa" w:w="120"/>
            </w:tcMar>
          </w:tcPr>
          <w:p>
            <w:pPr>
              <w:jc w:val="center"/>
            </w:pPr>
            <w:r>
              <w:rPr>
                <w:rFonts w:ascii="Arial" w:cs="Arial" w:eastAsia="Arial" w:hAnsi="Arial"/>
                <w:color w:val="555555"/>
                <w:sz w:val="18"/>
                <w:szCs w:val="18"/>
              </w:rPr>
              <w:t xml:space="preserve">Gross Revenue</w:t>
            </w:r>
          </w:p>
          <w:p>
            <w:pPr>
              <w:jc w:val="center"/>
            </w:pPr>
            <w:r>
              <w:rPr>
                <w:rFonts w:ascii="Arial" w:cs="Arial" w:eastAsia="Arial" w:hAnsi="Arial"/>
                <w:b/>
                <w:bCs/>
                <w:color w:val="4A1A8A"/>
                <w:sz w:val="26"/>
                <w:szCs w:val="26"/>
              </w:rPr>
              <w:t xml:space="preserve">$1.94M</w:t>
            </w:r>
          </w:p>
        </w:tc>
        <w:tc>
          <w:tcPr>
            <w:tcW w:type="dxa" w:w="2340"/>
            <w:tcBorders>
              <w:top w:val="single" w:color="7B2FBE" w:sz="1"/>
              <w:left w:val="single" w:color="7B2FBE" w:sz="1"/>
              <w:bottom w:val="single" w:color="7B2FBE" w:sz="1"/>
              <w:right w:val="single" w:color="7B2FBE" w:sz="1"/>
            </w:tcBorders>
            <w:shd w:fill="F3E8FF" w:val="clear"/>
            <w:tcMar>
              <w:top w:type="dxa" w:w="100"/>
              <w:left w:type="dxa" w:w="120"/>
              <w:bottom w:type="dxa" w:w="100"/>
              <w:right w:type="dxa" w:w="120"/>
            </w:tcMar>
          </w:tcPr>
          <w:p>
            <w:pPr>
              <w:jc w:val="center"/>
            </w:pPr>
            <w:r>
              <w:rPr>
                <w:rFonts w:ascii="Arial" w:cs="Arial" w:eastAsia="Arial" w:hAnsi="Arial"/>
                <w:color w:val="555555"/>
                <w:sz w:val="18"/>
                <w:szCs w:val="18"/>
              </w:rPr>
              <w:t xml:space="preserve">Gross Profit</w:t>
            </w:r>
          </w:p>
          <w:p>
            <w:pPr>
              <w:jc w:val="center"/>
            </w:pPr>
            <w:r>
              <w:rPr>
                <w:rFonts w:ascii="Arial" w:cs="Arial" w:eastAsia="Arial" w:hAnsi="Arial"/>
                <w:b/>
                <w:bCs/>
                <w:color w:val="4A1A8A"/>
                <w:sz w:val="26"/>
                <w:szCs w:val="26"/>
              </w:rPr>
              <w:t xml:space="preserve">$1.22M</w:t>
            </w:r>
          </w:p>
        </w:tc>
        <w:tc>
          <w:tcPr>
            <w:tcW w:type="dxa" w:w="2340"/>
            <w:tcBorders>
              <w:top w:val="single" w:color="7B2FBE" w:sz="1"/>
              <w:left w:val="single" w:color="7B2FBE" w:sz="1"/>
              <w:bottom w:val="single" w:color="7B2FBE" w:sz="1"/>
              <w:right w:val="single" w:color="7B2FBE" w:sz="1"/>
            </w:tcBorders>
            <w:shd w:fill="F3E8FF" w:val="clear"/>
            <w:tcMar>
              <w:top w:type="dxa" w:w="100"/>
              <w:left w:type="dxa" w:w="120"/>
              <w:bottom w:type="dxa" w:w="100"/>
              <w:right w:type="dxa" w:w="120"/>
            </w:tcMar>
          </w:tcPr>
          <w:p>
            <w:pPr>
              <w:jc w:val="center"/>
            </w:pPr>
            <w:r>
              <w:rPr>
                <w:rFonts w:ascii="Arial" w:cs="Arial" w:eastAsia="Arial" w:hAnsi="Arial"/>
                <w:color w:val="555555"/>
                <w:sz w:val="18"/>
                <w:szCs w:val="18"/>
              </w:rPr>
              <w:t xml:space="preserve">Net Revenue</w:t>
            </w:r>
          </w:p>
          <w:p>
            <w:pPr>
              <w:jc w:val="center"/>
            </w:pPr>
            <w:r>
              <w:rPr>
                <w:rFonts w:ascii="Arial" w:cs="Arial" w:eastAsia="Arial" w:hAnsi="Arial"/>
                <w:b/>
                <w:bCs/>
                <w:color w:val="4A1A8A"/>
                <w:sz w:val="26"/>
                <w:szCs w:val="26"/>
              </w:rPr>
              <w:t xml:space="preserve">$1.85M</w:t>
            </w:r>
          </w:p>
        </w:tc>
        <w:tc>
          <w:tcPr>
            <w:tcW w:type="dxa" w:w="2340"/>
            <w:tcBorders>
              <w:top w:val="single" w:color="7B2FBE" w:sz="1"/>
              <w:left w:val="single" w:color="7B2FBE" w:sz="1"/>
              <w:bottom w:val="single" w:color="7B2FBE" w:sz="1"/>
              <w:right w:val="single" w:color="7B2FBE" w:sz="1"/>
            </w:tcBorders>
            <w:shd w:fill="F3E8FF" w:val="clear"/>
            <w:tcMar>
              <w:top w:type="dxa" w:w="100"/>
              <w:left w:type="dxa" w:w="120"/>
              <w:bottom w:type="dxa" w:w="100"/>
              <w:right w:type="dxa" w:w="120"/>
            </w:tcMar>
          </w:tcPr>
          <w:p>
            <w:pPr>
              <w:jc w:val="center"/>
            </w:pPr>
            <w:r>
              <w:rPr>
                <w:rFonts w:ascii="Arial" w:cs="Arial" w:eastAsia="Arial" w:hAnsi="Arial"/>
                <w:color w:val="555555"/>
                <w:sz w:val="18"/>
                <w:szCs w:val="18"/>
              </w:rPr>
              <w:t xml:space="preserve">Net Profit</w:t>
            </w:r>
          </w:p>
          <w:p>
            <w:pPr>
              <w:jc w:val="center"/>
            </w:pPr>
            <w:r>
              <w:rPr>
                <w:rFonts w:ascii="Arial" w:cs="Arial" w:eastAsia="Arial" w:hAnsi="Arial"/>
                <w:b/>
                <w:bCs/>
                <w:color w:val="4A1A8A"/>
                <w:sz w:val="26"/>
                <w:szCs w:val="26"/>
              </w:rPr>
              <w:t xml:space="preserve">$1.13M</w:t>
            </w:r>
          </w:p>
        </w:tc>
      </w:tr>
    </w:tbl>
    <w:p>
      <w:pPr>
        <w:spacing w:after="80" w:before="80"/>
      </w:pPr>
      <w:r>
        <w:t xml:space="preserve"/>
      </w:r>
    </w:p>
    <w:p>
      <w:pPr>
        <w:pStyle w:val="Heading2"/>
        <w:spacing w:after="120" w:before="240"/>
      </w:pPr>
      <w:r>
        <w:rPr>
          <w:rFonts w:ascii="Arial" w:cs="Arial" w:eastAsia="Arial" w:hAnsi="Arial"/>
          <w:b/>
          <w:bCs/>
          <w:color w:val="4A1A8A"/>
          <w:sz w:val="28"/>
          <w:szCs w:val="28"/>
        </w:rPr>
        <w:t xml:space="preserve">3.2 Product Performance</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000"/>
        <w:gridCol w:w="1360"/>
        <w:gridCol w:w="1600"/>
      </w:tblGrid>
      <w:tr>
        <w:tc>
          <w:tcPr>
            <w:tcW w:type="dxa" w:w="280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Product</w:t>
            </w:r>
          </w:p>
        </w:tc>
        <w:tc>
          <w:tcPr>
            <w:tcW w:type="dxa" w:w="120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Units Sold</w:t>
            </w:r>
          </w:p>
        </w:tc>
        <w:tc>
          <w:tcPr>
            <w:tcW w:type="dxa" w:w="100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Share</w:t>
            </w:r>
          </w:p>
        </w:tc>
        <w:tc>
          <w:tcPr>
            <w:tcW w:type="dxa" w:w="136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Revenue</w:t>
            </w:r>
          </w:p>
        </w:tc>
        <w:tc>
          <w:tcPr>
            <w:tcW w:type="dxa" w:w="160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Cross-Sell Rate</w:t>
            </w:r>
          </w:p>
        </w:tc>
      </w:tr>
      <w:tr>
        <w:tc>
          <w:tcPr>
            <w:tcW w:type="dxa" w:w="28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The Original Mr. Fuzzy</w:t>
            </w:r>
          </w:p>
        </w:tc>
        <w:tc>
          <w:tcPr>
            <w:tcW w:type="dxa" w:w="12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24,226</w:t>
            </w:r>
          </w:p>
        </w:tc>
        <w:tc>
          <w:tcPr>
            <w:tcW w:type="dxa" w:w="10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60.53%</w:t>
            </w:r>
          </w:p>
        </w:tc>
        <w:tc>
          <w:tcPr>
            <w:tcW w:type="dxa" w:w="136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$1.21M</w:t>
            </w:r>
          </w:p>
        </w:tc>
        <w:tc>
          <w:tcPr>
            <w:tcW w:type="dxa" w:w="16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25.27%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Forever Love Bear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6,071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15.17%</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$0.35M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32.30%</w:t>
            </w:r>
          </w:p>
        </w:tc>
      </w:tr>
      <w:tr>
        <w:tc>
          <w:tcPr>
            <w:tcW w:type="dxa" w:w="28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The Hudson River Mini Bear</w:t>
            </w:r>
          </w:p>
        </w:tc>
        <w:tc>
          <w:tcPr>
            <w:tcW w:type="dxa" w:w="12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4,743</w:t>
            </w:r>
          </w:p>
        </w:tc>
        <w:tc>
          <w:tcPr>
            <w:tcW w:type="dxa" w:w="10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11.85%</w:t>
            </w:r>
          </w:p>
        </w:tc>
        <w:tc>
          <w:tcPr>
            <w:tcW w:type="dxa" w:w="136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89.36%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Birthday Sugar Panda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4,985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12.45%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$0.23M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59.10%</w:t>
            </w:r>
          </w:p>
        </w:tc>
      </w:tr>
    </w:tbl>
    <w:p>
      <w:pPr>
        <w:spacing w:after="80" w:before="80"/>
      </w:pPr>
      <w:r>
        <w:t xml:space="preserve"/>
      </w:r>
    </w:p>
    <w:p>
      <w:pPr>
        <w:pStyle w:val="Heading2"/>
        <w:spacing w:after="120" w:before="240"/>
      </w:pPr>
      <w:r>
        <w:rPr>
          <w:rFonts w:ascii="Arial" w:cs="Arial" w:eastAsia="Arial" w:hAnsi="Arial"/>
          <w:b/>
          <w:bCs/>
          <w:color w:val="4A1A8A"/>
          <w:sz w:val="28"/>
          <w:szCs w:val="28"/>
        </w:rPr>
        <w:t xml:space="preserve">3.3 Annual Revenue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60"/>
        <w:gridCol w:w="1500"/>
        <w:gridCol w:w="4500"/>
      </w:tblGrid>
      <w:tr>
        <w:tc>
          <w:tcPr>
            <w:tcW w:type="dxa" w:w="150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Year</w:t>
            </w:r>
          </w:p>
        </w:tc>
        <w:tc>
          <w:tcPr>
            <w:tcW w:type="dxa" w:w="186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Revenue</w:t>
            </w:r>
          </w:p>
        </w:tc>
        <w:tc>
          <w:tcPr>
            <w:tcW w:type="dxa" w:w="150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Contribution</w:t>
            </w:r>
          </w:p>
        </w:tc>
        <w:tc>
          <w:tcPr>
            <w:tcW w:type="dxa" w:w="450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Notes</w:t>
            </w:r>
          </w:p>
        </w:tc>
      </w:tr>
      <w:tr>
        <w:tc>
          <w:tcPr>
            <w:tcW w:type="dxa" w:w="15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2012</w:t>
            </w:r>
          </w:p>
        </w:tc>
        <w:tc>
          <w:tcPr>
            <w:tcW w:type="dxa" w:w="186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$129.27K</w:t>
            </w:r>
          </w:p>
        </w:tc>
        <w:tc>
          <w:tcPr>
            <w:tcW w:type="dxa" w:w="15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6.67%</w:t>
            </w:r>
          </w:p>
        </w:tc>
        <w:tc>
          <w:tcPr>
            <w:tcW w:type="dxa" w:w="45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Mar-Dec only — 10 months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2013</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$393.25K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year</w:t>
            </w:r>
          </w:p>
        </w:tc>
      </w:tr>
      <w:tr>
        <w:tc>
          <w:tcPr>
            <w:tcW w:type="dxa" w:w="15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2014</w:t>
            </w:r>
          </w:p>
        </w:tc>
        <w:tc>
          <w:tcPr>
            <w:tcW w:type="dxa" w:w="186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$1,075.61K</w:t>
            </w:r>
          </w:p>
        </w:tc>
        <w:tc>
          <w:tcPr>
            <w:tcW w:type="dxa" w:w="15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55.49%</w:t>
            </w:r>
          </w:p>
        </w:tc>
        <w:tc>
          <w:tcPr>
            <w:tcW w:type="dxa" w:w="45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Full year — strongest year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$340.38K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17.56%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Jan-Mar only — 3 months</w:t>
            </w:r>
          </w:p>
        </w:tc>
      </w:tr>
    </w:tbl>
    <w:p>
      <w:pPr>
        <w:spacing w:after="80" w:before="80"/>
      </w:pPr>
      <w:r>
        <w:t xml:space="preserve"/>
      </w:r>
    </w:p>
    <w:p>
      <w:pPr>
        <w:pStyle w:val="Heading2"/>
        <w:spacing w:after="120" w:before="240"/>
      </w:pPr>
      <w:r>
        <w:rPr>
          <w:rFonts w:ascii="Arial" w:cs="Arial" w:eastAsia="Arial" w:hAnsi="Arial"/>
          <w:b/>
          <w:bCs/>
          <w:color w:val="4A1A8A"/>
          <w:sz w:val="28"/>
          <w:szCs w:val="28"/>
        </w:rPr>
        <w:t xml:space="preserve">3.4 Key Insights</w:t>
      </w:r>
    </w:p>
    <w:p>
      <w:pPr>
        <w:pStyle w:val="ListParagraph"/>
        <w:numPr>
          <w:ilvl w:val="0"/>
          <w:numId w:val="2"/>
        </w:numPr>
        <w:spacing w:after="60" w:before="60"/>
      </w:pPr>
      <w:r>
        <w:rPr>
          <w:rFonts w:ascii="Arial" w:cs="Arial" w:eastAsia="Arial" w:hAnsi="Arial"/>
          <w:sz w:val="22"/>
          <w:szCs w:val="22"/>
        </w:rPr>
        <w:t xml:space="preserve">The Original Mr. Fuzzy is the flagship product, generating 60.53% of all units sold and $1.21M in revenue. It maintained consistent sales throughout all available years.</w:t>
      </w:r>
    </w:p>
    <w:p>
      <w:pPr>
        <w:pStyle w:val="ListParagraph"/>
        <w:numPr>
          <w:ilvl w:val="0"/>
          <w:numId w:val="2"/>
        </w:numPr>
        <w:spacing w:after="60" w:before="60"/>
      </w:pPr>
      <w:r>
        <w:rPr>
          <w:rFonts w:ascii="Arial" w:cs="Arial" w:eastAsia="Arial" w:hAnsi="Arial"/>
          <w:sz w:val="22"/>
          <w:szCs w:val="22"/>
        </w:rPr>
        <w:t xml:space="preserve">The Hudson River Mini Bear records the highest cross-sell rate at 89.36%, making it the most effective complementary product in the portfolio for increasing basket size.</w:t>
      </w:r>
    </w:p>
    <w:p>
      <w:pPr>
        <w:pStyle w:val="ListParagraph"/>
        <w:numPr>
          <w:ilvl w:val="0"/>
          <w:numId w:val="2"/>
        </w:numPr>
        <w:spacing w:after="60" w:before="60"/>
      </w:pPr>
      <w:r>
        <w:rPr>
          <w:rFonts w:ascii="Arial" w:cs="Arial" w:eastAsia="Arial" w:hAnsi="Arial"/>
          <w:sz w:val="22"/>
          <w:szCs w:val="22"/>
        </w:rPr>
        <w:t xml:space="preserve">December generated the highest monthly revenue across all complete years, confirming a strong holiday season effect. November was consistently the second-strongest month.</w:t>
      </w:r>
    </w:p>
    <w:p>
      <w:pPr>
        <w:pStyle w:val="ListParagraph"/>
        <w:numPr>
          <w:ilvl w:val="0"/>
          <w:numId w:val="2"/>
        </w:numPr>
        <w:spacing w:after="60" w:before="60"/>
      </w:pPr>
      <w:r>
        <w:rPr>
          <w:rFonts w:ascii="Arial" w:cs="Arial" w:eastAsia="Arial" w:hAnsi="Arial"/>
          <w:sz w:val="22"/>
          <w:szCs w:val="22"/>
        </w:rPr>
        <w:t xml:space="preserve">2014 was the strongest revenue year, contributing 55.49% of total revenue. Revenue grew consistently from 2012 through 2014.</w:t>
      </w:r>
    </w:p>
    <w:p>
      <w:pPr>
        <w:pStyle w:val="ListParagraph"/>
        <w:numPr>
          <w:ilvl w:val="0"/>
          <w:numId w:val="2"/>
        </w:numPr>
        <w:spacing w:after="60" w:before="60"/>
      </w:pPr>
      <w:r>
        <w:rPr>
          <w:rFonts w:ascii="Arial" w:cs="Arial" w:eastAsia="Arial" w:hAnsi="Arial"/>
          <w:sz w:val="22"/>
          <w:szCs w:val="22"/>
        </w:rPr>
        <w:t xml:space="preserve">Multi-item orders account for 23.87% of all orders, with The Original Mr. Fuzzy appearing in 74.65% of multi-item purchases as the primary product.</w:t>
      </w:r>
    </w:p>
    <w:p>
      <w:pPr>
        <w:pStyle w:val="ListParagraph"/>
        <w:numPr>
          <w:ilvl w:val="0"/>
          <w:numId w:val="2"/>
        </w:numPr>
        <w:spacing w:after="60" w:before="60"/>
      </w:pPr>
      <w:r>
        <w:rPr>
          <w:rFonts w:ascii="Arial" w:cs="Arial" w:eastAsia="Arial" w:hAnsi="Arial"/>
          <w:sz w:val="22"/>
          <w:szCs w:val="22"/>
        </w:rPr>
        <w:t xml:space="preserve">Revenue in Q1 2015 was exceptionally strong — January and February 2015 each contributed over 6.5% of total revenue despite covering only 3 months of data.</w:t>
      </w:r>
    </w:p>
    <w:p>
      <w:pPr>
        <w:spacing w:after="80" w:before="80"/>
      </w:pPr>
      <w:r>
        <w:t xml:space="preserve"/>
      </w:r>
    </w:p>
    <w:p>
      <w:pPr>
        <w:pStyle w:val="Heading2"/>
        <w:spacing w:after="120" w:before="240"/>
      </w:pPr>
      <w:r>
        <w:rPr>
          <w:rFonts w:ascii="Arial" w:cs="Arial" w:eastAsia="Arial" w:hAnsi="Arial"/>
          <w:b/>
          <w:bCs/>
          <w:color w:val="4A1A8A"/>
          <w:sz w:val="28"/>
          <w:szCs w:val="28"/>
        </w:rPr>
        <w:t xml:space="preserve">3.5 Recommendations</w:t>
      </w:r>
    </w:p>
    <w:p>
      <w:pPr>
        <w:pStyle w:val="ListParagraph"/>
        <w:numPr>
          <w:ilvl w:val="0"/>
          <w:numId w:val="2"/>
        </w:numPr>
        <w:spacing w:after="60" w:before="60"/>
      </w:pPr>
      <w:r>
        <w:rPr>
          <w:rFonts w:ascii="Arial" w:cs="Arial" w:eastAsia="Arial" w:hAnsi="Arial"/>
          <w:sz w:val="22"/>
          <w:szCs w:val="22"/>
        </w:rPr>
        <w:t xml:space="preserve">Continue prioritizing The Original Mr. Fuzzy as the flagship product while protecting its position through targeted marketing and inventory planning.</w:t>
      </w:r>
    </w:p>
    <w:p>
      <w:pPr>
        <w:pStyle w:val="ListParagraph"/>
        <w:numPr>
          <w:ilvl w:val="0"/>
          <w:numId w:val="2"/>
        </w:numPr>
        <w:spacing w:after="60" w:before="60"/>
      </w:pPr>
      <w:r>
        <w:rPr>
          <w:rFonts w:ascii="Arial" w:cs="Arial" w:eastAsia="Arial" w:hAnsi="Arial"/>
          <w:sz w:val="22"/>
          <w:szCs w:val="22"/>
        </w:rPr>
        <w:t xml:space="preserve">Increase cross-sell promotions featuring The Hudson River Mini Bear alongside high-volume products to improve Average Order Value.</w:t>
      </w:r>
    </w:p>
    <w:p>
      <w:pPr>
        <w:pStyle w:val="ListParagraph"/>
        <w:numPr>
          <w:ilvl w:val="0"/>
          <w:numId w:val="2"/>
        </w:numPr>
        <w:spacing w:after="60" w:before="60"/>
      </w:pPr>
      <w:r>
        <w:rPr>
          <w:rFonts w:ascii="Arial" w:cs="Arial" w:eastAsia="Arial" w:hAnsi="Arial"/>
          <w:sz w:val="22"/>
          <w:szCs w:val="22"/>
        </w:rPr>
        <w:t xml:space="preserve">Allocate additional marketing budget and inventory before the holiday period — particularly October through December — to capitalize on the seasonal demand pattern.</w:t>
      </w:r>
    </w:p>
    <w:p>
      <w:pPr>
        <w:pStyle w:val="ListParagraph"/>
        <w:numPr>
          <w:ilvl w:val="0"/>
          <w:numId w:val="2"/>
        </w:numPr>
        <w:spacing w:after="60" w:before="60"/>
      </w:pPr>
      <w:r>
        <w:rPr>
          <w:rFonts w:ascii="Arial" w:cs="Arial" w:eastAsia="Arial" w:hAnsi="Arial"/>
          <w:sz w:val="22"/>
          <w:szCs w:val="22"/>
        </w:rPr>
        <w:t xml:space="preserve">Explore product bundles combining high-revenue products (Mr. Fuzzy, Forever Love Bear) with high cross-sell products (Hudson River Mini Bear) to drive multi-item order rates higher.</w:t>
      </w:r>
    </w:p>
    <w:p>
      <w:r>
        <w:br w:type="page"/>
      </w:r>
    </w:p>
    <w:p>
      <w:pPr>
        <w:pStyle w:val="Heading1"/>
        <w:spacing w:after="160" w:before="320"/>
      </w:pPr>
      <w:r>
        <w:rPr>
          <w:rFonts w:ascii="Arial" w:cs="Arial" w:eastAsia="Arial" w:hAnsi="Arial"/>
          <w:b/>
          <w:bCs/>
          <w:color w:val="7B2FBE"/>
          <w:sz w:val="36"/>
          <w:szCs w:val="36"/>
        </w:rPr>
        <w:t xml:space="preserve">4. Refund Analysis</w:t>
      </w:r>
    </w:p>
    <w:p>
      <w:pPr>
        <w:pBdr>
          <w:bottom w:val="single" w:color="7B2FBE" w:sz="4" w:space="1"/>
        </w:pBdr>
        <w:spacing w:after="120" w:before="120"/>
      </w:pPr>
      <w:r>
        <w:t xml:space="preserve"/>
      </w:r>
    </w:p>
    <w:p>
      <w:pPr>
        <w:pStyle w:val="Heading2"/>
        <w:spacing w:after="120" w:before="240"/>
      </w:pPr>
      <w:r>
        <w:rPr>
          <w:rFonts w:ascii="Arial" w:cs="Arial" w:eastAsia="Arial" w:hAnsi="Arial"/>
          <w:b/>
          <w:bCs/>
          <w:color w:val="4A1A8A"/>
          <w:sz w:val="28"/>
          <w:szCs w:val="28"/>
        </w:rPr>
        <w:t xml:space="preserve">4.1 Return Rate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Zone</w:t>
            </w:r>
          </w:p>
        </w:tc>
        <w:tc>
          <w:tcPr>
            <w:tcW w:type="dxa" w:w="312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Return Rate</w:t>
            </w:r>
          </w:p>
        </w:tc>
        <w:tc>
          <w:tcPr>
            <w:tcW w:type="dxa" w:w="312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Healthy</w:t>
            </w:r>
          </w:p>
        </w:tc>
        <w:tc>
          <w:tcPr>
            <w:tcW w:type="dxa" w:w="312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Below 3%</w:t>
            </w:r>
          </w:p>
        </w:tc>
        <w:tc>
          <w:tcPr>
            <w:tcW w:type="dxa" w:w="312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 Target zone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to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Monitor closely</w:t>
            </w:r>
          </w:p>
        </w:tc>
      </w:tr>
      <w:tr>
        <w:tc>
          <w:tcPr>
            <w:tcW w:type="dxa" w:w="312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Critical</w:t>
            </w:r>
          </w:p>
        </w:tc>
        <w:tc>
          <w:tcPr>
            <w:tcW w:type="dxa" w:w="312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Above 5%</w:t>
            </w:r>
          </w:p>
        </w:tc>
        <w:tc>
          <w:tcPr>
            <w:tcW w:type="dxa" w:w="312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 Immediate action required</w:t>
            </w:r>
          </w:p>
        </w:tc>
      </w:tr>
    </w:tbl>
    <w:p>
      <w:pPr>
        <w:spacing w:after="80" w:before="80"/>
      </w:pPr>
      <w:r>
        <w:t xml:space="preserve"/>
      </w:r>
    </w:p>
    <w:p>
      <w:pPr>
        <w:pStyle w:val="Heading2"/>
        <w:spacing w:after="120" w:before="240"/>
      </w:pPr>
      <w:r>
        <w:rPr>
          <w:rFonts w:ascii="Arial" w:cs="Arial" w:eastAsia="Arial" w:hAnsi="Arial"/>
          <w:b/>
          <w:bCs/>
          <w:color w:val="4A1A8A"/>
          <w:sz w:val="28"/>
          <w:szCs w:val="28"/>
        </w:rPr>
        <w:t xml:space="preserve">4.2 Overall Refund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2FBE" w:sz="1"/>
              <w:left w:val="single" w:color="7B2FBE" w:sz="1"/>
              <w:bottom w:val="single" w:color="7B2FBE" w:sz="1"/>
              <w:right w:val="single" w:color="7B2FBE" w:sz="1"/>
            </w:tcBorders>
            <w:shd w:fill="F3E8FF" w:val="clear"/>
            <w:tcMar>
              <w:top w:type="dxa" w:w="100"/>
              <w:left w:type="dxa" w:w="120"/>
              <w:bottom w:type="dxa" w:w="100"/>
              <w:right w:type="dxa" w:w="120"/>
            </w:tcMar>
          </w:tcPr>
          <w:p>
            <w:pPr>
              <w:jc w:val="center"/>
            </w:pPr>
            <w:r>
              <w:rPr>
                <w:rFonts w:ascii="Arial" w:cs="Arial" w:eastAsia="Arial" w:hAnsi="Arial"/>
                <w:color w:val="555555"/>
                <w:sz w:val="18"/>
                <w:szCs w:val="18"/>
              </w:rPr>
              <w:t xml:space="preserve">Total Refunds</w:t>
            </w:r>
          </w:p>
          <w:p>
            <w:pPr>
              <w:jc w:val="center"/>
            </w:pPr>
            <w:r>
              <w:rPr>
                <w:rFonts w:ascii="Arial" w:cs="Arial" w:eastAsia="Arial" w:hAnsi="Arial"/>
                <w:b/>
                <w:bCs/>
                <w:color w:val="4A1A8A"/>
                <w:sz w:val="26"/>
                <w:szCs w:val="26"/>
              </w:rPr>
              <w:t xml:space="preserve">1,731</w:t>
            </w:r>
          </w:p>
        </w:tc>
        <w:tc>
          <w:tcPr>
            <w:tcW w:type="dxa" w:w="2340"/>
            <w:tcBorders>
              <w:top w:val="single" w:color="7B2FBE" w:sz="1"/>
              <w:left w:val="single" w:color="7B2FBE" w:sz="1"/>
              <w:bottom w:val="single" w:color="7B2FBE" w:sz="1"/>
              <w:right w:val="single" w:color="7B2FBE" w:sz="1"/>
            </w:tcBorders>
            <w:shd w:fill="F3E8FF" w:val="clear"/>
            <w:tcMar>
              <w:top w:type="dxa" w:w="100"/>
              <w:left w:type="dxa" w:w="120"/>
              <w:bottom w:type="dxa" w:w="100"/>
              <w:right w:type="dxa" w:w="120"/>
            </w:tcMar>
          </w:tcPr>
          <w:p>
            <w:pPr>
              <w:jc w:val="center"/>
            </w:pPr>
            <w:r>
              <w:rPr>
                <w:rFonts w:ascii="Arial" w:cs="Arial" w:eastAsia="Arial" w:hAnsi="Arial"/>
                <w:color w:val="555555"/>
                <w:sz w:val="18"/>
                <w:szCs w:val="18"/>
              </w:rPr>
              <w:t xml:space="preserve">Item Return Rate</w:t>
            </w:r>
          </w:p>
          <w:p>
            <w:pPr>
              <w:jc w:val="center"/>
            </w:pPr>
            <w:r>
              <w:rPr>
                <w:rFonts w:ascii="Arial" w:cs="Arial" w:eastAsia="Arial" w:hAnsi="Arial"/>
                <w:b/>
                <w:bCs/>
                <w:color w:val="4A1A8A"/>
                <w:sz w:val="26"/>
                <w:szCs w:val="26"/>
              </w:rPr>
              <w:t xml:space="preserve">4.32%</w:t>
            </w:r>
          </w:p>
        </w:tc>
        <w:tc>
          <w:tcPr>
            <w:tcW w:type="dxa" w:w="2340"/>
            <w:tcBorders>
              <w:top w:val="single" w:color="7B2FBE" w:sz="1"/>
              <w:left w:val="single" w:color="7B2FBE" w:sz="1"/>
              <w:bottom w:val="single" w:color="7B2FBE" w:sz="1"/>
              <w:right w:val="single" w:color="7B2FBE" w:sz="1"/>
            </w:tcBorders>
            <w:shd w:fill="F3E8FF" w:val="clear"/>
            <w:tcMar>
              <w:top w:type="dxa" w:w="100"/>
              <w:left w:type="dxa" w:w="120"/>
              <w:bottom w:type="dxa" w:w="100"/>
              <w:right w:type="dxa" w:w="120"/>
            </w:tcMar>
          </w:tcPr>
          <w:p>
            <w:pPr>
              <w:jc w:val="center"/>
            </w:pPr>
            <w:r>
              <w:rPr>
                <w:rFonts w:ascii="Arial" w:cs="Arial" w:eastAsia="Arial" w:hAnsi="Arial"/>
                <w:color w:val="555555"/>
                <w:sz w:val="18"/>
                <w:szCs w:val="18"/>
              </w:rPr>
              <w:t xml:space="preserve">Order Return Rate</w:t>
            </w:r>
          </w:p>
          <w:p>
            <w:pPr>
              <w:jc w:val="center"/>
            </w:pPr>
            <w:r>
              <w:rPr>
                <w:rFonts w:ascii="Arial" w:cs="Arial" w:eastAsia="Arial" w:hAnsi="Arial"/>
                <w:b/>
                <w:bCs/>
                <w:color w:val="4A1A8A"/>
                <w:sz w:val="26"/>
                <w:szCs w:val="26"/>
              </w:rPr>
              <w:t xml:space="preserve">5.36%</w:t>
            </w:r>
          </w:p>
        </w:tc>
        <w:tc>
          <w:tcPr>
            <w:tcW w:type="dxa" w:w="2340"/>
            <w:tcBorders>
              <w:top w:val="single" w:color="7B2FBE" w:sz="1"/>
              <w:left w:val="single" w:color="7B2FBE" w:sz="1"/>
              <w:bottom w:val="single" w:color="7B2FBE" w:sz="1"/>
              <w:right w:val="single" w:color="7B2FBE" w:sz="1"/>
            </w:tcBorders>
            <w:shd w:fill="F3E8FF" w:val="clear"/>
            <w:tcMar>
              <w:top w:type="dxa" w:w="100"/>
              <w:left w:type="dxa" w:w="120"/>
              <w:bottom w:type="dxa" w:w="100"/>
              <w:right w:type="dxa" w:w="120"/>
            </w:tcMar>
          </w:tcPr>
          <w:p>
            <w:pPr>
              <w:jc w:val="center"/>
            </w:pPr>
            <w:r>
              <w:rPr>
                <w:rFonts w:ascii="Arial" w:cs="Arial" w:eastAsia="Arial" w:hAnsi="Arial"/>
                <w:color w:val="555555"/>
                <w:sz w:val="18"/>
                <w:szCs w:val="18"/>
              </w:rPr>
              <w:t xml:space="preserve">Refund Loss</w:t>
            </w:r>
          </w:p>
          <w:p>
            <w:pPr>
              <w:jc w:val="center"/>
            </w:pPr>
            <w:r>
              <w:rPr>
                <w:rFonts w:ascii="Arial" w:cs="Arial" w:eastAsia="Arial" w:hAnsi="Arial"/>
                <w:b/>
                <w:bCs/>
                <w:color w:val="4A1A8A"/>
                <w:sz w:val="26"/>
                <w:szCs w:val="26"/>
              </w:rPr>
              <w:t xml:space="preserve">$85.34K</w:t>
            </w:r>
          </w:p>
        </w:tc>
      </w:tr>
    </w:tbl>
    <w:p>
      <w:pPr>
        <w:spacing w:after="80" w:before="80"/>
      </w:pPr>
      <w:r>
        <w:t xml:space="preserve"/>
      </w:r>
    </w:p>
    <w:p>
      <w:pPr>
        <w:pStyle w:val="Heading2"/>
        <w:spacing w:after="120" w:before="240"/>
      </w:pPr>
      <w:r>
        <w:rPr>
          <w:rFonts w:ascii="Arial" w:cs="Arial" w:eastAsia="Arial" w:hAnsi="Arial"/>
          <w:b/>
          <w:bCs/>
          <w:color w:val="4A1A8A"/>
          <w:sz w:val="28"/>
          <w:szCs w:val="28"/>
        </w:rPr>
        <w:t xml:space="preserve">4.3 Return Rate by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860"/>
        <w:gridCol w:w="4700"/>
      </w:tblGrid>
      <w:tr>
        <w:tc>
          <w:tcPr>
            <w:tcW w:type="dxa" w:w="130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Year</w:t>
            </w:r>
          </w:p>
        </w:tc>
        <w:tc>
          <w:tcPr>
            <w:tcW w:type="dxa" w:w="150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Return Rate</w:t>
            </w:r>
          </w:p>
        </w:tc>
        <w:tc>
          <w:tcPr>
            <w:tcW w:type="dxa" w:w="186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Status</w:t>
            </w:r>
          </w:p>
        </w:tc>
        <w:tc>
          <w:tcPr>
            <w:tcW w:type="dxa" w:w="470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Notes</w:t>
            </w:r>
          </w:p>
        </w:tc>
      </w:tr>
      <w:tr>
        <w:tc>
          <w:tcPr>
            <w:tcW w:type="dxa" w:w="13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2012</w:t>
            </w:r>
          </w:p>
        </w:tc>
        <w:tc>
          <w:tcPr>
            <w:tcW w:type="dxa" w:w="15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6.88%</w:t>
            </w:r>
          </w:p>
        </w:tc>
        <w:tc>
          <w:tcPr>
            <w:tcW w:type="dxa" w:w="186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 Critical</w:t>
            </w:r>
          </w:p>
        </w:tc>
        <w:tc>
          <w:tcPr>
            <w:tcW w:type="dxa" w:w="47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Early stage — product quality issues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4.41%</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Warning</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Significant improvement from 2012</w:t>
            </w:r>
          </w:p>
        </w:tc>
      </w:tr>
      <w:tr>
        <w:tc>
          <w:tcPr>
            <w:tcW w:type="dxa" w:w="13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2014</w:t>
            </w:r>
          </w:p>
        </w:tc>
        <w:tc>
          <w:tcPr>
            <w:tcW w:type="dxa" w:w="15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4.36%</w:t>
            </w:r>
          </w:p>
        </w:tc>
        <w:tc>
          <w:tcPr>
            <w:tcW w:type="dxa" w:w="186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 Warning</w:t>
            </w:r>
          </w:p>
        </w:tc>
        <w:tc>
          <w:tcPr>
            <w:tcW w:type="dxa" w:w="47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Stable — minimal change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Healthy</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Approaching target zone</w:t>
            </w:r>
          </w:p>
        </w:tc>
      </w:tr>
    </w:tbl>
    <w:p>
      <w:pPr>
        <w:spacing w:after="80" w:before="80"/>
      </w:pPr>
      <w:r>
        <w:t xml:space="preserve"/>
      </w:r>
    </w:p>
    <w:p>
      <w:pPr>
        <w:spacing w:after="80" w:before="80"/>
      </w:pPr>
      <w:r>
        <w:rPr>
          <w:rFonts w:ascii="Arial" w:cs="Arial" w:eastAsia="Arial" w:hAnsi="Arial"/>
          <w:sz w:val="22"/>
          <w:szCs w:val="22"/>
        </w:rPr>
        <w:t xml:space="preserve">Return rate improved by 53% from 2012 (6.88%) to 2015 (3.20%) — a strong signal of improving product quality and customer satisfaction over time.</w:t>
      </w:r>
    </w:p>
    <w:p>
      <w:pPr>
        <w:spacing w:after="80" w:before="80"/>
      </w:pPr>
      <w:r>
        <w:t xml:space="preserve"/>
      </w:r>
    </w:p>
    <w:p>
      <w:pPr>
        <w:pStyle w:val="Heading2"/>
        <w:spacing w:after="120" w:before="240"/>
      </w:pPr>
      <w:r>
        <w:rPr>
          <w:rFonts w:ascii="Arial" w:cs="Arial" w:eastAsia="Arial" w:hAnsi="Arial"/>
          <w:b/>
          <w:bCs/>
          <w:color w:val="4A1A8A"/>
          <w:sz w:val="28"/>
          <w:szCs w:val="28"/>
        </w:rPr>
        <w:t xml:space="preserve">4.4 Product-Level Refund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400"/>
        <w:gridCol w:w="1260"/>
        <w:gridCol w:w="1900"/>
      </w:tblGrid>
      <w:tr>
        <w:tc>
          <w:tcPr>
            <w:tcW w:type="dxa" w:w="240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Product</w:t>
            </w:r>
          </w:p>
        </w:tc>
        <w:tc>
          <w:tcPr>
            <w:tcW w:type="dxa" w:w="120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Units Sold</w:t>
            </w:r>
          </w:p>
        </w:tc>
        <w:tc>
          <w:tcPr>
            <w:tcW w:type="dxa" w:w="120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Refunds</w:t>
            </w:r>
          </w:p>
        </w:tc>
        <w:tc>
          <w:tcPr>
            <w:tcW w:type="dxa" w:w="140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Return Rate</w:t>
            </w:r>
          </w:p>
        </w:tc>
        <w:tc>
          <w:tcPr>
            <w:tcW w:type="dxa" w:w="126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Refund Loss</w:t>
            </w:r>
          </w:p>
        </w:tc>
        <w:tc>
          <w:tcPr>
            <w:tcW w:type="dxa" w:w="1900"/>
            <w:tcBorders>
              <w:top w:val="single" w:color="7B2FBE" w:sz="1"/>
              <w:left w:val="single" w:color="7B2FBE" w:sz="1"/>
              <w:bottom w:val="single" w:color="7B2FBE" w:sz="1"/>
              <w:right w:val="single" w:color="7B2FBE" w:sz="1"/>
            </w:tcBorders>
            <w:shd w:fill="EDE7F6" w:val="clear"/>
            <w:tcMar>
              <w:top w:type="dxa" w:w="80"/>
              <w:left w:type="dxa" w:w="120"/>
              <w:bottom w:type="dxa" w:w="80"/>
              <w:right w:type="dxa" w:w="120"/>
            </w:tcMar>
            <w:vAlign w:val="center"/>
          </w:tcPr>
          <w:p>
            <w:pPr>
              <w:jc w:val="left"/>
            </w:pPr>
            <w:r>
              <w:rPr>
                <w:rFonts w:ascii="Arial" w:cs="Arial" w:eastAsia="Arial" w:hAnsi="Arial"/>
                <w:b/>
                <w:bCs/>
                <w:color w:val="4A1A8A"/>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The Birthday Sugar Panda</w:t>
            </w:r>
          </w:p>
        </w:tc>
        <w:tc>
          <w:tcPr>
            <w:tcW w:type="dxa" w:w="12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4,985</w:t>
            </w:r>
          </w:p>
        </w:tc>
        <w:tc>
          <w:tcPr>
            <w:tcW w:type="dxa" w:w="12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301</w:t>
            </w:r>
          </w:p>
        </w:tc>
        <w:tc>
          <w:tcPr>
            <w:tcW w:type="dxa" w:w="14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6.04%</w:t>
            </w:r>
          </w:p>
        </w:tc>
        <w:tc>
          <w:tcPr>
            <w:tcW w:type="dxa" w:w="126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$14K</w:t>
            </w:r>
          </w:p>
        </w:tc>
        <w:tc>
          <w:tcPr>
            <w:tcW w:type="dxa" w:w="19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 Critical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Original Mr. Fuzzy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24,226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Warning</w:t>
            </w:r>
          </w:p>
        </w:tc>
      </w:tr>
      <w:tr>
        <w:tc>
          <w:tcPr>
            <w:tcW w:type="dxa" w:w="24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The Forever Love Bear</w:t>
            </w:r>
          </w:p>
        </w:tc>
        <w:tc>
          <w:tcPr>
            <w:tcW w:type="dxa" w:w="12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6,071</w:t>
            </w:r>
          </w:p>
        </w:tc>
        <w:tc>
          <w:tcPr>
            <w:tcW w:type="dxa" w:w="12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129</w:t>
            </w:r>
          </w:p>
        </w:tc>
        <w:tc>
          <w:tcPr>
            <w:tcW w:type="dxa" w:w="14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2.23%</w:t>
            </w:r>
          </w:p>
        </w:tc>
        <w:tc>
          <w:tcPr>
            <w:tcW w:type="dxa" w:w="126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$8K</w:t>
            </w:r>
          </w:p>
        </w:tc>
        <w:tc>
          <w:tcPr>
            <w:tcW w:type="dxa" w:w="1900"/>
            <w:tcBorders>
              <w:top w:val="single" w:color="CCCCCC" w:sz="1"/>
              <w:left w:val="single" w:color="CCCCCC" w:sz="1"/>
              <w:bottom w:val="single" w:color="CCCCCC" w:sz="1"/>
              <w:right w:val="single" w:color="CCCCCC" w:sz="1"/>
            </w:tcBorders>
            <w:shd w:fill="F9F6FF" w:val="clear"/>
            <w:tcMar>
              <w:top w:type="dxa" w:w="80"/>
              <w:left w:type="dxa" w:w="120"/>
              <w:bottom w:type="dxa" w:w="80"/>
              <w:right w:type="dxa" w:w="120"/>
            </w:tcMar>
          </w:tcPr>
          <w:p>
            <w:r>
              <w:rPr>
                <w:rFonts w:ascii="Arial" w:cs="Arial" w:eastAsia="Arial" w:hAnsi="Arial"/>
                <w:sz w:val="20"/>
                <w:szCs w:val="20"/>
              </w:rPr>
              <w:t xml:space="preserve">✅ Healthy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Hudson River Mini Bear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4,743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Healthy</w:t>
            </w:r>
          </w:p>
        </w:tc>
      </w:tr>
    </w:tbl>
    <w:p>
      <w:pPr>
        <w:spacing w:after="80" w:before="80"/>
      </w:pPr>
      <w:r>
        <w:t xml:space="preserve"/>
      </w:r>
    </w:p>
    <w:p>
      <w:pPr>
        <w:pStyle w:val="Heading2"/>
        <w:spacing w:after="120" w:before="240"/>
      </w:pPr>
      <w:r>
        <w:rPr>
          <w:rFonts w:ascii="Arial" w:cs="Arial" w:eastAsia="Arial" w:hAnsi="Arial"/>
          <w:b/>
          <w:bCs/>
          <w:color w:val="4A1A8A"/>
          <w:sz w:val="28"/>
          <w:szCs w:val="28"/>
        </w:rPr>
        <w:t xml:space="preserve">4.5 Key Insights</w:t>
      </w:r>
    </w:p>
    <w:p>
      <w:pPr>
        <w:pStyle w:val="ListParagraph"/>
        <w:numPr>
          <w:ilvl w:val="0"/>
          <w:numId w:val="2"/>
        </w:numPr>
        <w:spacing w:after="60" w:before="60"/>
      </w:pPr>
      <w:r>
        <w:rPr>
          <w:rFonts w:ascii="Arial" w:cs="Arial" w:eastAsia="Arial" w:hAnsi="Arial"/>
          <w:sz w:val="22"/>
          <w:szCs w:val="22"/>
        </w:rPr>
        <w:t xml:space="preserve">The Birthday Sugar Panda has the highest return rate at 6.04% — in the Critical zone — despite having only 4,985 units sold. This suggests product quality, description accuracy, or expectation-setting issues.</w:t>
      </w:r>
    </w:p>
    <w:p>
      <w:pPr>
        <w:pStyle w:val="ListParagraph"/>
        <w:numPr>
          <w:ilvl w:val="0"/>
          <w:numId w:val="2"/>
        </w:numPr>
        <w:spacing w:after="60" w:before="60"/>
      </w:pPr>
      <w:r>
        <w:rPr>
          <w:rFonts w:ascii="Arial" w:cs="Arial" w:eastAsia="Arial" w:hAnsi="Arial"/>
          <w:sz w:val="22"/>
          <w:szCs w:val="22"/>
        </w:rPr>
        <w:t xml:space="preserve">The Original Mr. Fuzzy generates the largest refund loss at $62K, representing over 70% of total refund value. This is primarily driven by its high sales volume rather than an unusually high return rate, but still represents the greatest financial impact.</w:t>
      </w:r>
    </w:p>
    <w:p>
      <w:pPr>
        <w:pStyle w:val="ListParagraph"/>
        <w:numPr>
          <w:ilvl w:val="0"/>
          <w:numId w:val="2"/>
        </w:numPr>
        <w:spacing w:after="60" w:before="60"/>
      </w:pPr>
      <w:r>
        <w:rPr>
          <w:rFonts w:ascii="Arial" w:cs="Arial" w:eastAsia="Arial" w:hAnsi="Arial"/>
          <w:sz w:val="22"/>
          <w:szCs w:val="22"/>
        </w:rPr>
        <w:t xml:space="preserve">The Hudson River Mini Bear demonstrates the strongest post-purchase performance with the lowest return rate (1.28%) and lowest refund loss ($2K) — making it the most satisfying product for customers.</w:t>
      </w:r>
    </w:p>
    <w:p>
      <w:pPr>
        <w:pStyle w:val="ListParagraph"/>
        <w:numPr>
          <w:ilvl w:val="0"/>
          <w:numId w:val="2"/>
        </w:numPr>
        <w:spacing w:after="60" w:before="60"/>
      </w:pPr>
      <w:r>
        <w:rPr>
          <w:rFonts w:ascii="Arial" w:cs="Arial" w:eastAsia="Arial" w:hAnsi="Arial"/>
          <w:sz w:val="22"/>
          <w:szCs w:val="22"/>
        </w:rPr>
        <w:t xml:space="preserve">The Forever Love Bear maintains a healthy 2.23% return rate, significantly below the Warning threshold, indicating strong product-customer fit.</w:t>
      </w:r>
    </w:p>
    <w:p>
      <w:pPr>
        <w:pStyle w:val="ListParagraph"/>
        <w:numPr>
          <w:ilvl w:val="0"/>
          <w:numId w:val="2"/>
        </w:numPr>
        <w:spacing w:after="60" w:before="60"/>
      </w:pPr>
      <w:r>
        <w:rPr>
          <w:rFonts w:ascii="Arial" w:cs="Arial" w:eastAsia="Arial" w:hAnsi="Arial"/>
          <w:sz w:val="22"/>
          <w:szCs w:val="22"/>
        </w:rPr>
        <w:t xml:space="preserve">The overall item return rate of 4.32% sits in the Warning zone. The declining YoY trend is encouraging, but sustained focus is required to reach the 3% Healthy threshold.</w:t>
      </w:r>
    </w:p>
    <w:p>
      <w:pPr>
        <w:spacing w:after="80" w:before="80"/>
      </w:pPr>
      <w:r>
        <w:t xml:space="preserve"/>
      </w:r>
    </w:p>
    <w:p>
      <w:pPr>
        <w:pStyle w:val="Heading2"/>
        <w:spacing w:after="120" w:before="240"/>
      </w:pPr>
      <w:r>
        <w:rPr>
          <w:rFonts w:ascii="Arial" w:cs="Arial" w:eastAsia="Arial" w:hAnsi="Arial"/>
          <w:b/>
          <w:bCs/>
          <w:color w:val="4A1A8A"/>
          <w:sz w:val="28"/>
          <w:szCs w:val="28"/>
        </w:rPr>
        <w:t xml:space="preserve">4.6 Recommendations</w:t>
      </w:r>
    </w:p>
    <w:p>
      <w:pPr>
        <w:pStyle w:val="ListParagraph"/>
        <w:numPr>
          <w:ilvl w:val="0"/>
          <w:numId w:val="2"/>
        </w:numPr>
        <w:spacing w:after="60" w:before="60"/>
      </w:pPr>
      <w:r>
        <w:rPr>
          <w:rFonts w:ascii="Arial" w:cs="Arial" w:eastAsia="Arial" w:hAnsi="Arial"/>
          <w:sz w:val="22"/>
          <w:szCs w:val="22"/>
        </w:rPr>
        <w:t xml:space="preserve">Conduct a detailed review of The Birthday Sugar Panda — analyze customer feedback, product descriptions, and quality to identify root causes of the 6.04% return rate.</w:t>
      </w:r>
    </w:p>
    <w:p>
      <w:pPr>
        <w:pStyle w:val="ListParagraph"/>
        <w:numPr>
          <w:ilvl w:val="0"/>
          <w:numId w:val="2"/>
        </w:numPr>
        <w:spacing w:after="60" w:before="60"/>
      </w:pPr>
      <w:r>
        <w:rPr>
          <w:rFonts w:ascii="Arial" w:cs="Arial" w:eastAsia="Arial" w:hAnsi="Arial"/>
          <w:sz w:val="22"/>
          <w:szCs w:val="22"/>
        </w:rPr>
        <w:t xml:space="preserve">Closely monitor The Original Mr. Fuzzy returns. Even a 1% improvement in its return rate would recover approximately $12K in refund losses annually, given its high sales volume.</w:t>
      </w:r>
    </w:p>
    <w:p>
      <w:pPr>
        <w:pStyle w:val="ListParagraph"/>
        <w:numPr>
          <w:ilvl w:val="0"/>
          <w:numId w:val="2"/>
        </w:numPr>
        <w:spacing w:after="60" w:before="60"/>
      </w:pPr>
      <w:r>
        <w:rPr>
          <w:rFonts w:ascii="Arial" w:cs="Arial" w:eastAsia="Arial" w:hAnsi="Arial"/>
          <w:sz w:val="22"/>
          <w:szCs w:val="22"/>
        </w:rPr>
        <w:t xml:space="preserve">Study The Hudson River Mini Bear's product strategy — its low return rate may offer transferable lessons in product positioning, description accuracy, and customer expectation-setting.</w:t>
      </w:r>
    </w:p>
    <w:p>
      <w:pPr>
        <w:pStyle w:val="ListParagraph"/>
        <w:numPr>
          <w:ilvl w:val="0"/>
          <w:numId w:val="2"/>
        </w:numPr>
        <w:spacing w:after="60" w:before="60"/>
      </w:pPr>
      <w:r>
        <w:rPr>
          <w:rFonts w:ascii="Arial" w:cs="Arial" w:eastAsia="Arial" w:hAnsi="Arial"/>
          <w:sz w:val="22"/>
          <w:szCs w:val="22"/>
        </w:rPr>
        <w:t xml:space="preserve">Implement proactive post-purchase communication (order confirmations, usage guides, expectation-setting) to reduce preventable returns across all products.</w:t>
      </w:r>
    </w:p>
    <w:p>
      <w:pPr>
        <w:pStyle w:val="ListParagraph"/>
        <w:numPr>
          <w:ilvl w:val="0"/>
          <w:numId w:val="2"/>
        </w:numPr>
        <w:spacing w:after="60" w:before="60"/>
      </w:pPr>
      <w:r>
        <w:rPr>
          <w:rFonts w:ascii="Arial" w:cs="Arial" w:eastAsia="Arial" w:hAnsi="Arial"/>
          <w:sz w:val="22"/>
          <w:szCs w:val="22"/>
        </w:rPr>
        <w:t xml:space="preserve">Track return trends monthly and set an alert threshold at 5% to enable early intervention before refund losses escalate.</w:t>
      </w:r>
    </w:p>
    <w:p>
      <w:r>
        <w:br w:type="page"/>
      </w:r>
    </w:p>
    <w:p>
      <w:pPr>
        <w:pStyle w:val="Heading1"/>
        <w:spacing w:after="160" w:before="320"/>
      </w:pPr>
      <w:r>
        <w:rPr>
          <w:rFonts w:ascii="Arial" w:cs="Arial" w:eastAsia="Arial" w:hAnsi="Arial"/>
          <w:b/>
          <w:bCs/>
          <w:color w:val="7B2FBE"/>
          <w:sz w:val="36"/>
          <w:szCs w:val="36"/>
        </w:rPr>
        <w:t xml:space="preserve">5. Conclusion</w:t>
      </w:r>
    </w:p>
    <w:p>
      <w:pPr>
        <w:pBdr>
          <w:bottom w:val="single" w:color="7B2FBE" w:sz="4" w:space="1"/>
        </w:pBdr>
        <w:spacing w:after="120" w:before="120"/>
      </w:pPr>
      <w:r>
        <w:t xml:space="preserve"/>
      </w:r>
    </w:p>
    <w:p>
      <w:pPr>
        <w:spacing w:after="80" w:before="80"/>
      </w:pPr>
      <w:r>
        <w:rPr>
          <w:rFonts w:ascii="Arial" w:cs="Arial" w:eastAsia="Arial" w:hAnsi="Arial"/>
          <w:sz w:val="22"/>
          <w:szCs w:val="22"/>
        </w:rPr>
        <w:t xml:space="preserve">Maven Fuzzy Factory demonstrated strong and sustained growth from 2012 to 2015 across all key business metrics. Website sessions grew from 62K to 233K, orders grew from 3K to 17K, and the session-to-order conversion rate improved from 4.14% to 7.22% across the two complete comparable years.</w:t>
      </w:r>
    </w:p>
    <w:p>
      <w:pPr>
        <w:spacing w:after="80" w:before="80"/>
      </w:pPr>
      <w:r>
        <w:t xml:space="preserve"/>
      </w:r>
    </w:p>
    <w:p>
      <w:pPr>
        <w:spacing w:after="80" w:before="80"/>
      </w:pPr>
      <w:r>
        <w:rPr>
          <w:rFonts w:ascii="Arial" w:cs="Arial" w:eastAsia="Arial" w:hAnsi="Arial"/>
          <w:sz w:val="22"/>
          <w:szCs w:val="22"/>
        </w:rPr>
        <w:t xml:space="preserve">Revenue grew consistently, with 2014 delivering $1.08M — 55.49% of total revenue. The holiday season effect was clearly visible, with November and December consistently generating the highest monthly revenue across all years.</w:t>
      </w:r>
    </w:p>
    <w:p>
      <w:pPr>
        <w:spacing w:after="80" w:before="80"/>
      </w:pPr>
      <w:r>
        <w:t xml:space="preserve"/>
      </w:r>
    </w:p>
    <w:p>
      <w:pPr>
        <w:spacing w:after="80" w:before="80"/>
      </w:pPr>
      <w:r>
        <w:rPr>
          <w:rFonts w:ascii="Arial" w:cs="Arial" w:eastAsia="Arial" w:hAnsi="Arial"/>
          <w:sz w:val="22"/>
          <w:szCs w:val="22"/>
        </w:rPr>
        <w:t xml:space="preserve">The return rate trend is the most encouraging long-term signal — declining from a Critical 6.88% in 2012 to a near-Healthy 3.20% in 2015, representing a 53% improvement. This reflects genuine improvements in product quality, customer targeting, and operational efficiency over the period.</w:t>
      </w:r>
    </w:p>
    <w:p>
      <w:pPr>
        <w:spacing w:after="80" w:before="80"/>
      </w:pPr>
      <w:r>
        <w:t xml:space="preserve"/>
      </w:r>
    </w:p>
    <w:p>
      <w:pPr>
        <w:spacing w:after="80" w:before="80"/>
      </w:pPr>
      <w:r>
        <w:rPr>
          <w:rFonts w:ascii="Arial" w:cs="Arial" w:eastAsia="Arial" w:hAnsi="Arial"/>
          <w:sz w:val="22"/>
          <w:szCs w:val="22"/>
        </w:rPr>
        <w:t xml:space="preserve">The primary areas for continued focus are: reducing channel dependency on gsearch, improving the return rate of The Birthday Sugar Panda, and maximizing the cross-sell potential of The Hudson River Mini Bear to increase Average Order Value.</w:t>
      </w:r>
    </w:p>
    <w:p>
      <w:pPr>
        <w:spacing w:after="80" w:before="80"/>
      </w:pPr>
      <w:r>
        <w:t xml:space="preserve"/>
      </w:r>
    </w:p>
    <w:p>
      <w:pPr>
        <w:pBdr>
          <w:bottom w:val="single" w:color="7B2FBE" w:sz="4" w:space="1"/>
        </w:pBdr>
        <w:spacing w:after="120" w:before="120"/>
      </w:pPr>
      <w:r>
        <w:t xml:space="preserve"/>
      </w:r>
    </w:p>
    <w:p>
      <w:pPr>
        <w:spacing w:after="80" w:before="80"/>
      </w:pPr>
      <w:r>
        <w:t xml:space="preserve"/>
      </w:r>
    </w:p>
    <w:p>
      <w:pPr>
        <w:jc w:val="center"/>
      </w:pPr>
      <w:r>
        <w:rPr>
          <w:rFonts w:ascii="Arial" w:cs="Arial" w:eastAsia="Arial" w:hAnsi="Arial"/>
          <w:i/>
          <w:iCs/>
          <w:color w:val="7B2FBE"/>
          <w:sz w:val="22"/>
          <w:szCs w:val="22"/>
        </w:rPr>
        <w:t xml:space="preserve">End of Report</w:t>
      </w:r>
    </w:p>
    <w:p>
      <w:pPr>
        <w:jc w:val="center"/>
      </w:pPr>
      <w:r>
        <w:rPr>
          <w:rFonts w:ascii="Arial" w:cs="Arial" w:eastAsia="Arial" w:hAnsi="Arial"/>
          <w:color w:val="555555"/>
          <w:sz w:val="18"/>
          <w:szCs w:val="18"/>
        </w:rPr>
        <w:t xml:space="preserve">Sukhdev Gujjar  |  sukhdev-data-analyst.lovable.app  |  linkedin.com/in/sukhdev-gujjar-famra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7B2FB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4A1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2026-06-18T05:47:23.391Z</dcterms:created>
  <dcterms:modified xsi:type="dcterms:W3CDTF">2026-06-18T05:47:23.391Z</dcterms:modified>
</cp:coreProperties>
</file>

<file path=docProps/custom.xml><?xml version="1.0" encoding="utf-8"?>
<Properties xmlns="http://schemas.openxmlformats.org/officeDocument/2006/custom-properties" xmlns:vt="http://schemas.openxmlformats.org/officeDocument/2006/docPropsVTypes"/>
</file>